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60" w:space="720"/>
            <w:col w:w="1420" w:space="720"/>
            <w:col w:w="3340" w:space="440"/>
            <w:col w:w="232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6, 2010, 21,822,375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4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16"/>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June 30, 2010 (Unaudited) and December 31, 2009</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8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Three Months ended June 30, 2010 and 2009</w:t>
              </w:r>
            </w:hyperlink>
          </w:p>
        </w:tc>
        <w:tc>
          <w:tcPr>
            <w:tcW w:w="25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6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(Unaudited) — Six Months ended June 30, 2010 and 2009</w:t>
              </w:r>
            </w:hyperlink>
          </w:p>
        </w:tc>
        <w:tc>
          <w:tcPr>
            <w:tcW w:w="27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Shareholders’ Equity (Unaudited) — Six Months ended June 30, 2010</w:t>
              </w:r>
            </w:hyperlink>
          </w:p>
        </w:tc>
        <w:tc>
          <w:tcPr>
            <w:tcW w:w="25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9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Six Months ended June 30, 2010 and 2009</w:t>
              </w:r>
            </w:hyperlink>
          </w:p>
        </w:tc>
        <w:tc>
          <w:tcPr>
            <w:tcW w:w="24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64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4T. 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82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Item 2. Unregistered Sales of Equity Securities and Use of Proceeds</w:t>
              </w:r>
            </w:hyperlink>
          </w:p>
        </w:tc>
        <w:tc>
          <w:tcPr>
            <w:tcW w:w="572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64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Signature</w:t>
              </w:r>
            </w:hyperlink>
          </w:p>
        </w:tc>
        <w:tc>
          <w:tcPr>
            <w:tcW w:w="94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1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18,771,651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12,287,059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36,574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$132,794 and $140,559 at June 30, 2010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9,831,503</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1,751,113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2,830,477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1,473,826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477,009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36,403,365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29,890,859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14,567,272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14,121,140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2,058,550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1,699,437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18,325,259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17,815,312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(15,943,441)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(14,881,423)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2,381,818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$4,905,119 and $3,993,689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2010 and 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4,292,139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21,146,864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$7,569,633 and $7,096,196 at June 30, 2010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3,317,509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7,034,404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337,724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74,913,823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539,287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2,580,770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860,683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265,712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15,423,635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12,233,876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19,677,517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19,177,014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493,229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no par value, 75,000,000 shares authorized; 21,822,375 and 21,623,350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June 30, 2010 and 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97,174,365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96,406,765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(42,431,288)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(44,585,861)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54,743,077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51,820,904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74,913,823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16,660,469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14,583,522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5,906,377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5,228,069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1,722,929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1,447,422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3,049,817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2,601,702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2,398,065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2,194,327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1,235,918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1,250,065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14,313,106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12,721,585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2,347,363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1,861,937</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2,343,046</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1,859,867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995,337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131,750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1,347,709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1,728,117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21,795,558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21,382,802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22,432,931</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21,626,406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31,497,721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28,202,729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11,368,360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10,495,901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3,249,094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2,981,846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6,010,686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5,315,093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4,483,934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4,095,803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2,626,260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2,516,365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27,738,334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25,405,008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3,759,387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2,797,721</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(21,317)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(12,818)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3,746,569</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2,794,766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1,591,996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189,120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2,154,573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2,605,646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21,735,661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21,382,429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22,281,538</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21,596,805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4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21,623,350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$96,406,765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(44,585,861)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51,820,904</w:t>
            </w:r>
          </w:p>
        </w:tc>
        <w:tc>
          <w:tcPr>
            <w:tcW w:w="0" w:type="dxa"/>
            <w:vAlign w:val="bottom"/>
          </w:tcPr>
          <w:p>
            <w:pPr>
              <w:spacing w:after="0"/>
              <w:rPr>
                <w:sz w:val="1"/>
                <w:szCs w:val="1"/>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6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2,154,573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2,154,573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 based compensation expense</w:t>
            </w:r>
          </w:p>
        </w:tc>
        <w:tc>
          <w:tcPr>
            <w:tcW w:w="2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332,550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332,550</w:t>
            </w:r>
          </w:p>
        </w:tc>
        <w:tc>
          <w:tcPr>
            <w:tcW w:w="0" w:type="dxa"/>
            <w:vAlign w:val="bottom"/>
          </w:tcPr>
          <w:p>
            <w:pPr>
              <w:spacing w:after="0"/>
              <w:rPr>
                <w:sz w:val="1"/>
                <w:szCs w:val="1"/>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199,025</w:t>
            </w:r>
          </w:p>
        </w:tc>
        <w:tc>
          <w:tcPr>
            <w:tcW w:w="58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435,050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435,050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2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21,822,375</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97,174,365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(42,431,288)</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54,743,077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780" w:type="dxa"/>
            <w:vAlign w:val="bottom"/>
            <w:gridSpan w:val="5"/>
          </w:tcPr>
          <w:p>
            <w:pPr>
              <w:jc w:val="right"/>
              <w:ind w:right="40"/>
              <w:spacing w:after="0"/>
              <w:rPr>
                <w:sz w:val="20"/>
                <w:szCs w:val="20"/>
                <w:color w:val="auto"/>
              </w:rPr>
            </w:pPr>
            <w:r>
              <w:rPr>
                <w:rFonts w:ascii="Arial" w:cs="Arial" w:eastAsia="Arial" w:hAnsi="Arial"/>
                <w:sz w:val="18"/>
                <w:szCs w:val="18"/>
                <w:color w:val="auto"/>
                <w:w w:val="92"/>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80" w:type="dxa"/>
            <w:vAlign w:val="bottom"/>
            <w:gridSpan w:val="2"/>
          </w:tcPr>
          <w:p>
            <w:pPr>
              <w:jc w:val="right"/>
              <w:ind w:right="577"/>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2,154,573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$ 2,605,646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2,626,260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332,550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1,591,996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(366,881)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29,281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610,328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(237,196)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(242,822)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93,740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(1,012,814)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(1,282,945)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(85,080)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493,229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3,189,759</w:t>
            </w: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7,893,978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5,933,341</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(1,021,710)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(509,947)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(721,804)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(1,531,657)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(1,386,852)</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435,050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(306,942)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(5,837)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6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6,484,592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12,287,059</w:t>
            </w: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18,771,651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$ 8,280,579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2010 are not necessarily indicative of the results that may be expected for the year ending December 31, 2010.</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2009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2009 (included in the Company’s Annual Report on Form 10-K, filed with the Securities and Exchange Commission on March 26,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2009, the Financial Accounting Standards Board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adoption of the guidance did not have an effect on the Company’s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six months ended June 30, 2010 and 2009, the Company recorded a provision for income taxes of $1,591,996 and $189,120, respectively. The Company’s effective tax rate for the six months ended June 30, 2010 was 42.5%. The Company’s effective tax rate primarily reflects the statutory corporate income tax rate, the net effect of state taxes, and the effect of various permanent tax differences. The Company’s effective tax rate for the six months ended June 30, 2009 was substantially less than the statutory rate because the Company previously maintained a valuation allowance for its net operating loss (“NOL”) carryforwards and other deferred tax assets. The Company released substantially all of its valuation allowance against its deferred tax assets at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The Company uses the Black Scholes option pricing model for calculating the fair value of awards issued under its stock based compensation plans. During the six months ended June 30, 2010, the Company granted 319,000 stock options with a weighted average grant date fair value of $2.07. During the six months ended June 30, 2009, the Company granted 289,000 stock options with a weighted average grant date fair value of $1.17. The fair value of stock based awards granted during the six months ended June 30, 2010 and 2009 was estimated using the Black Scholes option pricing model, with the assumptions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gridSpan w:val="3"/>
          </w:tcPr>
          <w:p>
            <w:pPr>
              <w:jc w:val="center"/>
              <w:ind w:left="901"/>
              <w:spacing w:after="0"/>
              <w:rPr>
                <w:sz w:val="20"/>
                <w:szCs w:val="20"/>
                <w:color w:val="auto"/>
              </w:rPr>
            </w:pPr>
            <w:r>
              <w:rPr>
                <w:rFonts w:ascii="Arial" w:cs="Arial" w:eastAsia="Arial" w:hAnsi="Arial"/>
                <w:sz w:val="14"/>
                <w:szCs w:val="14"/>
                <w:color w:val="auto"/>
                <w:w w:val="93"/>
              </w:rPr>
              <w:t>Six Months Ended</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gridSpan w:val="3"/>
          </w:tcPr>
          <w:p>
            <w:pPr>
              <w:jc w:val="center"/>
              <w:ind w:left="921"/>
              <w:spacing w:after="0" w:line="149" w:lineRule="exact"/>
              <w:rPr>
                <w:sz w:val="20"/>
                <w:szCs w:val="20"/>
                <w:color w:val="auto"/>
              </w:rPr>
            </w:pPr>
            <w:r>
              <w:rPr>
                <w:rFonts w:ascii="Arial" w:cs="Arial" w:eastAsia="Arial" w:hAnsi="Arial"/>
                <w:sz w:val="14"/>
                <w:szCs w:val="14"/>
                <w:color w:val="auto"/>
                <w:w w:val="89"/>
              </w:rPr>
              <w:t>June 30,</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37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2010</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2.39 – 2.49%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 – 3.22%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10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5 - 7 years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5 - 7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100" w:type="dxa"/>
            <w:vAlign w:val="bottom"/>
            <w:gridSpan w:val="3"/>
          </w:tcPr>
          <w:p>
            <w:pPr>
              <w:jc w:val="right"/>
              <w:ind w:right="280"/>
              <w:spacing w:after="0"/>
              <w:rPr>
                <w:sz w:val="20"/>
                <w:szCs w:val="20"/>
                <w:color w:val="auto"/>
              </w:rPr>
            </w:pPr>
            <w:r>
              <w:rPr>
                <w:rFonts w:ascii="Arial" w:cs="Arial" w:eastAsia="Arial" w:hAnsi="Arial"/>
                <w:sz w:val="18"/>
                <w:szCs w:val="18"/>
                <w:color w:val="auto"/>
              </w:rPr>
              <w:t>0-10%</w:t>
            </w: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405"/>
        </w:trPr>
        <w:tc>
          <w:tcPr>
            <w:tcW w:w="3720" w:type="dxa"/>
            <w:vAlign w:val="bottom"/>
          </w:tcPr>
          <w:p>
            <w:pPr>
              <w:spacing w:after="0"/>
              <w:rPr>
                <w:sz w:val="24"/>
                <w:szCs w:val="24"/>
                <w:color w:val="auto"/>
              </w:rPr>
            </w:pPr>
          </w:p>
        </w:tc>
        <w:tc>
          <w:tcPr>
            <w:tcW w:w="4260" w:type="dxa"/>
            <w:vAlign w:val="bottom"/>
          </w:tcPr>
          <w:p>
            <w:pPr>
              <w:jc w:val="right"/>
              <w:ind w:right="2130"/>
              <w:spacing w:after="0"/>
              <w:rPr>
                <w:sz w:val="20"/>
                <w:szCs w:val="20"/>
                <w:color w:val="auto"/>
              </w:rPr>
            </w:pPr>
            <w:r>
              <w:rPr>
                <w:rFonts w:ascii="Arial" w:cs="Arial" w:eastAsia="Arial" w:hAnsi="Arial"/>
                <w:sz w:val="18"/>
                <w:szCs w:val="18"/>
                <w:color w:val="auto"/>
              </w:rPr>
              <w:t>6</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2010 and 2009, which is recorded in the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5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18,768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31,865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27,903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63,952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62,989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87,751</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163,778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169,770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150,785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332,550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296,401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0.4 million and 0.6 million for the three and six months ended June 30, 2010, respectively, and approximately 2.3 million and 2.2 million for the three and six months ended June 30, 2009,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the three and six months ended June 30, 2010 and 2009: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6"/>
          </w:tcPr>
          <w:p>
            <w:pPr>
              <w:ind w:left="5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5"/>
                <w:szCs w:val="15"/>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4"/>
                <w:szCs w:val="14"/>
                <w:color w:val="auto"/>
                <w:w w:val="89"/>
              </w:rPr>
              <w:t>June 30,</w:t>
            </w: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color w:val="auto"/>
              </w:rPr>
              <w:t>2009</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c>
          <w:tcPr>
            <w:tcW w:w="700" w:type="dxa"/>
            <w:vAlign w:val="bottom"/>
            <w:gridSpan w:val="2"/>
          </w:tcPr>
          <w:p>
            <w:pPr>
              <w:jc w:val="right"/>
              <w:ind w:right="105"/>
              <w:spacing w:after="0"/>
              <w:rPr>
                <w:sz w:val="20"/>
                <w:szCs w:val="20"/>
                <w:color w:val="auto"/>
              </w:rPr>
            </w:pPr>
            <w:r>
              <w:rPr>
                <w:rFonts w:ascii="Arial" w:cs="Arial" w:eastAsia="Arial" w:hAnsi="Arial"/>
                <w:sz w:val="14"/>
                <w:szCs w:val="14"/>
                <w:color w:val="auto"/>
                <w:w w:val="93"/>
              </w:rPr>
              <w:t>June 30,</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1,347,709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1,728,117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2,154,573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2,605,646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21,795,558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21,382,802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21,735,661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21,382,429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00"/>
              <w:spacing w:after="0"/>
              <w:rPr>
                <w:sz w:val="20"/>
                <w:szCs w:val="20"/>
                <w:color w:val="auto"/>
              </w:rPr>
            </w:pPr>
            <w:r>
              <w:rPr>
                <w:rFonts w:ascii="Arial" w:cs="Arial" w:eastAsia="Arial" w:hAnsi="Arial"/>
                <w:sz w:val="18"/>
                <w:szCs w:val="18"/>
                <w:color w:val="auto"/>
              </w:rPr>
              <w:t>Employee stock options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637,373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243,604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545,877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22,432,931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21,626,406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22,281,538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21,596,805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COLLABORATIVE ARRANGEMENT</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23, 2010, the Company announced the formation of SimVentures, a collaborative arrangement between HealthStream and Laerdal Medical. SimVentures will offer products and services aimed at accelerating the global adoption of simulation-based learning by healthcare providers—with a focus on improving clinical competencies and patient outcomes. The Company will receive 50 percent of the profits and losses generated from the collaborative arrangement. A legal entity was not formed as part of the joint venture, therefore, the Company will account for SimVentures as a collaborative arrangement in accordance with applicable accounting guidance. SimVentures is currently in the product development phase, and sales activity is expected to commence during 2011. During the second quarter of 2010, the Company recorded approximately $180,000 of expenses related to the collaborative arrangement, which are primarily recorded in the product development category within the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primarily provides services to healthcare organizations, and to a lesser extent, to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2009.</w:t>
      </w:r>
    </w:p>
    <w:p>
      <w:pPr>
        <w:spacing w:after="0" w:line="4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three and six months ended June 30, 2010 includes approximately $180,000 of expenses associated with SimVentures, and is included in the Unallocated section of the tables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business segment information as of and for the three and six months ended June 30, 2010 and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00" w:type="dxa"/>
            <w:vAlign w:val="bottom"/>
            <w:gridSpan w:val="7"/>
          </w:tcPr>
          <w:p>
            <w:pPr>
              <w:jc w:val="center"/>
              <w:ind w:right="78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5"/>
                <w:szCs w:val="15"/>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color w:val="auto"/>
                <w:w w:val="85"/>
              </w:rPr>
              <w:t>June 30,</w:t>
            </w:r>
          </w:p>
        </w:tc>
        <w:tc>
          <w:tcPr>
            <w:tcW w:w="820" w:type="dxa"/>
            <w:vAlign w:val="bottom"/>
            <w:vMerge w:val="restart"/>
          </w:tcPr>
          <w:p>
            <w:pPr>
              <w:jc w:val="right"/>
              <w:ind w:right="212"/>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center"/>
              <w:ind w:right="90"/>
              <w:spacing w:after="0"/>
              <w:rPr>
                <w:sz w:val="20"/>
                <w:szCs w:val="20"/>
                <w:color w:val="auto"/>
              </w:rPr>
            </w:pPr>
            <w:r>
              <w:rPr>
                <w:rFonts w:ascii="Arial" w:cs="Arial" w:eastAsia="Arial" w:hAnsi="Arial"/>
                <w:sz w:val="14"/>
                <w:szCs w:val="14"/>
                <w:color w:val="auto"/>
                <w:w w:val="89"/>
              </w:rPr>
              <w:t>June 30,</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11,239,362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9,315,512</w:t>
            </w:r>
          </w:p>
        </w:tc>
        <w:tc>
          <w:tcPr>
            <w:tcW w:w="220" w:type="dxa"/>
            <w:vAlign w:val="bottom"/>
          </w:tcPr>
          <w:p>
            <w:pPr>
              <w:spacing w:after="0"/>
              <w:rPr>
                <w:sz w:val="18"/>
                <w:szCs w:val="18"/>
                <w:color w:val="auto"/>
              </w:rPr>
            </w:pPr>
          </w:p>
        </w:tc>
        <w:tc>
          <w:tcPr>
            <w:tcW w:w="1380" w:type="dxa"/>
            <w:vAlign w:val="bottom"/>
            <w:gridSpan w:val="6"/>
          </w:tcPr>
          <w:p>
            <w:pPr>
              <w:jc w:val="right"/>
              <w:ind w:right="60"/>
              <w:spacing w:after="0"/>
              <w:rPr>
                <w:sz w:val="20"/>
                <w:szCs w:val="20"/>
                <w:color w:val="auto"/>
              </w:rPr>
            </w:pPr>
            <w:r>
              <w:rPr>
                <w:rFonts w:ascii="Arial" w:cs="Arial" w:eastAsia="Arial" w:hAnsi="Arial"/>
                <w:sz w:val="18"/>
                <w:szCs w:val="18"/>
                <w:color w:val="auto"/>
              </w:rPr>
              <w:t>$21,542,266</w:t>
            </w:r>
          </w:p>
        </w:tc>
        <w:tc>
          <w:tcPr>
            <w:tcW w:w="1580" w:type="dxa"/>
            <w:vAlign w:val="bottom"/>
            <w:gridSpan w:val="5"/>
          </w:tcPr>
          <w:p>
            <w:pPr>
              <w:jc w:val="right"/>
              <w:ind w:right="100"/>
              <w:spacing w:after="0"/>
              <w:rPr>
                <w:sz w:val="20"/>
                <w:szCs w:val="20"/>
                <w:color w:val="auto"/>
              </w:rPr>
            </w:pPr>
            <w:r>
              <w:rPr>
                <w:rFonts w:ascii="Arial" w:cs="Arial" w:eastAsia="Arial" w:hAnsi="Arial"/>
                <w:sz w:val="18"/>
                <w:szCs w:val="18"/>
                <w:color w:val="auto"/>
              </w:rPr>
              <w:t>$18,309,122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5,421,107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5,268,010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9,955,455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9,893,607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16,660,469</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14,583,522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31,497,721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28,202,729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4,127,322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2,441,212</w:t>
            </w: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7,347,667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4,488,377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465,853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1,287,190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625,424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1,860,347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(2,245,812)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(1,866,465)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3"/>
              </w:rPr>
              <w:t>(4,213,704)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(3,551,003)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2,347,363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1,861,937</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3,759,387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2,797,721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color w:val="auto"/>
                <w:w w:val="94"/>
              </w:rPr>
              <w:t>June 30, 2010</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Learning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5"/>
          </w:tcPr>
          <w:p>
            <w:pPr>
              <w:jc w:val="right"/>
              <w:ind w:right="188"/>
              <w:spacing w:after="0"/>
              <w:rPr>
                <w:sz w:val="20"/>
                <w:szCs w:val="20"/>
                <w:color w:val="auto"/>
              </w:rPr>
            </w:pPr>
            <w:r>
              <w:rPr>
                <w:rFonts w:ascii="Arial" w:cs="Arial" w:eastAsia="Arial" w:hAnsi="Arial"/>
                <w:sz w:val="18"/>
                <w:szCs w:val="18"/>
                <w:color w:val="auto"/>
              </w:rPr>
              <w:t>$17,143,867</w:t>
            </w:r>
          </w:p>
        </w:tc>
        <w:tc>
          <w:tcPr>
            <w:tcW w:w="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18,185,466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color w:val="auto"/>
              </w:rPr>
              <w:t>26,226,231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26,209,873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188"/>
              <w:spacing w:after="0"/>
              <w:rPr>
                <w:sz w:val="20"/>
                <w:szCs w:val="20"/>
                <w:color w:val="auto"/>
              </w:rPr>
            </w:pPr>
            <w:r>
              <w:rPr>
                <w:rFonts w:ascii="Arial" w:cs="Arial" w:eastAsia="Arial" w:hAnsi="Arial"/>
                <w:sz w:val="18"/>
                <w:szCs w:val="18"/>
                <w:color w:val="auto"/>
                <w:w w:val="97"/>
              </w:rPr>
              <w:t>31,543,725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26,606,941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74,913,823</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71,002,280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also included within Unallocated.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2009, appearing in our Annual Report on Form 10-K that was filed with the Securities and Exchange Commission (“SEC”) on March 26, 2010 (the “2009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2009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primarily provide our services to healthcare organizations and to a lesser extent, to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3"/>
          <w:szCs w:val="13"/>
          <w:color w:val="auto"/>
        </w:rPr>
        <w:t>®</w:t>
      </w:r>
      <w:r>
        <w:rPr>
          <w:rFonts w:ascii="Arial" w:cs="Arial" w:eastAsia="Arial" w:hAnsi="Arial"/>
          <w:sz w:val="16"/>
          <w:szCs w:val="16"/>
          <w:color w:val="auto"/>
        </w:rPr>
        <w:t xml:space="preserve"> (“HLC”), authoring tools, courseware subscriptions, online training and content development, online sales training courses, live events, HospitalDirect</w:t>
      </w:r>
      <w:r>
        <w:rPr>
          <w:rFonts w:ascii="Arial" w:cs="Arial" w:eastAsia="Arial" w:hAnsi="Arial"/>
          <w:sz w:val="13"/>
          <w:szCs w:val="13"/>
          <w:color w:val="auto"/>
        </w:rPr>
        <w:t>®</w:t>
      </w:r>
      <w:r>
        <w:rPr>
          <w:rFonts w:ascii="Arial" w:cs="Arial" w:eastAsia="Arial" w:hAnsi="Arial"/>
          <w:sz w:val="16"/>
          <w:szCs w:val="16"/>
          <w:color w:val="auto"/>
        </w:rPr>
        <w:t xml:space="preserve">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second quarter of 2010 include:</w:t>
      </w:r>
    </w:p>
    <w:p>
      <w:pPr>
        <w:spacing w:after="0" w:line="117"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$16.7 million in the second quarter of 2010, up 14% over the second quarter of 2009</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of $2.3 million in the second quarter of 2010, up 26% over the second quarter of 2009</w:t>
      </w:r>
    </w:p>
    <w:p>
      <w:pPr>
        <w:spacing w:after="0" w:line="130" w:lineRule="exact"/>
        <w:rPr>
          <w:rFonts w:ascii="Arial" w:cs="Arial" w:eastAsia="Arial" w:hAnsi="Arial"/>
          <w:sz w:val="18"/>
          <w:szCs w:val="18"/>
          <w:b w:val="1"/>
          <w:bCs w:val="1"/>
          <w:color w:val="auto"/>
        </w:rPr>
      </w:pPr>
    </w:p>
    <w:p>
      <w:pPr>
        <w:ind w:left="660" w:right="260" w:hanging="314"/>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$1.3 million and earnings per diluted share (EPS) of $0.06 per share in the second quarter of 2010—which includes an income tax provision of $1.0 million, or $0.04 per diluted share, compared to net income of $1.7 million and EPS of $0.08 per diluted share in the second quarter of 2009—which included an income tax provision of $132,000.</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SimVentures, a new collaborative arrangement formed between HealthStream and Laerdal Medical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2009 Form 10-K, which contains additional information regarding our accounting policies and other disclosures required by US GAAP. There have been no changes in our critical accounting policies and estimates from those reported in our 2009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primarily consist of the following products and services: provision of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Internet-based HLC, authoring tools, a variety of courseware subscriptions (add-on courseware), implementation and consulting services, maintenance of third party content, content development, online sales training courses (RepDirect™),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contract labor, stock based compensation,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 A significant portion of the SimVentures expenses are also included within product development.</w:t>
      </w:r>
    </w:p>
    <w:p>
      <w:pPr>
        <w:spacing w:after="0" w:line="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salaries, commissions and employee benefits, stock 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travel and lodging, advertising, trade shows, promotions, and related marketing costs. Personnel costs within sales and marketing include our Learning and Research sales teams, strategic account management, consultants, and marketing personnel, as well as our account management group.</w:t>
      </w:r>
    </w:p>
    <w:p>
      <w:pPr>
        <w:spacing w:after="0" w:line="3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Other Income/Expense, Net.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2010 Compared to Three Months Ended June 30, 2009</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$2.1 million, or 14.2%, to $16.7 million for the three months ended June 30, 2010 from $14.6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2009. Revenues for 2010 consisted of $11.2 million, or 68% of total revenue, for HealthStream Learning and $5.4 million, or 32% of total revenue, for HealthStream Research. In 2009, revenues consisted of $9.3 million, or 64% of total revenue, for HealthStream Learning and $5.3 million, or 36% of total revenue, for HealthStream Research.</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Revenues for HealthStream Learning increased $1.9 million, or 20.7%, over the second quarter of 2009. Revenues from our Internet-based subscription learning products increased by $2.3 million over the prior year second quarter, and were comprised of revenue increases from the HLC of $1.2 million and from courseware subscriptions of $1.1 million. Revenues from our Internet-based subscription products increased 28% over the prior year second quarter due to a higher number of subscribers and more courseware consumption by subscribers. Our HLC subscriber base increased to 2,113,000 fully-implemented subscribers and 2,258,000 contracted subscribers at June 30, 2010 compared to 1,863,000 fully-implemented subscribers and 1,945,000 contracted subscribers at June 30, 2009. Revenues associated with implementation, development, and consulting services decreased $248,000 from the prior year second quarter, impacted primarily by lower revenues associated with fewer project-based activities.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for HealthStream Research increased $153,000, or 2.9%, over the second quarter of 2009. Revenues from recurring patient surveys increased by $344,000, or 10.7%, over the prior year second quarter. Revenues from surveys conducted on annual or bi-annual cycles—namely employee, physician, and community surveys—decreased by $191,000, primarily due to declines in physician and community surveys, which more than offset an increase in employee surveys.</w:t>
      </w:r>
    </w:p>
    <w:p>
      <w:pPr>
        <w:spacing w:after="0" w:line="7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$678,000, or 13.0%, to $5.9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2010 from $5.2 million for the three months ended June 30, 2009. Cost of revenues as a percentage of revenues was 35.5% of revenues for the three months ended June 30, 2010 compared to 35.8% of revenues for the three months ended June 30, 2009.</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Cost of revenues for HealthStream Learning increased approximately $299,000 to $3.2 million and approximated 28.5% and 31.2% of revenues for the three months ended June 30, 2010 and 2009, respectively. The overall expense increase is primarily associated with increased royalties paid by us resulting from growth in courseware subscription revenues, while the decline as a percentage of revenue is attributable to the growth in subscription based revenues over the prior year second quarter. Cost of revenues for HealthStream Research increased approximately $380,000 to $2.7 million and approximated 49.8% and 44.0% of revenues for the three months ended June 30, 2010 and 2009, respectively. The increase in cost of revenues for HealthStream Research is primarily the result of costs associated with the growth in patient survey revenues over the prior year second quarter. Additional costs were also incurred during the second quarter of 2010 to complete projects on schedule in light of unprecedented snow storms experienced in the Baltimore area.</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$276,000, or 19.0%, to $1.7 million for the three months ended June 30, 2010</w:t>
      </w:r>
      <w:r>
        <w:rPr>
          <w:rFonts w:ascii="Arial" w:cs="Arial" w:eastAsia="Arial" w:hAnsi="Arial"/>
          <w:sz w:val="18"/>
          <w:szCs w:val="18"/>
          <w:i w:val="1"/>
          <w:iCs w:val="1"/>
          <w:color w:val="auto"/>
        </w:rPr>
        <w:t xml:space="preserve"> </w:t>
      </w:r>
      <w:r>
        <w:rPr>
          <w:rFonts w:ascii="Arial" w:cs="Arial" w:eastAsia="Arial" w:hAnsi="Arial"/>
          <w:sz w:val="18"/>
          <w:szCs w:val="18"/>
          <w:color w:val="auto"/>
        </w:rPr>
        <w:t>from $1.4 million for the three months ended June 30, 2009. Product development expenses as a percentage of revenues were 10.3% and 9.9% of revenues for the three months ended June 30, 2010 and 2009, respectively.</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Product development expenses for HealthStream Learning decreased approximately $68,000 and approximated 10.5% and 13.4% of revenues for the three months ended June 30, 2010 and 2009, respectively. The decrease as a percentage of revenue is the result of the growth in revenues over the prior year second quarter. Product development expenses for HealthStream Research increased approximately $187,000 and approximated 7.2% and 3.8% of revenues for the three months ended June 30, 2010 and 2009, respectively. This increase is primarily due to additional personnel associated with product management and with developing and supporting our survey reporting platform, Insights Online. The unallocated portion of product development expenses approximated $156,000 for the second quarter of 2010 and is associated with SimVentures.</w:t>
      </w:r>
    </w:p>
    <w:p>
      <w:pPr>
        <w:spacing w:after="0" w:line="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$448,000, or 17.2%, to $3.0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2010 from $2.6 million for the three months ended June 30, 2009. Sales and marketing expenses approximated 18.3% and 17.8% of revenues for the three months ended June 30, 2010 and 2009, respectively.</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Sales and marketing expenses for HealthStream Learning increased $25,000 and approximated 16.3% and 19.4% of revenues for the three months ended June 30, 2010 and 2009, respectively. Sales and marketing expenses for HealthStream Research increased approximately $393,000, and approximated 20.4% and 13.6% of revenues for the three months ended June 30, 2010 and 2009, respectively. The expense increase for HealthStream Research resulted from additional sales personnel, travel expenses and commissions. The additional sales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personnel were hired during the second half of 2009. Our historical experience is that new sales personnel take several quarters to build a pipeline and generate new sales, a process we believe is occurring.</w:t>
      </w:r>
    </w:p>
    <w:p>
      <w:pPr>
        <w:spacing w:after="0" w:line="62"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expenses increased approximately $204,000, or 9.3%, to $2.4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2010 from $2.2 million for the three months ended June 30, 2009. Other general and administrative expenses as a percentage of revenues approximated 14.4% and 15.0% for the three months ended June 30, 2010 and 2009, respectively.</w:t>
      </w:r>
    </w:p>
    <w:p>
      <w:pPr>
        <w:spacing w:after="0" w:line="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Other general and administrative expenses for HealthStream Learning and HealthStream Research decreased $58,000 and $48,000, respectively, compared to the prior year second quarter. The unallocated corporate portion of other general and administrative expenses increased $310,000 over the prior year quarter, primarily associated with contract labor, professional fees, and rent expense.</w:t>
      </w:r>
    </w:p>
    <w:p>
      <w:pPr>
        <w:spacing w:after="0" w:line="7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decreased approximately $14,000, or 1.1%, and approximated $1.2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2010 and 2009, respectively. The decrease resulted from lower depreciation expense, and was partially offset by increased amortization of capitalized software features over the prior year second quarter.</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 recorded a provision for income taxes of approximately $1.0 million for the three months ended June 30, 2010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$132,000 for the three months ended June 30, 2009. The Company’s effective tax rate for the second quarter of 2010 was 42.5%. During the second quarter of 2009, the Company maintained a valuation allowance on its deferred tax assets, and recorded no deferred income tax expense. Substantially all of the valuation allowance was released during the fourth quarter of 2009. Income tax expense for the second quarter of 2009 consisted of the federal alternative minimum tax and state income taxes.</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$1.3 million for the three months ended June 30, 2010, compared to $1.7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2009. Net income per diluted share was $0.06 per share for the three months ended June 30, 2010 compared to $0.08 per diluted share for the three months ended June 30,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2010 Compared to Six Months Ended June 30, 2009</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$3.3 million, or 11.7%, to $31.5 million for the six months ended June 30, 2010 from $28.2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2009. Revenues for 2010 consisted of $21.5 million, or 68% of total revenue, for HealthStream Learning and $10.0 million, or 32% of total revenue, for HealthStream Research. In 2009, revenues consisted of $18.3 million, or 65% of total revenue, for HealthStream Learning and $9.9 million, or 35% of total revenue, for HealthStream Research.</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for HealthStream Learning increased $3.2 million, or 17.7%, over 2009. Revenues from our Internet-based subscription learning products increased by $4.1 million over the prior year, and were comprised of revenue increases from the HLC of $2.3 million and from courseware subscriptions of</w:t>
      </w:r>
    </w:p>
    <w:p>
      <w:pPr>
        <w:ind w:right="100"/>
        <w:spacing w:after="0" w:line="273" w:lineRule="auto"/>
        <w:rPr>
          <w:sz w:val="20"/>
          <w:szCs w:val="20"/>
          <w:color w:val="auto"/>
        </w:rPr>
      </w:pPr>
      <w:r>
        <w:rPr>
          <w:rFonts w:ascii="Arial" w:cs="Arial" w:eastAsia="Arial" w:hAnsi="Arial"/>
          <w:sz w:val="17"/>
          <w:szCs w:val="17"/>
          <w:color w:val="auto"/>
        </w:rPr>
        <w:t>$1.8 million. Revenues from our Internet-based subscription products increased 26.0% over the prior year due to a higher number of subscribers and more courseware consumption by subscribers. Revenues associated with implementation, development, and consulting services decreased $764,000 from the prior year period, impacted primarily by lower revenues associated with fewer project-based activities. Additionally, revenues from live events, study guides, and other project-based activities collectively declined $155,000 from the prior year due to a de-emphasis on providing these services.</w:t>
      </w:r>
    </w:p>
    <w:p>
      <w:pPr>
        <w:spacing w:after="0" w:line="6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Revenues for HealthStream Research increased $62,000, or 0.6%, over 2009. Revenues from recurring patient surveys increased by $528,000, or 8.3%, over the prior year. Revenues from surveys conducted on annual or bi-annual cycles—namely employee, physician, and community surveys—decreased by $466,000, primarily due to fewer projects than the prior year, as well as changes in the timing and size of the projects.</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$872,000, or 8.3%, to $11.4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2010 from $10.5 million for the six months ended June 30, 2009. Cost of revenues as a percentage of revenues was 36.1% of revenues for the six months ended June 30, 2010 compared to 37.2% of revenues for the six months ended June 30, 2009. Cost of revenues for HealthStream Learning increased approximately $406,000 to $6.3 million and approximated 29.4% and 32.3% of revenues for the six months ended June 30, 2010 and 2009, respectively. The overall expense increase is primarily associated with increased royalties paid by us resulting from growth in courseware subscription revenues, but was partially offset by expense decreases associated with declines in implementation, development, and consulting service revenues. The decline as a percentage of revenue is attributable to the growth in subscription based revenues over the prior year. Cost of revenues for HealthStream Research increased approximately $467,000 to $5.0 million and approximated 50.7% and 46.3% of revenues for the six months ended June 30, 2010 and 2009, respectively. The increase in cost of revenues for HealthStream Research is primarily the result of costs associated with the growth in patient survey revenues over the prior year. Additional costs were also incurred during the second quarter of 2010 to complete projects on schedule in light of unprecedented snow storms experienced in the Baltimore area.</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$267,000, or 9.0%, to $3.3 million for the six months ended June 30, 2010</w:t>
      </w:r>
      <w:r>
        <w:rPr>
          <w:rFonts w:ascii="Arial" w:cs="Arial" w:eastAsia="Arial" w:hAnsi="Arial"/>
          <w:sz w:val="18"/>
          <w:szCs w:val="18"/>
          <w:i w:val="1"/>
          <w:iCs w:val="1"/>
          <w:color w:val="auto"/>
        </w:rPr>
        <w:t xml:space="preserve"> </w:t>
      </w:r>
      <w:r>
        <w:rPr>
          <w:rFonts w:ascii="Arial" w:cs="Arial" w:eastAsia="Arial" w:hAnsi="Arial"/>
          <w:sz w:val="18"/>
          <w:szCs w:val="18"/>
          <w:color w:val="auto"/>
        </w:rPr>
        <w:t>from $3.0 million for the six months ended June 30, 2009. Product development expenses as a percentage of revenues were 10.3% and 10.6% of revenues for the six months ended June 30, 2010 and 2009, respectively.</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Product development expenses for HealthStream Learning decreased approximately $103,000 and approximated 11.1% and 13.6% of revenues for the six months ended June 30, 2010 and 2009, respectively. The decrease as a percentage of revenue is the result of the growth in revenues over the prior year, while the expense decrease is the result of lower contract labor costs compared to the prior year. Product development expenses for HealthStream Research increased approximately $214,000 and approximated 7.1% and 5.0% of revenues for the six months ended June 30, 2010 and 2009, respectively. This increase is primarily due to additional personnel associated with product management and with developing and supporting our survey reporting platform, Insights Online. The unallocated portion of product development expenses approximated $156,000 for 2010 and is associated with SimVentures.</w:t>
      </w:r>
    </w:p>
    <w:p>
      <w:pPr>
        <w:spacing w:after="0" w:line="5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$696,000, or 13.1%, to $6.0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2010 from $5.3 million for the six months ended June 30, 2009. Sales and marketing expenses approximated 19.1% and 18.8% of revenues for the six months ended June 30, 2010 and 2009,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 for HealthStream Learning increased $96,000 and approximated 17.4% and 19.9% of revenues for the six months ended</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June 30, 2010 and 2009, respectively. Sales and marketing expenses for HealthStream Research increased approximately $576,000, and approximated 21.1% and 15.5% of revenues for the six months ended June 30, 2010 and 2009, respectively. The expense increase for HealthStream Research resulted from additional sales personnel, travel expenses and commissions. The additional sales personnel were hired during the second half of 2009. Our historical experience is that new sales personnel take several quarters to build a pipeline and generate new sales, a process we believe is occurring. These expense increases also impacted the increase as a percentage of revenues for HealthStream Research.</w:t>
      </w:r>
    </w:p>
    <w:p>
      <w:pPr>
        <w:spacing w:after="0" w:line="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$388,000, or 9.5% to $4.5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2010 from $4.1 million for the six months ended June 30, 2009. Other general and administrative expenses as a percentage of revenues approximated 14.2% and 14.5% for the six months ended June 30, 2010 and 2009, respectively.</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general and administrative expenses for both HealthStream Learning and HealthStream Research decreased $86,000, respectively, compared to the prior year. The unallocated corporate portion of other general and administrative expenses increased $560,000 over the prior year quarter, primarily associated with contract labor, professional fees, rent expense, and other expenses.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$110,000, or 4.4%, to $2.6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from $2.5 million for the six months ended June 30, 2009. The increase resulted from increased amortization of capitalized software features over the prior year, and was partially offset by lower depreciation expense.</w:t>
      </w:r>
    </w:p>
    <w:p>
      <w:pPr>
        <w:spacing w:after="0" w:line="7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 recorded a provision for income taxes of approximately $1.6 million for the six months ended June 30, 2010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$189,000 for the six months ended June 30, 2009. The Company’s effective tax rate for 2010 was 42.5%. During the first half of 2009, the Company maintained a valuation allowance on its deferred tax assets, and recorded no deferred income tax expense. Substantially all of the valuation allowance was released during the fourth quarter of 2009. Income tax expense for 2009 consisted of the federal alternative minimum tax and state income taxes.</w:t>
      </w:r>
    </w:p>
    <w:p>
      <w:pPr>
        <w:spacing w:after="0" w:line="80"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approximately $2.2 million for the six months ended June 30, 2010, compared to $2.6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Net income per share was $0.10 per share for the six months ended June 30, 2010 compared to $0.12 per share for the six months ended June 30,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Net cash provided by operating activities was approximately $7.9 million and $5.9 million during the six months ended June 30, 2010 and 2009, respectively. Our primary sources of cash were generated from receipts from the sales of our products and services. In addition, we received $560,000 of cash associated with a renewed lease for our Nashville, Tennessee office, which is classified on the balance sheet under accrued liabilities and other long term liabilities. Our days sales outstanding (“DSO”) which we calculate by dividing the accounts receivable balance, excluding unbilled and other receivables, by average daily revenues for the quarter, approximated 53 days for the second quarter of 2010 compared to 58 days for the second quarter of 2009 and 72 days for the first quarter of 2010. The decrease in DSO compared to the first quarter of 2010 is a result of the collection of outstanding balances with several customers that were billed in advance during the first quarter of 2010 for annual fees rather than on a monthly subscription basis. The primary uses of cash to fund our operations for the six months ended June 30, 2010 and 2009 included personnel expenses, sales commissions, royalty payments, payments for contract labor and other direct expenses associated with delivery of our products and services, and general corporate expenses.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was approximately $1.5 million and $1.4 million for the six months ended June 30, 2010 and 2009, respectively. The primary uses of cash for the six months ended June 30, 2010 were associated with capitalized software feature enhancements of $1.0 million and property and equipment purchases of $510,000. The primary uses of cash for the six months ended June 30, 2009 were associated with property and equipment purchases of $722,000 and capitalized software feature enhancements of $665,000. These uses of cash were associated with technology investments in our platform products.</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provided by financing activities was approximately $122,000 for the six months ended June 30, 2010, while approximately $373,000 of cash was used during the six months ended June 30, 2009. The primary uses of cash for the six months ended June 30, 2010 and 2009 related to payments under a promissory note and capital lease obligations. The primary source of cash from financing activities for the six months ended June 30, 2010 resulted from proceeds associated with the exercise of employee stock options.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increased and our operating income improved over the prior year period, and our balance sheet reflects positive working capital of $16.7 million at June 30, 2010 compared to $10.7 million at December 31, 2009. The improvement in working capital is primarily associated with increases in cash and cash equivalents resulting from the net cash provided by operating activities mentioned above. Current assets increased approximately $6.5 million during the first six months of 2010 primarily due to increases in cash balances, while current liabilities increased approximately $500,000 during the first six months of 2010 resulting primarily from increases in deferred revenue, but was partially offset by reductions in accounts payable and accrued liabilites. Our primary source of liquidity is $18.8 million of cash and cash equivalents. We also have a $15.0 million revolving credit facility loan agreement, all of which was available at June 30, 2010.</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exposed to market risk from changes in interest rates. We do not have any foreign currency exchange rate risk or commodity price risk. As of June 30, 2010, our outstanding indebtedness included approximately $7,000 of capital lease obligations. We may become subject to interest rate market risk associated with any future borrowings under our revolving credit facility. The interest rate under the revolving credit facility is based on 30 Day LIBOR plus a margin of either 190 or 220 basis points determined in accordance with a pricing grid, but has a minimum interest rate of not less than three percent. We are also exposed to market risk with respect to our cash balances. At June 30, 2010, the Company had cash and cash equivalents totaling approximately $18.8 million. Current investment rates of return approximate 0.10%. Assuming a 0.10% rate of return on $18.8 million, a hypothetical 10% decrease in interest rates would decrease interest income and decrease net income on an annualized basis by approximately $1,900.</w:t>
      </w:r>
    </w:p>
    <w:p>
      <w:pPr>
        <w:spacing w:after="0" w:line="5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February 23, 2010, the Company’s Board of Directors authorized the Company to purchase up to $4,000,000 of its common stock over a one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quarter ended June 30,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6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7"/>
              </w:rPr>
              <w:t>(c)</w:t>
            </w:r>
          </w:p>
        </w:tc>
        <w:tc>
          <w:tcPr>
            <w:tcW w:w="12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Total number of shares (or</w:t>
            </w:r>
          </w:p>
        </w:tc>
        <w:tc>
          <w:tcPr>
            <w:tcW w:w="1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(a)</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(b)</w:t>
            </w:r>
          </w:p>
        </w:tc>
        <w:tc>
          <w:tcPr>
            <w:tcW w:w="236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1"/>
              </w:rPr>
              <w:t>units) purchased as part of</w:t>
            </w: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of shares (or units)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Total number of</w:t>
            </w:r>
          </w:p>
        </w:tc>
        <w:tc>
          <w:tcPr>
            <w:tcW w:w="24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Average price paid per</w:t>
            </w:r>
          </w:p>
        </w:tc>
        <w:tc>
          <w:tcPr>
            <w:tcW w:w="23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2"/>
              </w:rPr>
              <w:t>publicly announced plans or</w:t>
            </w:r>
          </w:p>
        </w:tc>
        <w:tc>
          <w:tcPr>
            <w:tcW w:w="1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may yet be purchased under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ind w:left="540"/>
              <w:spacing w:after="0"/>
              <w:rPr>
                <w:sz w:val="20"/>
                <w:szCs w:val="20"/>
                <w:color w:val="auto"/>
              </w:rPr>
            </w:pPr>
            <w:r>
              <w:rPr>
                <w:rFonts w:ascii="Arial" w:cs="Arial" w:eastAsia="Arial" w:hAnsi="Arial"/>
                <w:sz w:val="14"/>
                <w:szCs w:val="14"/>
                <w:color w:val="auto"/>
              </w:rPr>
              <w:t>Period</w:t>
            </w:r>
          </w:p>
        </w:tc>
        <w:tc>
          <w:tcPr>
            <w:tcW w:w="64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w w:val="88"/>
              </w:rPr>
              <w:t>shares (or units)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color w:val="auto"/>
              </w:rPr>
              <w:t>share (or unit)</w:t>
            </w:r>
          </w:p>
        </w:tc>
        <w:tc>
          <w:tcPr>
            <w:tcW w:w="2360" w:type="dxa"/>
            <w:vAlign w:val="bottom"/>
            <w:gridSpan w:val="2"/>
          </w:tcPr>
          <w:p>
            <w:pPr>
              <w:jc w:val="center"/>
              <w:ind w:right="740"/>
              <w:spacing w:after="0"/>
              <w:rPr>
                <w:sz w:val="20"/>
                <w:szCs w:val="20"/>
                <w:color w:val="auto"/>
              </w:rPr>
            </w:pPr>
            <w:r>
              <w:rPr>
                <w:rFonts w:ascii="Arial" w:cs="Arial" w:eastAsia="Arial" w:hAnsi="Arial"/>
                <w:sz w:val="14"/>
                <w:szCs w:val="14"/>
                <w:color w:val="auto"/>
                <w:w w:val="91"/>
              </w:rPr>
              <w:t>programs</w:t>
            </w: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Month # 4</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w w:val="94"/>
              </w:rPr>
              <w:t>Month # 5</w:t>
            </w:r>
          </w:p>
        </w:tc>
        <w:tc>
          <w:tcPr>
            <w:tcW w:w="2220" w:type="dxa"/>
            <w:vAlign w:val="bottom"/>
          </w:tcPr>
          <w:p>
            <w:pPr>
              <w:ind w:left="20"/>
              <w:spacing w:after="0"/>
              <w:rPr>
                <w:sz w:val="20"/>
                <w:szCs w:val="20"/>
                <w:color w:val="auto"/>
              </w:rPr>
            </w:pPr>
            <w:r>
              <w:rPr>
                <w:rFonts w:ascii="Arial" w:cs="Arial" w:eastAsia="Arial" w:hAnsi="Arial"/>
                <w:sz w:val="18"/>
                <w:szCs w:val="18"/>
                <w:color w:val="auto"/>
              </w:rPr>
              <w:t>(May 1 — May 31)</w:t>
            </w:r>
          </w:p>
        </w:tc>
        <w:tc>
          <w:tcPr>
            <w:tcW w:w="64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Month # 6</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24"/>
                <w:szCs w:val="24"/>
                <w:color w:val="auto"/>
              </w:rPr>
            </w:pPr>
          </w:p>
        </w:tc>
        <w:tc>
          <w:tcPr>
            <w:tcW w:w="2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6500" w:type="dxa"/>
            <w:vAlign w:val="bottom"/>
            <w:gridSpan w:val="2"/>
          </w:tcPr>
          <w:p>
            <w:pPr>
              <w:ind w:left="212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August 9, 2010</w:t>
            </w:r>
          </w:p>
        </w:tc>
        <w:tc>
          <w:tcPr>
            <w:tcW w:w="6500" w:type="dxa"/>
            <w:vAlign w:val="bottom"/>
            <w:gridSpan w:val="2"/>
          </w:tcPr>
          <w:p>
            <w:pPr>
              <w:ind w:left="212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240" w:type="dxa"/>
            <w:vAlign w:val="bottom"/>
          </w:tcPr>
          <w:p>
            <w:pPr>
              <w:spacing w:after="0"/>
              <w:rPr>
                <w:sz w:val="24"/>
                <w:szCs w:val="24"/>
                <w:color w:val="auto"/>
              </w:rPr>
            </w:pPr>
          </w:p>
        </w:tc>
        <w:tc>
          <w:tcPr>
            <w:tcW w:w="6500" w:type="dxa"/>
            <w:vAlign w:val="bottom"/>
            <w:gridSpan w:val="2"/>
          </w:tcPr>
          <w:p>
            <w:pPr>
              <w:jc w:val="right"/>
              <w:ind w:right="3850"/>
              <w:spacing w:after="0"/>
              <w:rPr>
                <w:sz w:val="20"/>
                <w:szCs w:val="20"/>
                <w:color w:val="auto"/>
              </w:rPr>
            </w:pPr>
            <w:r>
              <w:rPr>
                <w:rFonts w:ascii="Arial" w:cs="Arial" w:eastAsia="Arial" w:hAnsi="Arial"/>
                <w:sz w:val="18"/>
                <w:szCs w:val="18"/>
                <w:color w:val="auto"/>
              </w:rPr>
              <w:t>16</w:t>
            </w:r>
          </w:p>
        </w:tc>
        <w:tc>
          <w:tcPr>
            <w:tcW w:w="1680" w:type="dxa"/>
            <w:vAlign w:val="bottom"/>
          </w:tcPr>
          <w:p>
            <w:pPr>
              <w:spacing w:after="0"/>
              <w:rPr>
                <w:sz w:val="24"/>
                <w:szCs w:val="24"/>
                <w:color w:val="auto"/>
              </w:rPr>
            </w:pPr>
          </w:p>
        </w:tc>
      </w:tr>
      <w:tr>
        <w:trPr>
          <w:trHeight w:val="226"/>
        </w:trPr>
        <w:tc>
          <w:tcPr>
            <w:tcW w:w="32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19" w:right="1440"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9,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2010,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2010</w:t>
      </w:r>
    </w:p>
    <w:p>
      <w:pPr>
        <w:sectPr>
          <w:pgSz w:w="11900" w:h="16838" w:orient="portrait"/>
          <w:cols w:equalWidth="0" w:num="1">
            <w:col w:w="11380"/>
          </w:cols>
          <w:pgMar w:left="240" w:top="665" w:right="27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2010,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2010</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2019-12-10T19:02:13Z</dcterms:created>
  <dcterms:modified xsi:type="dcterms:W3CDTF">2019-12-10T19:02:13Z</dcterms:modified>
</cp:coreProperties>
</file>