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 1934</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2006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000-27701</w:t>
      </w:r>
    </w:p>
    <w:p>
      <w:pPr>
        <w:spacing w:after="0" w:line="200" w:lineRule="exact"/>
        <w:rPr>
          <w:sz w:val="20"/>
          <w:szCs w:val="20"/>
          <w:color w:val="auto"/>
        </w:rPr>
      </w:pPr>
    </w:p>
    <w:tbl>
      <w:tblPr>
        <w:tblLayout w:type="fixed"/>
        <w:tblInd w:w="1040" w:type="dxa"/>
        <w:tblCellMar>
          <w:top w:w="0" w:type="dxa"/>
          <w:left w:w="0" w:type="dxa"/>
          <w:bottom w:w="0" w:type="dxa"/>
          <w:right w:w="0" w:type="dxa"/>
        </w:tblCellMar>
      </w:tblPr>
      <w:tr>
        <w:trPr>
          <w:trHeight w:val="529"/>
        </w:trPr>
        <w:tc>
          <w:tcPr>
            <w:tcW w:w="340" w:type="dxa"/>
            <w:vAlign w:val="bottom"/>
          </w:tcPr>
          <w:p>
            <w:pPr>
              <w:spacing w:after="0"/>
              <w:rPr>
                <w:sz w:val="24"/>
                <w:szCs w:val="24"/>
                <w:color w:val="auto"/>
              </w:rPr>
            </w:pPr>
          </w:p>
        </w:tc>
        <w:tc>
          <w:tcPr>
            <w:tcW w:w="8920" w:type="dxa"/>
            <w:vAlign w:val="bottom"/>
            <w:gridSpan w:val="6"/>
          </w:tcPr>
          <w:p>
            <w:pPr>
              <w:jc w:val="center"/>
              <w:ind w:right="260"/>
              <w:spacing w:after="0"/>
              <w:rPr>
                <w:sz w:val="20"/>
                <w:szCs w:val="20"/>
                <w:color w:val="auto"/>
              </w:rPr>
            </w:pPr>
            <w:r>
              <w:rPr>
                <w:rFonts w:ascii="Arial" w:cs="Arial" w:eastAsia="Arial" w:hAnsi="Arial"/>
                <w:sz w:val="43"/>
                <w:szCs w:val="43"/>
                <w:b w:val="1"/>
                <w:bCs w:val="1"/>
                <w:color w:val="auto"/>
                <w:w w:val="93"/>
              </w:rPr>
              <w:t>HealthStream, Inc.</w:t>
            </w:r>
          </w:p>
        </w:tc>
      </w:tr>
      <w:tr>
        <w:trPr>
          <w:trHeight w:val="230"/>
        </w:trPr>
        <w:tc>
          <w:tcPr>
            <w:tcW w:w="340" w:type="dxa"/>
            <w:vAlign w:val="bottom"/>
          </w:tcPr>
          <w:p>
            <w:pPr>
              <w:spacing w:after="0"/>
              <w:rPr>
                <w:sz w:val="20"/>
                <w:szCs w:val="20"/>
                <w:color w:val="auto"/>
              </w:rPr>
            </w:pPr>
          </w:p>
        </w:tc>
        <w:tc>
          <w:tcPr>
            <w:tcW w:w="8920" w:type="dxa"/>
            <w:vAlign w:val="bottom"/>
            <w:gridSpan w:val="6"/>
          </w:tcPr>
          <w:p>
            <w:pPr>
              <w:jc w:val="center"/>
              <w:ind w:right="24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340" w:type="dxa"/>
            <w:vAlign w:val="bottom"/>
          </w:tcPr>
          <w:p>
            <w:pPr>
              <w:spacing w:after="0"/>
              <w:rPr>
                <w:sz w:val="24"/>
                <w:szCs w:val="24"/>
                <w:color w:val="auto"/>
              </w:rPr>
            </w:pPr>
          </w:p>
        </w:tc>
        <w:tc>
          <w:tcPr>
            <w:tcW w:w="5760" w:type="dxa"/>
            <w:vAlign w:val="bottom"/>
            <w:gridSpan w:val="3"/>
          </w:tcPr>
          <w:p>
            <w:pPr>
              <w:jc w:val="center"/>
              <w:ind w:right="3080"/>
              <w:spacing w:after="0"/>
              <w:rPr>
                <w:sz w:val="20"/>
                <w:szCs w:val="20"/>
                <w:color w:val="auto"/>
              </w:rPr>
            </w:pPr>
            <w:r>
              <w:rPr>
                <w:rFonts w:ascii="Arial" w:cs="Arial" w:eastAsia="Arial" w:hAnsi="Arial"/>
                <w:sz w:val="18"/>
                <w:szCs w:val="18"/>
                <w:b w:val="1"/>
                <w:bCs w:val="1"/>
                <w:color w:val="auto"/>
                <w:w w:val="81"/>
              </w:rPr>
              <w:t>Tennessee</w:t>
            </w:r>
          </w:p>
        </w:tc>
        <w:tc>
          <w:tcPr>
            <w:tcW w:w="2220" w:type="dxa"/>
            <w:vAlign w:val="bottom"/>
            <w:gridSpan w:val="2"/>
          </w:tcPr>
          <w:p>
            <w:pPr>
              <w:jc w:val="center"/>
              <w:ind w:left="850"/>
              <w:spacing w:after="0"/>
              <w:rPr>
                <w:sz w:val="20"/>
                <w:szCs w:val="20"/>
                <w:color w:val="auto"/>
              </w:rPr>
            </w:pPr>
            <w:r>
              <w:rPr>
                <w:rFonts w:ascii="Arial" w:cs="Arial" w:eastAsia="Arial" w:hAnsi="Arial"/>
                <w:sz w:val="18"/>
                <w:szCs w:val="18"/>
                <w:b w:val="1"/>
                <w:bCs w:val="1"/>
                <w:color w:val="auto"/>
                <w:w w:val="91"/>
              </w:rPr>
              <w:t>62-1443555</w:t>
            </w:r>
          </w:p>
        </w:tc>
        <w:tc>
          <w:tcPr>
            <w:tcW w:w="940" w:type="dxa"/>
            <w:vAlign w:val="bottom"/>
          </w:tcPr>
          <w:p>
            <w:pPr>
              <w:spacing w:after="0"/>
              <w:rPr>
                <w:sz w:val="24"/>
                <w:szCs w:val="24"/>
                <w:color w:val="auto"/>
              </w:rPr>
            </w:pPr>
          </w:p>
        </w:tc>
      </w:tr>
      <w:tr>
        <w:trPr>
          <w:trHeight w:val="209"/>
        </w:trPr>
        <w:tc>
          <w:tcPr>
            <w:tcW w:w="340" w:type="dxa"/>
            <w:vAlign w:val="bottom"/>
          </w:tcPr>
          <w:p>
            <w:pPr>
              <w:spacing w:after="0"/>
              <w:rPr>
                <w:sz w:val="18"/>
                <w:szCs w:val="18"/>
                <w:color w:val="auto"/>
              </w:rPr>
            </w:pP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3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16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40" w:type="dxa"/>
            <w:vAlign w:val="bottom"/>
          </w:tcPr>
          <w:p>
            <w:pPr>
              <w:spacing w:after="0"/>
              <w:rPr>
                <w:sz w:val="20"/>
                <w:szCs w:val="20"/>
                <w:color w:val="auto"/>
              </w:rPr>
            </w:pPr>
          </w:p>
        </w:tc>
        <w:tc>
          <w:tcPr>
            <w:tcW w:w="5760" w:type="dxa"/>
            <w:vAlign w:val="bottom"/>
            <w:gridSpan w:val="3"/>
          </w:tcPr>
          <w:p>
            <w:pPr>
              <w:jc w:val="center"/>
              <w:ind w:right="3080"/>
              <w:spacing w:after="0"/>
              <w:rPr>
                <w:sz w:val="20"/>
                <w:szCs w:val="20"/>
                <w:color w:val="auto"/>
              </w:rPr>
            </w:pPr>
            <w:r>
              <w:rPr>
                <w:rFonts w:ascii="Arial" w:cs="Arial" w:eastAsia="Arial" w:hAnsi="Arial"/>
                <w:sz w:val="18"/>
                <w:szCs w:val="18"/>
                <w:color w:val="auto"/>
                <w:w w:val="92"/>
              </w:rPr>
              <w:t>incorporation or organization)</w:t>
            </w:r>
          </w:p>
        </w:tc>
        <w:tc>
          <w:tcPr>
            <w:tcW w:w="9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5760" w:type="dxa"/>
            <w:vAlign w:val="bottom"/>
            <w:gridSpan w:val="3"/>
          </w:tcPr>
          <w:p>
            <w:pPr>
              <w:jc w:val="center"/>
              <w:ind w:right="3080"/>
              <w:spacing w:after="0"/>
              <w:rPr>
                <w:sz w:val="20"/>
                <w:szCs w:val="20"/>
                <w:color w:val="auto"/>
              </w:rPr>
            </w:pPr>
            <w:r>
              <w:rPr>
                <w:rFonts w:ascii="Arial" w:cs="Arial" w:eastAsia="Arial" w:hAnsi="Arial"/>
                <w:sz w:val="18"/>
                <w:szCs w:val="18"/>
                <w:b w:val="1"/>
                <w:bCs w:val="1"/>
                <w:color w:val="auto"/>
                <w:w w:val="89"/>
              </w:rPr>
              <w:t>209 10th Avenue South, Suite 450</w:t>
            </w: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5760" w:type="dxa"/>
            <w:vAlign w:val="bottom"/>
            <w:gridSpan w:val="3"/>
          </w:tcPr>
          <w:p>
            <w:pPr>
              <w:jc w:val="center"/>
              <w:ind w:right="3080"/>
              <w:spacing w:after="0"/>
              <w:rPr>
                <w:sz w:val="20"/>
                <w:szCs w:val="20"/>
                <w:color w:val="auto"/>
              </w:rPr>
            </w:pPr>
            <w:r>
              <w:rPr>
                <w:rFonts w:ascii="Arial" w:cs="Arial" w:eastAsia="Arial" w:hAnsi="Arial"/>
                <w:sz w:val="18"/>
                <w:szCs w:val="18"/>
                <w:b w:val="1"/>
                <w:bCs w:val="1"/>
                <w:color w:val="auto"/>
                <w:w w:val="85"/>
              </w:rPr>
              <w:t>Nashville, Tennessee</w:t>
            </w:r>
          </w:p>
        </w:tc>
        <w:tc>
          <w:tcPr>
            <w:tcW w:w="2220" w:type="dxa"/>
            <w:vAlign w:val="bottom"/>
            <w:gridSpan w:val="2"/>
          </w:tcPr>
          <w:p>
            <w:pPr>
              <w:jc w:val="center"/>
              <w:ind w:left="830"/>
              <w:spacing w:after="0"/>
              <w:rPr>
                <w:sz w:val="20"/>
                <w:szCs w:val="20"/>
                <w:color w:val="auto"/>
              </w:rPr>
            </w:pPr>
            <w:r>
              <w:rPr>
                <w:rFonts w:ascii="Arial" w:cs="Arial" w:eastAsia="Arial" w:hAnsi="Arial"/>
                <w:sz w:val="18"/>
                <w:szCs w:val="18"/>
                <w:b w:val="1"/>
                <w:bCs w:val="1"/>
                <w:color w:val="auto"/>
                <w:w w:val="91"/>
              </w:rPr>
              <w:t>37203</w:t>
            </w:r>
          </w:p>
        </w:tc>
        <w:tc>
          <w:tcPr>
            <w:tcW w:w="940" w:type="dxa"/>
            <w:vAlign w:val="bottom"/>
          </w:tcPr>
          <w:p>
            <w:pPr>
              <w:spacing w:after="0"/>
              <w:rPr>
                <w:sz w:val="20"/>
                <w:szCs w:val="20"/>
                <w:color w:val="auto"/>
              </w:rPr>
            </w:pPr>
          </w:p>
        </w:tc>
      </w:tr>
      <w:tr>
        <w:trPr>
          <w:trHeight w:val="224"/>
        </w:trPr>
        <w:tc>
          <w:tcPr>
            <w:tcW w:w="33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940" w:type="dxa"/>
            <w:vAlign w:val="bottom"/>
          </w:tcPr>
          <w:p>
            <w:pPr>
              <w:spacing w:after="0"/>
              <w:rPr>
                <w:sz w:val="19"/>
                <w:szCs w:val="19"/>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(615) 301-3100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30" w:lineRule="exact"/>
        <w:rPr>
          <w:sz w:val="20"/>
          <w:szCs w:val="20"/>
          <w:color w:val="auto"/>
        </w:rPr>
      </w:pPr>
    </w:p>
    <w:p>
      <w:pPr>
        <w:spacing w:after="0" w:line="207" w:lineRule="exact"/>
        <w:tabs>
          <w:tab w:leader="none" w:pos="2680" w:val="left"/>
          <w:tab w:leader="none" w:pos="49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17" w:lineRule="exact"/>
        <w:rPr>
          <w:sz w:val="20"/>
          <w:szCs w:val="20"/>
          <w:color w:val="auto"/>
        </w:rPr>
      </w:pPr>
    </w:p>
    <w:p>
      <w:pPr>
        <w:ind w:right="23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10, 2006, 21,727,734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Index to Form 10-Q</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HEALTHSTREAM,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2120" w:type="dxa"/>
            <w:vAlign w:val="bottom"/>
            <w:gridSpan w:val="8"/>
            <w:vMerge w:val="restart"/>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PartI.  Financial Information</w:t>
              </w:r>
            </w:hyperlink>
          </w:p>
        </w:tc>
        <w:tc>
          <w:tcPr>
            <w:tcW w:w="8620" w:type="dxa"/>
            <w:vAlign w:val="bottom"/>
            <w:gridSpan w:val="9"/>
            <w:vMerge w:val="restart"/>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74"/>
        </w:trPr>
        <w:tc>
          <w:tcPr>
            <w:tcW w:w="2120" w:type="dxa"/>
            <w:vAlign w:val="bottom"/>
            <w:tcBorders>
              <w:bottom w:val="single" w:sz="8" w:color="0000EE"/>
            </w:tcBorders>
            <w:gridSpan w:val="8"/>
            <w:vMerge w:val="continue"/>
          </w:tcPr>
          <w:p>
            <w:pPr>
              <w:spacing w:after="0"/>
              <w:rPr>
                <w:sz w:val="14"/>
                <w:szCs w:val="14"/>
                <w:color w:val="auto"/>
              </w:rPr>
            </w:pPr>
          </w:p>
        </w:tc>
        <w:tc>
          <w:tcPr>
            <w:tcW w:w="8620" w:type="dxa"/>
            <w:vAlign w:val="bottom"/>
            <w:gridSpan w:val="9"/>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7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70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 March 31, 2006 (Unaudited) and December 31, 2005</w:t>
              </w:r>
            </w:hyperlink>
          </w:p>
        </w:tc>
        <w:tc>
          <w:tcPr>
            <w:tcW w:w="316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020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 — Three Months ended March 31, 2006 and 2005</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82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 of Shareholders’ Equity (Unaudited) — Three Months ended March 31, 2006</w:t>
              </w:r>
            </w:hyperlink>
          </w:p>
        </w:tc>
        <w:tc>
          <w:tcPr>
            <w:tcW w:w="40" w:type="dxa"/>
            <w:vAlign w:val="bottom"/>
            <w:tcBorders>
              <w:top w:val="single" w:sz="8" w:color="0000EE"/>
            </w:tcBorders>
          </w:tcPr>
          <w:p>
            <w:pPr>
              <w:spacing w:after="0"/>
              <w:rPr>
                <w:sz w:val="24"/>
                <w:szCs w:val="24"/>
                <w:color w:val="auto"/>
              </w:rPr>
            </w:pPr>
          </w:p>
        </w:tc>
        <w:tc>
          <w:tcPr>
            <w:tcW w:w="196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83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(Unaudited) — Three Months ended March 31, 2006 and 2005</w:t>
              </w:r>
            </w:hyperlink>
          </w:p>
        </w:tc>
        <w:tc>
          <w:tcPr>
            <w:tcW w:w="19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020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40" w:type="dxa"/>
            <w:vAlign w:val="bottom"/>
            <w:gridSpan w:val="1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 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7020" w:type="dxa"/>
            <w:vAlign w:val="bottom"/>
            <w:tcBorders>
              <w:top w:val="single" w:sz="8" w:color="0000EE"/>
            </w:tcBorders>
            <w:gridSpan w:val="1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3. Quantitative and Qualitative Disclosures About Market Risk</w:t>
              </w:r>
            </w:hyperlink>
          </w:p>
        </w:tc>
        <w:tc>
          <w:tcPr>
            <w:tcW w:w="372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2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2"/>
          </w:tcPr>
          <w:p>
            <w:pPr>
              <w:spacing w:after="0"/>
              <w:rPr>
                <w:sz w:val="24"/>
                <w:szCs w:val="24"/>
                <w:color w:val="auto"/>
              </w:rPr>
            </w:pPr>
          </w:p>
        </w:tc>
        <w:tc>
          <w:tcPr>
            <w:tcW w:w="582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1074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Part II. 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1A. Risk Factors</w:t>
              </w:r>
            </w:hyperlink>
          </w:p>
        </w:tc>
        <w:tc>
          <w:tcPr>
            <w:tcW w:w="260" w:type="dxa"/>
            <w:vAlign w:val="bottom"/>
            <w:tcBorders>
              <w:top w:val="single" w:sz="8" w:color="0000EE"/>
            </w:tcBorders>
          </w:tcPr>
          <w:p>
            <w:pPr>
              <w:spacing w:after="0"/>
              <w:rPr>
                <w:sz w:val="24"/>
                <w:szCs w:val="24"/>
                <w:color w:val="auto"/>
              </w:rPr>
            </w:pPr>
          </w:p>
        </w:tc>
        <w:tc>
          <w:tcPr>
            <w:tcW w:w="888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1074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6. 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50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7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Signature</w:t>
              </w:r>
            </w:hyperlink>
          </w:p>
        </w:tc>
        <w:tc>
          <w:tcPr>
            <w:tcW w:w="950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 SECTION 302 CERTIFICATION OF THE CEO</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SECTION 302 CERTIFICATION OF THE CFO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 SECTION 906 CERTIFICATION OF THE CEO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 SECTION 906 CERTIFICATION OF THE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58"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2006</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2"/>
              </w:rPr>
              <w:t>(Note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4,857,262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5,726,151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Investments in short term marketable securities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6,775,000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304,635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50,480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54,524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Accounts receivable, net of allowance for doubtful accounts of $114,501 at March 31, 2006 and $115,090 at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2005</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5,057,770</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Accounts receivable — unbilled</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1,007,432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706,011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development fees, net of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849,059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1,228,670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20,130,308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19,226,664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7,601,209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1,023,507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1,281,460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9,906,176</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9,739,788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(7,967,824)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(7,636,306)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1,938,352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2,103,482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10,317,393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10,317,393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line="201" w:lineRule="exact"/>
              <w:rPr>
                <w:sz w:val="20"/>
                <w:szCs w:val="20"/>
                <w:color w:val="auto"/>
              </w:rPr>
            </w:pPr>
            <w:r>
              <w:rPr>
                <w:rFonts w:ascii="Arial" w:cs="Arial" w:eastAsia="Arial" w:hAnsi="Arial"/>
                <w:sz w:val="18"/>
                <w:szCs w:val="18"/>
                <w:color w:val="auto"/>
              </w:rPr>
              <w:t>Intangible assets, net of accumulated amortization of $7,374,911 at March 31, 2006 and $7,247,828 at</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December 31, 2005</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3,137,231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3,264,314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211,937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304,287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35,735,221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35,216,140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738,917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1,473,340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1,487,568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353,711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Registration liabilities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300,051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231,142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support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782,611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5,092,744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166,790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8,908,164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9,200,143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186,730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w w:val="98"/>
              </w:rPr>
              <w:t>Common stock, no par value, 75,000,000 shares authorized; 21,587,529 and 21,574,904 shares issued and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outstanding at March 31, 2006 and December 31, 2005,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93,981,651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93,799,932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(67,341,324)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(67,999,791)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26,640,327</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25,800,141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35,735,221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35,216,140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7,522,640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5,682,402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2,574,951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2,035,765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889,549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636,518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1,628,818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1,190,262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336,054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408,161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 content fees and feature enhancements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307,515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1,237,003</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1,155,929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6,973,890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5,636,455</w:t>
            </w: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24"/>
                <w:szCs w:val="2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548,750</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142,847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105,450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(8,630)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134,217</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682,967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658,467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144,166</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21,284,325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20,685,786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22,139,107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21,467,043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02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Common Stock</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Total 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4"/>
                <w:szCs w:val="14"/>
                <w:color w:val="auto"/>
              </w:rPr>
            </w:pP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spacing w:after="0"/>
              <w:rPr>
                <w:sz w:val="14"/>
                <w:szCs w:val="14"/>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Deficit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4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21,574,904</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$93,799,932</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(67,999,791)</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25,800,141</w:t>
            </w:r>
          </w:p>
        </w:tc>
        <w:tc>
          <w:tcPr>
            <w:tcW w:w="0" w:type="dxa"/>
            <w:vAlign w:val="bottom"/>
          </w:tcPr>
          <w:p>
            <w:pPr>
              <w:spacing w:after="0"/>
              <w:rPr>
                <w:sz w:val="1"/>
                <w:szCs w:val="1"/>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92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658,467</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658,467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9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149,376</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149,376</w:t>
            </w:r>
          </w:p>
        </w:tc>
        <w:tc>
          <w:tcPr>
            <w:tcW w:w="0" w:type="dxa"/>
            <w:vAlign w:val="bottom"/>
          </w:tcPr>
          <w:p>
            <w:pPr>
              <w:spacing w:after="0"/>
              <w:rPr>
                <w:sz w:val="1"/>
                <w:szCs w:val="1"/>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4420" w:type="dxa"/>
            <w:vAlign w:val="bottom"/>
            <w:gridSpan w:val="3"/>
          </w:tcPr>
          <w:p>
            <w:pPr>
              <w:jc w:val="right"/>
              <w:ind w:right="580"/>
              <w:spacing w:after="0"/>
              <w:rPr>
                <w:sz w:val="20"/>
                <w:szCs w:val="20"/>
                <w:color w:val="auto"/>
              </w:rPr>
            </w:pPr>
            <w:r>
              <w:rPr>
                <w:rFonts w:ascii="Arial" w:cs="Arial" w:eastAsia="Arial" w:hAnsi="Arial"/>
                <w:sz w:val="18"/>
                <w:szCs w:val="18"/>
                <w:color w:val="auto"/>
              </w:rPr>
              <w:t>12,625</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32,343</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32,343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5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2006</w:t>
            </w:r>
          </w:p>
        </w:tc>
        <w:tc>
          <w:tcPr>
            <w:tcW w:w="29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21,587,529</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93,981,651</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(67,341,324)</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26,640,327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940" w:type="dxa"/>
            <w:vAlign w:val="bottom"/>
            <w:gridSpan w:val="5"/>
          </w:tcPr>
          <w:p>
            <w:pPr>
              <w:jc w:val="center"/>
              <w:ind w:left="250"/>
              <w:spacing w:after="0"/>
              <w:rPr>
                <w:sz w:val="20"/>
                <w:szCs w:val="20"/>
                <w:color w:val="auto"/>
              </w:rPr>
            </w:pPr>
            <w:r>
              <w:rPr>
                <w:rFonts w:ascii="Arial" w:cs="Arial" w:eastAsia="Arial" w:hAnsi="Arial"/>
                <w:sz w:val="18"/>
                <w:szCs w:val="18"/>
                <w:color w:val="auto"/>
                <w:w w:val="88"/>
              </w:rPr>
              <w:t>See accompanying notes to the condensed consolidated financial statements.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840" w:type="dxa"/>
            <w:vAlign w:val="bottom"/>
            <w:gridSpan w:val="2"/>
          </w:tcPr>
          <w:p>
            <w:pPr>
              <w:jc w:val="right"/>
              <w:ind w:right="577"/>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658,467</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336,054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408,161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 content fees, and feature enhancements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307,515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149,376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Realized loss on disposal of property &amp; equipment</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Accounts and unbilled receivables</w:t>
            </w:r>
          </w:p>
        </w:tc>
        <w:tc>
          <w:tcPr>
            <w:tcW w:w="100" w:type="dxa"/>
            <w:vAlign w:val="bottom"/>
          </w:tcPr>
          <w:p>
            <w:pPr>
              <w:spacing w:after="0"/>
              <w:rPr>
                <w:sz w:val="18"/>
                <w:szCs w:val="18"/>
                <w:color w:val="auto"/>
              </w:rPr>
            </w:pPr>
          </w:p>
        </w:tc>
        <w:tc>
          <w:tcPr>
            <w:tcW w:w="1480" w:type="dxa"/>
            <w:vAlign w:val="bottom"/>
            <w:gridSpan w:val="3"/>
          </w:tcPr>
          <w:p>
            <w:pPr>
              <w:jc w:val="right"/>
              <w:ind w:right="620"/>
              <w:spacing w:after="0"/>
              <w:rPr>
                <w:sz w:val="20"/>
                <w:szCs w:val="20"/>
                <w:color w:val="auto"/>
              </w:rPr>
            </w:pPr>
            <w:r>
              <w:rPr>
                <w:rFonts w:ascii="Arial" w:cs="Arial" w:eastAsia="Arial" w:hAnsi="Arial"/>
                <w:sz w:val="18"/>
                <w:szCs w:val="18"/>
                <w:color w:val="auto"/>
              </w:rPr>
              <w:t>(667,789)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(66,097)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4,044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development fees</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(262,839)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Pr>
          <w:p>
            <w:pPr>
              <w:spacing w:after="0"/>
              <w:rPr>
                <w:sz w:val="18"/>
                <w:szCs w:val="18"/>
                <w:color w:val="auto"/>
              </w:rPr>
            </w:pPr>
          </w:p>
        </w:tc>
        <w:tc>
          <w:tcPr>
            <w:tcW w:w="1480" w:type="dxa"/>
            <w:vAlign w:val="bottom"/>
            <w:gridSpan w:val="3"/>
          </w:tcPr>
          <w:p>
            <w:pPr>
              <w:jc w:val="right"/>
              <w:ind w:right="620"/>
              <w:spacing w:after="0"/>
              <w:rPr>
                <w:sz w:val="20"/>
                <w:szCs w:val="20"/>
                <w:color w:val="auto"/>
              </w:rPr>
            </w:pPr>
            <w:r>
              <w:rPr>
                <w:rFonts w:ascii="Arial" w:cs="Arial" w:eastAsia="Arial" w:hAnsi="Arial"/>
                <w:sz w:val="18"/>
                <w:szCs w:val="18"/>
                <w:color w:val="auto"/>
              </w:rPr>
              <w:t>(360,284)</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92,352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480" w:type="dxa"/>
            <w:vAlign w:val="bottom"/>
            <w:gridSpan w:val="3"/>
          </w:tcPr>
          <w:p>
            <w:pPr>
              <w:jc w:val="right"/>
              <w:ind w:right="620"/>
              <w:spacing w:after="0"/>
              <w:rPr>
                <w:sz w:val="20"/>
                <w:szCs w:val="20"/>
                <w:color w:val="auto"/>
              </w:rPr>
            </w:pPr>
            <w:r>
              <w:rPr>
                <w:rFonts w:ascii="Arial" w:cs="Arial" w:eastAsia="Arial" w:hAnsi="Arial"/>
                <w:sz w:val="18"/>
                <w:szCs w:val="18"/>
                <w:color w:val="auto"/>
              </w:rPr>
              <w:t>(194,978)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234,072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liabilities and compensation</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(299,985)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Registration liabilities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68,909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(69,808)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Commercial support liabilities</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(456,513)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589,820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(101,783)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1,354,223</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Acquisition, net of cash acquired</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(9,321,206)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maturities and sales of investments in marketable securities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3,950,000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9,275,000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 in marketable securities</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1"/>
              </w:rPr>
              <w:t>(4,550,000)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1480" w:type="dxa"/>
            <w:vAlign w:val="bottom"/>
            <w:gridSpan w:val="3"/>
          </w:tcPr>
          <w:p>
            <w:pPr>
              <w:jc w:val="right"/>
              <w:ind w:right="620"/>
              <w:spacing w:after="0"/>
              <w:rPr>
                <w:sz w:val="20"/>
                <w:szCs w:val="20"/>
                <w:color w:val="auto"/>
              </w:rPr>
            </w:pPr>
            <w:r>
              <w:rPr>
                <w:rFonts w:ascii="Arial" w:cs="Arial" w:eastAsia="Arial" w:hAnsi="Arial"/>
                <w:sz w:val="18"/>
                <w:szCs w:val="18"/>
                <w:color w:val="auto"/>
              </w:rPr>
              <w:t>(157,629)</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(411,254)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(757,629)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(1,457,460)</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32,343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Payments on capital lease obligations</w:t>
            </w:r>
          </w:p>
        </w:tc>
        <w:tc>
          <w:tcPr>
            <w:tcW w:w="100" w:type="dxa"/>
            <w:vAlign w:val="bottom"/>
          </w:tcPr>
          <w:p>
            <w:pPr>
              <w:spacing w:after="0"/>
              <w:rPr>
                <w:sz w:val="18"/>
                <w:szCs w:val="18"/>
                <w:color w:val="auto"/>
              </w:rPr>
            </w:pPr>
          </w:p>
        </w:tc>
        <w:tc>
          <w:tcPr>
            <w:tcW w:w="1480" w:type="dxa"/>
            <w:vAlign w:val="bottom"/>
            <w:gridSpan w:val="3"/>
          </w:tcPr>
          <w:p>
            <w:pPr>
              <w:jc w:val="right"/>
              <w:ind w:right="620"/>
              <w:spacing w:after="0"/>
              <w:rPr>
                <w:sz w:val="20"/>
                <w:szCs w:val="20"/>
                <w:color w:val="auto"/>
              </w:rPr>
            </w:pPr>
            <w:r>
              <w:rPr>
                <w:rFonts w:ascii="Arial" w:cs="Arial" w:eastAsia="Arial" w:hAnsi="Arial"/>
                <w:sz w:val="18"/>
                <w:szCs w:val="18"/>
                <w:color w:val="auto"/>
              </w:rPr>
              <w:t>(41,820)</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(9,477)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43,936</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Pr>
          <w:p>
            <w:pPr>
              <w:spacing w:after="0"/>
              <w:rPr>
                <w:sz w:val="24"/>
                <w:szCs w:val="24"/>
                <w:color w:val="auto"/>
              </w:rPr>
            </w:pPr>
          </w:p>
        </w:tc>
        <w:tc>
          <w:tcPr>
            <w:tcW w:w="1480" w:type="dxa"/>
            <w:vAlign w:val="bottom"/>
            <w:gridSpan w:val="3"/>
          </w:tcPr>
          <w:p>
            <w:pPr>
              <w:jc w:val="right"/>
              <w:ind w:right="620"/>
              <w:spacing w:after="0"/>
              <w:rPr>
                <w:sz w:val="20"/>
                <w:szCs w:val="20"/>
                <w:color w:val="auto"/>
              </w:rPr>
            </w:pPr>
            <w:r>
              <w:rPr>
                <w:rFonts w:ascii="Arial" w:cs="Arial" w:eastAsia="Arial" w:hAnsi="Arial"/>
                <w:sz w:val="18"/>
                <w:szCs w:val="18"/>
                <w:color w:val="auto"/>
              </w:rPr>
              <w:t>(868,889)</w:t>
            </w: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(59,301)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5,726,151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2,257,372</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4,857,262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2,198,071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Capital lease obligations incurred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13,462</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Issuance of common stock in connection with acquisition of company</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1,303,516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Effects of acquisition: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Estimated fair value of tangible assets acquired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Estimated fair value of liabilities assumed</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Purchase price in excess of net tangible assets acquired</w:t>
            </w:r>
          </w:p>
        </w:tc>
        <w:tc>
          <w:tcPr>
            <w:tcW w:w="100" w:type="dxa"/>
            <w:vAlign w:val="bottom"/>
          </w:tcPr>
          <w:p>
            <w:pPr>
              <w:spacing w:after="0"/>
              <w:rPr>
                <w:sz w:val="18"/>
                <w:szCs w:val="18"/>
                <w:color w:val="auto"/>
              </w:rPr>
            </w:pPr>
          </w:p>
        </w:tc>
        <w:tc>
          <w:tcPr>
            <w:tcW w:w="14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10,599,490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issued</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(1,303,516)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Cash paid</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9,351,150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cash acquired</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Net cash paid for acquisition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9,321,206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condensed consolidated financial statements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months ended March 31, 2006 are not necessarily indicative of the results that may be expected for the year ending December 31, 2006.</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balance sheet at December 31, 2005 is consistent with the audited financial statements at that date but does not include all of the information and footnotes required by accounting principles generally accepted in the United States for a complete set of financial statements. For further information, refer to the consolidated financial statements and footnotes thereto for the year ended December 31, 2005 (included in the Company’s Annual Report on Form 10-K, filed with the Securities and Exchange Commission).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STOCK-BASED COMPENSATION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2004, the Financial Accounting Standards Board (FASB) issued SFAS No. 123(R), “Share-Based Payments.” Statement 123(R) supersedes APB Opinion No. 25, “Accounting for Stock Issued to Employees,” (APB 25) and requires companies to recognize compensation expense, using a fair-value based method, for costs related to share-based payments, including stock options. The Company adopted Statement 123(R) on January 1, 2006 and implemented it using the modified-prospective method for transition purposes, therefore prior period financial results have not been restated. The modified-prospective method requires compensation expense be recorded for all unvested share-based payments outstanding prior to adoption and for all share-based payments issued subsequent to adoption using a fair value approach. We use the Black Scholes option pricing model for calculating the fair value of awards issued under our stock-based compensation plans.</w:t>
      </w:r>
    </w:p>
    <w:p>
      <w:pPr>
        <w:spacing w:after="0" w:line="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stock-based compensation expense recorded, as a result of adopting Statement 123(R), for the three months ended March 31, 2006, which is recorded in our statement of operations,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4200" w:type="dxa"/>
            <w:vAlign w:val="bottom"/>
            <w:gridSpan w:val="4"/>
          </w:tcPr>
          <w:p>
            <w:pPr>
              <w:ind w:left="2940"/>
              <w:spacing w:after="0"/>
              <w:rPr>
                <w:sz w:val="20"/>
                <w:szCs w:val="20"/>
                <w:color w:val="auto"/>
              </w:rPr>
            </w:pPr>
            <w:r>
              <w:rPr>
                <w:rFonts w:ascii="Arial" w:cs="Arial" w:eastAsia="Arial" w:hAnsi="Arial"/>
                <w:sz w:val="14"/>
                <w:szCs w:val="14"/>
                <w:color w:val="auto"/>
                <w:w w:val="95"/>
              </w:rPr>
              <w:t>Three months ended</w:t>
            </w:r>
          </w:p>
        </w:tc>
      </w:tr>
      <w:tr>
        <w:trPr>
          <w:trHeight w:val="167"/>
        </w:trPr>
        <w:tc>
          <w:tcPr>
            <w:tcW w:w="7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w w:val="92"/>
              </w:rPr>
              <w:t>March 31, 2006</w:t>
            </w:r>
          </w:p>
        </w:tc>
        <w:tc>
          <w:tcPr>
            <w:tcW w:w="100" w:type="dxa"/>
            <w:vAlign w:val="bottom"/>
          </w:tcPr>
          <w:p>
            <w:pPr>
              <w:spacing w:after="0"/>
              <w:rPr>
                <w:sz w:val="14"/>
                <w:szCs w:val="14"/>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304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19,414</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Product development</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40,552</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40,290</w:t>
            </w: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49,120</w:t>
            </w:r>
          </w:p>
        </w:tc>
        <w:tc>
          <w:tcPr>
            <w:tcW w:w="100" w:type="dxa"/>
            <w:vAlign w:val="bottom"/>
          </w:tcPr>
          <w:p>
            <w:pPr>
              <w:spacing w:after="0"/>
              <w:rPr>
                <w:sz w:val="19"/>
                <w:szCs w:val="19"/>
                <w:color w:val="auto"/>
              </w:rPr>
            </w:pP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304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149,376</w:t>
            </w:r>
          </w:p>
        </w:tc>
      </w:tr>
      <w:tr>
        <w:trPr>
          <w:trHeight w:val="20"/>
        </w:trPr>
        <w:tc>
          <w:tcPr>
            <w:tcW w:w="7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Prior to adopting Statement 123(R), we accounted for our stock-based compensation plans under the intrinsic value-based method of accounting prescribed by APB 25 and related interpretations. The following pro forma table reflects our net income (loss) and net income (loss) per share had the fair value provisions of SFAS No. 123 “Accounting for Stock-Based Compensation” been followed during the three months ended March 31, 2005: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4"/>
              </w:rPr>
              <w:t>March 31, 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Arial" w:cs="Arial" w:eastAsia="Arial" w:hAnsi="Arial"/>
                <w:sz w:val="18"/>
                <w:szCs w:val="18"/>
                <w:color w:val="auto"/>
              </w:rPr>
              <w:t>Add: Stock-based employee compensation expense included in reported net income, net of related taxes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Deduct: Total stock-based employee compensation expense determined under fair value based method for all awards net of related</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40" w:type="dxa"/>
            <w:vAlign w:val="bottom"/>
            <w:shd w:val="clear" w:color="auto" w:fill="CCEEFF"/>
          </w:tcPr>
          <w:p>
            <w:pPr>
              <w:jc w:val="right"/>
              <w:ind w:right="8710"/>
              <w:spacing w:after="0"/>
              <w:rPr>
                <w:sz w:val="20"/>
                <w:szCs w:val="20"/>
                <w:color w:val="auto"/>
              </w:rPr>
            </w:pPr>
            <w:r>
              <w:rPr>
                <w:rFonts w:ascii="Arial" w:cs="Arial" w:eastAsia="Arial" w:hAnsi="Arial"/>
                <w:sz w:val="18"/>
                <w:szCs w:val="18"/>
                <w:color w:val="auto"/>
              </w:rPr>
              <w:t>tax effects</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(145,983)</w:t>
            </w:r>
          </w:p>
        </w:tc>
        <w:tc>
          <w:tcPr>
            <w:tcW w:w="0" w:type="dxa"/>
            <w:vAlign w:val="bottom"/>
          </w:tcPr>
          <w:p>
            <w:pPr>
              <w:spacing w:after="0"/>
              <w:rPr>
                <w:sz w:val="1"/>
                <w:szCs w:val="1"/>
                <w:color w:val="auto"/>
              </w:rPr>
            </w:pPr>
          </w:p>
        </w:tc>
      </w:tr>
      <w:tr>
        <w:trPr>
          <w:trHeight w:val="223"/>
        </w:trPr>
        <w:tc>
          <w:tcPr>
            <w:tcW w:w="9760" w:type="dxa"/>
            <w:vAlign w:val="bottom"/>
            <w:gridSpan w:val="2"/>
          </w:tcPr>
          <w:p>
            <w:pPr>
              <w:spacing w:after="0"/>
              <w:rPr>
                <w:sz w:val="20"/>
                <w:szCs w:val="20"/>
                <w:color w:val="auto"/>
              </w:rPr>
            </w:pPr>
            <w:r>
              <w:rPr>
                <w:rFonts w:ascii="Arial" w:cs="Arial" w:eastAsia="Arial" w:hAnsi="Arial"/>
                <w:sz w:val="18"/>
                <w:szCs w:val="18"/>
                <w:color w:val="auto"/>
              </w:rPr>
              <w:t>Pro forma net loss</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 as reported</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9760" w:type="dxa"/>
            <w:vAlign w:val="bottom"/>
            <w:gridSpan w:val="2"/>
            <w:vMerge w:val="restart"/>
          </w:tcPr>
          <w:p>
            <w:pPr>
              <w:spacing w:after="0"/>
              <w:rPr>
                <w:sz w:val="20"/>
                <w:szCs w:val="20"/>
                <w:color w:val="auto"/>
              </w:rPr>
            </w:pPr>
            <w:r>
              <w:rPr>
                <w:rFonts w:ascii="Arial" w:cs="Arial" w:eastAsia="Arial" w:hAnsi="Arial"/>
                <w:sz w:val="18"/>
                <w:szCs w:val="18"/>
                <w:color w:val="auto"/>
              </w:rPr>
              <w:t>Basic net loss per share — pro forma</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 as reported</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9760" w:type="dxa"/>
            <w:vAlign w:val="bottom"/>
            <w:gridSpan w:val="2"/>
            <w:vMerge w:val="restart"/>
          </w:tcPr>
          <w:p>
            <w:pPr>
              <w:spacing w:after="0"/>
              <w:rPr>
                <w:sz w:val="20"/>
                <w:szCs w:val="20"/>
                <w:color w:val="auto"/>
              </w:rPr>
            </w:pPr>
            <w:r>
              <w:rPr>
                <w:rFonts w:ascii="Arial" w:cs="Arial" w:eastAsia="Arial" w:hAnsi="Arial"/>
                <w:sz w:val="18"/>
                <w:szCs w:val="18"/>
                <w:color w:val="auto"/>
              </w:rPr>
              <w:t>Diluted net loss per share — pro forma</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60" w:type="dxa"/>
            <w:vAlign w:val="bottom"/>
            <w:gridSpan w:val="2"/>
            <w:vMerge w:val="restart"/>
          </w:tcPr>
          <w:p>
            <w:pPr>
              <w:jc w:val="right"/>
              <w:ind w:right="391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7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7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STOCK-BASED COMPENSATION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 Plans</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2000 Stock Incentive Plan (2000 Plan) and 1994 Employee Stock Option Plan (1994 Plan) (the 2000 Plan and the 1994 Plan are collectively referred to as “the Plan”) authorize the grant of options or other forms of stock-based compensation to employees, officers, directors, and others and such grants must be approved by the Compensation Committee of the Board of Directors. The terms of both plans are substantially similar. Options granted under the Plan have terms of no more than ten years with certain restrictions. The Plan allows the Compensation Committee of the Board of Directors to determine the vesting period of each grant. The vesting period of the options granted ranges from immediate vesting (generally associated with professional consulting boards and directors’ options) to annual vesting over four years, beginning one year after the grant date (generally for employee and officer options). As of March 31, 2006, 2,264,793 shares of unissued common stock remain reserved for future grants under the Plan. The Company issues new shares of common stock when options are exercised.</w:t>
      </w:r>
    </w:p>
    <w:p>
      <w:pPr>
        <w:spacing w:after="0" w:line="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fair value of stock-based awards granted during the three months ended March 31, 2006 was estimated using the Black Scholes option pricing model, with the assumptions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4.55%</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160" w:type="dxa"/>
            <w:vAlign w:val="bottom"/>
          </w:tcPr>
          <w:p>
            <w:pPr>
              <w:jc w:val="right"/>
              <w:ind w:right="90"/>
              <w:spacing w:after="0"/>
              <w:rPr>
                <w:sz w:val="20"/>
                <w:szCs w:val="20"/>
                <w:color w:val="auto"/>
              </w:rPr>
            </w:pPr>
            <w:r>
              <w:rPr>
                <w:rFonts w:ascii="Arial" w:cs="Arial" w:eastAsia="Arial" w:hAnsi="Arial"/>
                <w:sz w:val="18"/>
                <w:szCs w:val="18"/>
                <w:color w:val="auto"/>
              </w:rPr>
              <w:t>0.0%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5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5160" w:type="dxa"/>
            <w:vAlign w:val="bottom"/>
          </w:tcPr>
          <w:p>
            <w:pPr>
              <w:jc w:val="right"/>
              <w:ind w:right="90"/>
              <w:spacing w:after="0"/>
              <w:rPr>
                <w:sz w:val="20"/>
                <w:szCs w:val="20"/>
                <w:color w:val="auto"/>
              </w:rPr>
            </w:pPr>
            <w:r>
              <w:rPr>
                <w:rFonts w:ascii="Arial" w:cs="Arial" w:eastAsia="Arial" w:hAnsi="Arial"/>
                <w:sz w:val="18"/>
                <w:szCs w:val="18"/>
                <w:color w:val="auto"/>
              </w:rPr>
              <w:t>15%</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Risk-free interest rate</w:t>
      </w:r>
      <w:r>
        <w:rPr>
          <w:rFonts w:ascii="Arial" w:cs="Arial" w:eastAsia="Arial" w:hAnsi="Arial"/>
          <w:sz w:val="17"/>
          <w:szCs w:val="17"/>
          <w:color w:val="auto"/>
        </w:rPr>
        <w:t xml:space="preserve"> is based on the U.S. Treasury rate in effect at the time of the option grant having a term equal to the expected life of the option.</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Expected dividend yield</w:t>
      </w:r>
      <w:r>
        <w:rPr>
          <w:rFonts w:ascii="Arial" w:cs="Arial" w:eastAsia="Arial" w:hAnsi="Arial"/>
          <w:sz w:val="18"/>
          <w:szCs w:val="18"/>
          <w:color w:val="auto"/>
        </w:rPr>
        <w:t xml:space="preserve"> is zero because the Company has not made any dividend payments in its history and does not plan to pay dividends in the foreseeable future.</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Expected life</w:t>
      </w:r>
      <w:r>
        <w:rPr>
          <w:rFonts w:ascii="Arial" w:cs="Arial" w:eastAsia="Arial" w:hAnsi="Arial"/>
          <w:sz w:val="18"/>
          <w:szCs w:val="18"/>
          <w:color w:val="auto"/>
        </w:rPr>
        <w:t xml:space="preserve"> is the period of time the option is expected to remain outstanding, and is based on historical experience. The contractual option life ranges from eight to ten years.</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u w:val="single" w:color="auto"/>
          <w:color w:val="auto"/>
        </w:rPr>
        <w:t>Expected forfeiture rate</w:t>
      </w:r>
      <w:r>
        <w:rPr>
          <w:rFonts w:ascii="Arial" w:cs="Arial" w:eastAsia="Arial" w:hAnsi="Arial"/>
          <w:sz w:val="18"/>
          <w:szCs w:val="18"/>
          <w:color w:val="auto"/>
        </w:rPr>
        <w:t xml:space="preserve"> is the estimated percentage of options granted that are not expected to become fully vested. This estimate is based on historical experience, and will be adjusted as necessary to match the actual forfeiture experience.</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u w:val="single" w:color="auto"/>
          <w:color w:val="auto"/>
        </w:rPr>
        <w:t>Volatility</w:t>
      </w:r>
      <w:r>
        <w:rPr>
          <w:rFonts w:ascii="Arial" w:cs="Arial" w:eastAsia="Arial" w:hAnsi="Arial"/>
          <w:sz w:val="18"/>
          <w:szCs w:val="18"/>
          <w:color w:val="auto"/>
        </w:rPr>
        <w:t xml:space="preserve"> is the measure of the amount by which the price is expected to fluctuate. We estimate volatility based on the actual historical volatility of our common stock, which we believe future volatility will be similar to our past experience.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We amortize the fair value of all stock-based awards on a straight-line basis over the requisite service period, which generally is the vesting period.</w:t>
      </w:r>
    </w:p>
    <w:p>
      <w:pPr>
        <w:spacing w:after="0" w:line="1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summary of stock option activity and various other information relative to stock options for the three months ended March 31, 2006 is presented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740"/>
              <w:spacing w:after="0"/>
              <w:rPr>
                <w:sz w:val="20"/>
                <w:szCs w:val="20"/>
                <w:color w:val="auto"/>
              </w:rPr>
            </w:pPr>
            <w:r>
              <w:rPr>
                <w:rFonts w:ascii="Arial" w:cs="Arial" w:eastAsia="Arial" w:hAnsi="Arial"/>
                <w:sz w:val="14"/>
                <w:szCs w:val="14"/>
                <w:color w:val="auto"/>
                <w:w w:val="93"/>
              </w:rPr>
              <w:t>Weighted-</w:t>
            </w:r>
          </w:p>
        </w:tc>
        <w:tc>
          <w:tcPr>
            <w:tcW w:w="1680" w:type="dxa"/>
            <w:vAlign w:val="bottom"/>
            <w:gridSpan w:val="2"/>
          </w:tcPr>
          <w:p>
            <w:pPr>
              <w:jc w:val="center"/>
              <w:ind w:right="620"/>
              <w:spacing w:after="0"/>
              <w:rPr>
                <w:sz w:val="20"/>
                <w:szCs w:val="20"/>
                <w:color w:val="auto"/>
              </w:rPr>
            </w:pPr>
            <w:r>
              <w:rPr>
                <w:rFonts w:ascii="Arial" w:cs="Arial" w:eastAsia="Arial" w:hAnsi="Arial"/>
                <w:sz w:val="14"/>
                <w:szCs w:val="14"/>
                <w:color w:val="auto"/>
                <w:w w:val="92"/>
              </w:rPr>
              <w:t>Weighted Average</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Aggregate</w:t>
            </w:r>
          </w:p>
        </w:tc>
      </w:tr>
      <w:tr>
        <w:trPr>
          <w:trHeight w:val="149"/>
        </w:trPr>
        <w:tc>
          <w:tcPr>
            <w:tcW w:w="59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Common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1"/>
              </w:rPr>
              <w:t>Average</w:t>
            </w:r>
          </w:p>
        </w:tc>
        <w:tc>
          <w:tcPr>
            <w:tcW w:w="16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2"/>
              </w:rPr>
              <w:t>Remaining</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Intrinsic</w:t>
            </w:r>
          </w:p>
        </w:tc>
      </w:tr>
      <w:tr>
        <w:trPr>
          <w:trHeight w:val="167"/>
        </w:trPr>
        <w:tc>
          <w:tcPr>
            <w:tcW w:w="5900" w:type="dxa"/>
            <w:vAlign w:val="bottom"/>
          </w:tcPr>
          <w:p>
            <w:pPr>
              <w:spacing w:after="0"/>
              <w:rPr>
                <w:sz w:val="14"/>
                <w:szCs w:val="14"/>
                <w:color w:val="auto"/>
              </w:rPr>
            </w:pPr>
          </w:p>
        </w:tc>
        <w:tc>
          <w:tcPr>
            <w:tcW w:w="840" w:type="dxa"/>
            <w:vAlign w:val="bottom"/>
          </w:tcPr>
          <w:p>
            <w:pPr>
              <w:jc w:val="right"/>
              <w:ind w:right="154"/>
              <w:spacing w:after="0"/>
              <w:rPr>
                <w:sz w:val="20"/>
                <w:szCs w:val="20"/>
                <w:color w:val="auto"/>
              </w:rPr>
            </w:pPr>
            <w:r>
              <w:rPr>
                <w:rFonts w:ascii="Arial" w:cs="Arial" w:eastAsia="Arial" w:hAnsi="Arial"/>
                <w:sz w:val="14"/>
                <w:szCs w:val="14"/>
                <w:color w:val="auto"/>
              </w:rPr>
              <w:t>Shares</w:t>
            </w:r>
          </w:p>
        </w:tc>
        <w:tc>
          <w:tcPr>
            <w:tcW w:w="340" w:type="dxa"/>
            <w:vAlign w:val="bottom"/>
          </w:tcPr>
          <w:p>
            <w:pPr>
              <w:spacing w:after="0"/>
              <w:rPr>
                <w:sz w:val="14"/>
                <w:szCs w:val="14"/>
                <w:color w:val="auto"/>
              </w:rPr>
            </w:pPr>
          </w:p>
        </w:tc>
        <w:tc>
          <w:tcPr>
            <w:tcW w:w="1720" w:type="dxa"/>
            <w:vAlign w:val="bottom"/>
            <w:gridSpan w:val="4"/>
          </w:tcPr>
          <w:p>
            <w:pPr>
              <w:ind w:left="280"/>
              <w:spacing w:after="0"/>
              <w:rPr>
                <w:sz w:val="20"/>
                <w:szCs w:val="20"/>
                <w:color w:val="auto"/>
              </w:rPr>
            </w:pPr>
            <w:r>
              <w:rPr>
                <w:rFonts w:ascii="Arial" w:cs="Arial" w:eastAsia="Arial" w:hAnsi="Arial"/>
                <w:sz w:val="14"/>
                <w:szCs w:val="14"/>
                <w:color w:val="auto"/>
              </w:rPr>
              <w:t>Exercise Price</w:t>
            </w:r>
          </w:p>
        </w:tc>
        <w:tc>
          <w:tcPr>
            <w:tcW w:w="1680" w:type="dxa"/>
            <w:vAlign w:val="bottom"/>
            <w:gridSpan w:val="2"/>
          </w:tcPr>
          <w:p>
            <w:pPr>
              <w:jc w:val="center"/>
              <w:ind w:right="620"/>
              <w:spacing w:after="0"/>
              <w:rPr>
                <w:sz w:val="20"/>
                <w:szCs w:val="20"/>
                <w:color w:val="auto"/>
              </w:rPr>
            </w:pPr>
            <w:r>
              <w:rPr>
                <w:rFonts w:ascii="Arial" w:cs="Arial" w:eastAsia="Arial" w:hAnsi="Arial"/>
                <w:sz w:val="14"/>
                <w:szCs w:val="14"/>
                <w:color w:val="auto"/>
                <w:w w:val="95"/>
              </w:rPr>
              <w:t>Contractual Life</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Value</w:t>
            </w:r>
          </w:p>
        </w:tc>
      </w:tr>
      <w:tr>
        <w:trPr>
          <w:trHeight w:val="20"/>
        </w:trPr>
        <w:tc>
          <w:tcPr>
            <w:tcW w:w="59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2,794,415</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3.41</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250,000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2.75</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2.56</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Expired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(15,100)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3.16</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2.36</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Outstanding at March 31, 2006</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2,947,690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620" w:type="dxa"/>
            <w:vAlign w:val="bottom"/>
          </w:tcPr>
          <w:p>
            <w:pPr>
              <w:spacing w:after="0"/>
              <w:rPr>
                <w:sz w:val="19"/>
                <w:szCs w:val="19"/>
                <w:color w:val="auto"/>
              </w:rPr>
            </w:pP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4.4 years</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$ 3,279,950</w:t>
            </w:r>
          </w:p>
        </w:tc>
      </w:tr>
      <w:tr>
        <w:trPr>
          <w:trHeight w:val="20"/>
        </w:trPr>
        <w:tc>
          <w:tcPr>
            <w:tcW w:w="5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2006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2,077,440</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3.71</w:t>
            </w:r>
          </w:p>
        </w:tc>
        <w:tc>
          <w:tcPr>
            <w:tcW w:w="1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5.0 years</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$ 2,294,758</w:t>
            </w:r>
          </w:p>
        </w:tc>
      </w:tr>
      <w:tr>
        <w:trPr>
          <w:trHeight w:val="20"/>
        </w:trPr>
        <w:tc>
          <w:tcPr>
            <w:tcW w:w="5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aggregate intrinsic value in the table above represents the total difference between the Company’s closing stock price on March 31, 2006 of $3.72 and the option exercise price, multiplied by the number of in-the-money options as of March 31, 2006. As of March 31, 2006, total unrecognized compensation expense related to non-vested stock options is $1,122,106, net of estimated forfeitures, with a weighted average expense recognition period of 3.0 years.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STOCK-BASED COMPENSATION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relative to option activity during the three months ended March 31, 2006 and 2005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4"/>
          </w:tcPr>
          <w:p>
            <w:pPr>
              <w:ind w:left="420"/>
              <w:spacing w:after="0"/>
              <w:rPr>
                <w:sz w:val="20"/>
                <w:szCs w:val="20"/>
                <w:color w:val="auto"/>
              </w:rPr>
            </w:pPr>
            <w:r>
              <w:rPr>
                <w:rFonts w:ascii="Arial" w:cs="Arial" w:eastAsia="Arial" w:hAnsi="Arial"/>
                <w:sz w:val="14"/>
                <w:szCs w:val="14"/>
                <w:color w:val="auto"/>
                <w:w w:val="93"/>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March 31, 2006</w:t>
            </w:r>
          </w:p>
        </w:tc>
        <w:tc>
          <w:tcPr>
            <w:tcW w:w="1340" w:type="dxa"/>
            <w:vAlign w:val="bottom"/>
            <w:gridSpan w:val="4"/>
          </w:tcPr>
          <w:p>
            <w:pPr>
              <w:ind w:left="320"/>
              <w:spacing w:after="0"/>
              <w:rPr>
                <w:sz w:val="20"/>
                <w:szCs w:val="20"/>
                <w:color w:val="auto"/>
              </w:rPr>
            </w:pPr>
            <w:r>
              <w:rPr>
                <w:rFonts w:ascii="Arial" w:cs="Arial" w:eastAsia="Arial" w:hAnsi="Arial"/>
                <w:sz w:val="14"/>
                <w:szCs w:val="14"/>
                <w:color w:val="auto"/>
              </w:rPr>
              <w:t>March 31, 2005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stock options granted</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Total fair value of stock options vested</w:t>
            </w:r>
          </w:p>
        </w:tc>
        <w:tc>
          <w:tcPr>
            <w:tcW w:w="2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347,096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195,262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intrinsic value of stock options exercised</w:t>
            </w:r>
          </w:p>
        </w:tc>
        <w:tc>
          <w:tcPr>
            <w:tcW w:w="23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4,545</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63,150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Employee Stock Purchase Plan (Purchase Plan) incorporates the provisions of Section 423 of the Internal Revenue Code. Under the Purchase Plan, 1,000,000 shares of common stock have been reserved for purchase by employees. The Purchase Plan provides for annual offer periods of twelve months to eligible employees. Under the Purchase Plan, eligible employees can purchase through payroll deductions, the lower of up to 15% of their eligible base compensation or 2,500 shares of common stock, at a price equivalent to 85% of the lower of the beginning or end of year price. As of March 31, 2006, there are 691,876 shares available for issuance under the Purchase Plan. The Company recognized $36,944 of stock-based compensation expense for the Purchase Plan during the three months ended March, 31, 2006.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 March 28, 2005, the Company acquired all of the stock of Data Management &amp; Research, Inc. (DMR) for approximately $10.7 million, consisting of</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$9.1 million in cash and 479,234 shares of our common stock. Of the common stock portion, 319,489 shares were deposited in an escrow account to be held for eighteen months from the acquisition date, subject to any claims for indemnification pursuant to the stock purchase agreement. There have been no claims against the escrowed shares as of March 31, 2006. The Company also incurred direct, incremental expenses associated with the acquisition of approximately $0.4 million. Goodwill recorded in connection with the acquisition will generate deductible amortization for federal income tax purposes. DMR provides healthcare organizations a wide range of quality and satisfaction surveys, data analyses of survey results, and other research-based measurement tools focused on physicians, patients, and employees. The results of operations for DMR have been included in the Company’s statement of operations effective March 29, 2005.</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unaudited results of operations give effect to the operations of DMR as if the acquisition had occurred as of January 1, 2005. These unaudited results of operations include certain adjustments arising from the acquisition such as owner compensation and amortization expense. The pro forma results of operations do not purport to represent what the Company’s results of operations would have been had such transactions in fact occurred at the beginning of the period presented or to project the Company’s results of operations in any future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5540" w:type="dxa"/>
            <w:vAlign w:val="bottom"/>
            <w:gridSpan w:val="4"/>
          </w:tcPr>
          <w:p>
            <w:pPr>
              <w:ind w:left="4280"/>
              <w:spacing w:after="0"/>
              <w:rPr>
                <w:sz w:val="20"/>
                <w:szCs w:val="20"/>
                <w:color w:val="auto"/>
              </w:rPr>
            </w:pPr>
            <w:r>
              <w:rPr>
                <w:rFonts w:ascii="Arial" w:cs="Arial" w:eastAsia="Arial" w:hAnsi="Arial"/>
                <w:sz w:val="14"/>
                <w:szCs w:val="14"/>
                <w:color w:val="auto"/>
                <w:w w:val="95"/>
              </w:rPr>
              <w:t>Three months ended</w:t>
            </w:r>
          </w:p>
        </w:tc>
        <w:tc>
          <w:tcPr>
            <w:tcW w:w="0" w:type="dxa"/>
            <w:vAlign w:val="bottom"/>
          </w:tcPr>
          <w:p>
            <w:pPr>
              <w:spacing w:after="0"/>
              <w:rPr>
                <w:sz w:val="1"/>
                <w:szCs w:val="1"/>
                <w:color w:val="auto"/>
              </w:rPr>
            </w:pPr>
          </w:p>
        </w:tc>
      </w:tr>
      <w:tr>
        <w:trPr>
          <w:trHeight w:val="167"/>
        </w:trPr>
        <w:tc>
          <w:tcPr>
            <w:tcW w:w="58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2"/>
              </w:rPr>
              <w:t>March 31, 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7,092,605</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Basic</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Basic net income per share is computed by dividing the net income available to common shareholders for the period by the weighted-average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net income per share, due to their anti-dilutive effect, was approximately 1.4 million and 1.2 million at March 31, 2006 and 2005,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for three months ended March 31, 2006 and 2005: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tcPr>
          <w:p>
            <w:pPr>
              <w:ind w:left="5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color w:val="auto"/>
                <w:w w:val="96"/>
              </w:rPr>
              <w:t>March 31, 2006</w:t>
            </w:r>
          </w:p>
        </w:tc>
        <w:tc>
          <w:tcPr>
            <w:tcW w:w="64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color w:val="auto"/>
              </w:rPr>
              <w:t>March 31, 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658,467</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144,166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8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21,284,325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20,685,786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Employee stock options and escrowed shares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854,782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22,139,107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21,467,043</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SEGMENTS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two reportable segments, services provided to healthcare organizations and professionals (HCO) and services provided to pharmaceutical and medical device companies (PMD). On March 28, 2005, we acquired DMR, a company focused on offering healthcare organizations a wide range of quality and satisfaction surveys, data analyses of survey results, and other research-based measurement tools. Accordingly, DMR has been included in our HCO business segment. The accounting policies of the segments are the same as those described in the summary of significant accounting policies in our Annual Report on Form 10-K for the year ended December 31, 2005. We manage and operate our business segments based on the markets they serve and the products and services provided to those markets.</w:t>
      </w:r>
    </w:p>
    <w:p>
      <w:pPr>
        <w:spacing w:after="0" w:line="8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is our business segment information as of and for the three months ended March 31, 2006 and 2005. We measure segment performance based on operating income (loss) before income taxes and prior to the allocation of corporate overhead expenses, interest income, interest expense, and depreciation.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6"/>
          </w:tcPr>
          <w:p>
            <w:pPr>
              <w:jc w:val="right"/>
              <w:ind w:right="78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color w:val="auto"/>
              </w:rPr>
              <w:t>March 31, 2006</w:t>
            </w:r>
          </w:p>
        </w:tc>
        <w:tc>
          <w:tcPr>
            <w:tcW w:w="3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March 31, 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HCO</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5,733,170</w:t>
            </w:r>
          </w:p>
        </w:tc>
        <w:tc>
          <w:tcPr>
            <w:tcW w:w="34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3,966,995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PMD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1,789,470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1,715,407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7,522,640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5,682,402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HCO</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2,132,388</w:t>
            </w:r>
          </w:p>
        </w:tc>
        <w:tc>
          <w:tcPr>
            <w:tcW w:w="34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1,585,218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PMD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205,168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1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(1,788,806)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(1,768,831)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income from operations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548,750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account for goodwill under the provisions of SFAS No. 142, “Goodwill and Other Intangible Assets.” We test goodwill for impairment using a discounted cash flow model. The technique used to determine the fair value of our reporting units is sensitive to estimates and assumptions associated with cash flow from operations and its growth, discount rates, and reporting unit terminal values. If these estimates or their related assumptions change in the future, we may be required to record impairment charges, which could adversely impact our operating results for the period in which such a determination is made. We perform our annual impairment evaluation of goodwill during the fourth quarter of each year and as changes in facts and circumstances indicate impairment exists.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(continued)</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March 28, 2005, we acquired DMR. The amount of goodwill related to the acquisition of DMR at March 31, 2005 represented a preliminary estimate, and was subsequently adjusted based on the final purchase price allocation, which was completed during the fourth quarter of 2005. There were no changes in the carrying amount of goodwill during the three months ended March 31, 2006.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HCO</w:t>
            </w:r>
          </w:p>
        </w:tc>
        <w:tc>
          <w:tcPr>
            <w:tcW w:w="640" w:type="dxa"/>
            <w:vAlign w:val="bottom"/>
          </w:tcPr>
          <w:p>
            <w:pPr>
              <w:spacing w:after="0"/>
              <w:rPr>
                <w:sz w:val="14"/>
                <w:szCs w:val="14"/>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PMD</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2006</w:t>
            </w:r>
          </w:p>
        </w:tc>
        <w:tc>
          <w:tcPr>
            <w:tcW w:w="3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$ 8,993,666</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$ 1,323,727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10,317,393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2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2006</w:t>
            </w:r>
          </w:p>
        </w:tc>
        <w:tc>
          <w:tcPr>
            <w:tcW w:w="2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$ 8,993,666</w:t>
            </w:r>
          </w:p>
        </w:tc>
        <w:tc>
          <w:tcPr>
            <w:tcW w:w="6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$ 1,323,727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10,317,393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HCO</w:t>
            </w:r>
          </w:p>
        </w:tc>
        <w:tc>
          <w:tcPr>
            <w:tcW w:w="640" w:type="dxa"/>
            <w:vAlign w:val="bottom"/>
          </w:tcPr>
          <w:p>
            <w:pPr>
              <w:spacing w:after="0"/>
              <w:rPr>
                <w:sz w:val="24"/>
                <w:szCs w:val="24"/>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PMD</w:t>
            </w:r>
          </w:p>
        </w:tc>
        <w:tc>
          <w:tcPr>
            <w:tcW w:w="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2005</w:t>
            </w:r>
          </w:p>
        </w:tc>
        <w:tc>
          <w:tcPr>
            <w:tcW w:w="3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$ 1,982,961</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$ 1,323,727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3,306,688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2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7,953,779</w:t>
            </w:r>
          </w:p>
        </w:tc>
        <w:tc>
          <w:tcPr>
            <w:tcW w:w="64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7,953,779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2005</w:t>
            </w:r>
          </w:p>
        </w:tc>
        <w:tc>
          <w:tcPr>
            <w:tcW w:w="2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$ 9,936,740</w:t>
            </w:r>
          </w:p>
        </w:tc>
        <w:tc>
          <w:tcPr>
            <w:tcW w:w="6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$ 1,323,727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11,260,467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All identifiable intangible assets have been evaluated in accordance with SFAS No. 142 and are considered to have finite useful lives. Intangible assets with finite lives are being amortized over their estimated useful lives, ranging from one to five years. Amortization of intangible assets was $127,083 and $87,869 for the three months ended March 31, 2006 and 2005,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are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rPr>
              <w:t>As of March 31, 2006</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w w:val="99"/>
              </w:rPr>
              <w:t>As of December 31, 2005</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60" w:type="dxa"/>
            <w:vAlign w:val="bottom"/>
            <w:gridSpan w:val="2"/>
          </w:tcPr>
          <w:p>
            <w:pPr>
              <w:jc w:val="right"/>
              <w:ind w:right="540"/>
              <w:spacing w:after="0" w:line="123" w:lineRule="exact"/>
              <w:rPr>
                <w:sz w:val="20"/>
                <w:szCs w:val="20"/>
                <w:color w:val="auto"/>
              </w:rPr>
            </w:pPr>
            <w:r>
              <w:rPr>
                <w:rFonts w:ascii="Arial" w:cs="Arial" w:eastAsia="Arial" w:hAnsi="Arial"/>
                <w:sz w:val="14"/>
                <w:szCs w:val="14"/>
                <w:color w:val="auto"/>
              </w:rPr>
              <w:t>Accumulated</w:t>
            </w: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gridSpan w:val="2"/>
          </w:tcPr>
          <w:p>
            <w:pPr>
              <w:jc w:val="right"/>
              <w:ind w:right="560"/>
              <w:spacing w:after="0" w:line="123"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Gross Amount</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560" w:type="dxa"/>
            <w:vAlign w:val="bottom"/>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Net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Gross Amount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Net</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6,340,000</w:t>
            </w:r>
          </w:p>
        </w:tc>
        <w:tc>
          <w:tcPr>
            <w:tcW w:w="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(3,368,493)</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$ 2,971,507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6,340,000</w:t>
            </w:r>
          </w:p>
        </w:tc>
        <w:tc>
          <w:tcPr>
            <w:tcW w:w="1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(3,262,243)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3,077,757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Content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3,500,000</w:t>
            </w:r>
          </w:p>
        </w:tc>
        <w:tc>
          <w:tcPr>
            <w:tcW w:w="20" w:type="dxa"/>
            <w:vAlign w:val="bottom"/>
          </w:tcPr>
          <w:p>
            <w:pPr>
              <w:spacing w:after="0"/>
              <w:rPr>
                <w:sz w:val="18"/>
                <w:szCs w:val="18"/>
                <w:color w:val="auto"/>
              </w:rPr>
            </w:pPr>
          </w:p>
        </w:tc>
        <w:tc>
          <w:tcPr>
            <w:tcW w:w="2000" w:type="dxa"/>
            <w:vAlign w:val="bottom"/>
            <w:gridSpan w:val="3"/>
          </w:tcPr>
          <w:p>
            <w:pPr>
              <w:jc w:val="right"/>
              <w:ind w:right="420"/>
              <w:spacing w:after="0"/>
              <w:rPr>
                <w:sz w:val="20"/>
                <w:szCs w:val="20"/>
                <w:color w:val="auto"/>
              </w:rPr>
            </w:pPr>
            <w:r>
              <w:rPr>
                <w:rFonts w:ascii="Arial" w:cs="Arial" w:eastAsia="Arial" w:hAnsi="Arial"/>
                <w:sz w:val="18"/>
                <w:szCs w:val="18"/>
                <w:color w:val="auto"/>
              </w:rPr>
              <w:t>(3,500,000)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3,500,000</w:t>
            </w:r>
          </w:p>
        </w:tc>
        <w:tc>
          <w:tcPr>
            <w:tcW w:w="1940" w:type="dxa"/>
            <w:vAlign w:val="bottom"/>
            <w:gridSpan w:val="3"/>
          </w:tcPr>
          <w:p>
            <w:pPr>
              <w:jc w:val="right"/>
              <w:ind w:right="440"/>
              <w:spacing w:after="0"/>
              <w:rPr>
                <w:sz w:val="20"/>
                <w:szCs w:val="20"/>
                <w:color w:val="auto"/>
              </w:rPr>
            </w:pPr>
            <w:r>
              <w:rPr>
                <w:rFonts w:ascii="Arial" w:cs="Arial" w:eastAsia="Arial" w:hAnsi="Arial"/>
                <w:sz w:val="18"/>
                <w:szCs w:val="18"/>
                <w:color w:val="auto"/>
              </w:rPr>
              <w:t>(3,500,000)</w:t>
            </w: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672,142</w:t>
            </w:r>
          </w:p>
        </w:tc>
        <w:tc>
          <w:tcPr>
            <w:tcW w:w="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(506,418)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165,724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672,142</w:t>
            </w:r>
          </w:p>
        </w:tc>
        <w:tc>
          <w:tcPr>
            <w:tcW w:w="1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(485,585)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186,557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10,512,142</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(7,374,911</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$ 3,137,231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10,512,142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(7,247,828</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3,264,314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gridSpan w:val="3"/>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220" w:type="dxa"/>
            <w:vAlign w:val="bottom"/>
            <w:gridSpan w:val="11"/>
          </w:tcPr>
          <w:p>
            <w:pPr>
              <w:spacing w:after="0"/>
              <w:rPr>
                <w:sz w:val="20"/>
                <w:szCs w:val="20"/>
                <w:color w:val="auto"/>
              </w:rPr>
            </w:pPr>
            <w:r>
              <w:rPr>
                <w:rFonts w:ascii="Arial" w:cs="Arial" w:eastAsia="Arial" w:hAnsi="Arial"/>
                <w:sz w:val="18"/>
                <w:szCs w:val="18"/>
                <w:color w:val="auto"/>
                <w:w w:val="96"/>
              </w:rPr>
              <w:t>Estimated amortization expense for the periods and years ending December 31, is as follows: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3"/>
              </w:rPr>
              <w:t>April 1, 2006 through December 31, 2006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508,333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444,891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2010 and thereafter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1,377,757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3,137,231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Taxable income for the year is expected to be reduced by available net operating loss carryforwards to the extent allowed by current tax regulations. We expect to achieve taxable income for the full year of 2006, and have recorded a tax provision of $24,500 associated with the alternative minimum tax during the three months ended March 31, 2006.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8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260"/>
        <w:spacing w:after="0" w:line="259" w:lineRule="auto"/>
        <w:rPr>
          <w:sz w:val="20"/>
          <w:szCs w:val="20"/>
          <w:color w:val="auto"/>
        </w:rPr>
      </w:pPr>
      <w:r>
        <w:rPr>
          <w:rFonts w:ascii="Arial" w:cs="Arial" w:eastAsia="Arial" w:hAnsi="Arial"/>
          <w:sz w:val="18"/>
          <w:szCs w:val="18"/>
          <w:color w:val="auto"/>
        </w:rPr>
        <w:t>This Quarterly Report includes various forward-looking statements that are subject to risks and uncertainties. Forward-looking statements include without limitation, statements preceded by, followed by, or that otherwise include the words “believes,” “expects,” “anticipates,” “intends,” “estimates” or similar expressions. For those statements, HealthStream, Inc. claims the protection of the safe harbor for forward-looking statements contained in the Private Securities Litigation Reform Act of 1995.</w:t>
      </w:r>
    </w:p>
    <w:p>
      <w:pPr>
        <w:spacing w:after="0" w:line="7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following important factors, in addition to those discussed elsewhere in this Quarterly Report and in our Annual Report on Form 10-K, could affect our future financial results and could cause actual results to differ materially from those expressed in forward-looking statements contained in this document:</w:t>
      </w:r>
    </w:p>
    <w:p>
      <w:pPr>
        <w:spacing w:after="0" w:line="16" w:lineRule="exact"/>
        <w:rPr>
          <w:sz w:val="20"/>
          <w:szCs w:val="20"/>
          <w:color w:val="auto"/>
        </w:rPr>
      </w:pPr>
    </w:p>
    <w:p>
      <w:pPr>
        <w:ind w:left="660" w:right="700" w:hanging="436"/>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effectively implement our growth strategy, as well as manage growth of our operations and infrastructure, including effective identification and integration of acquisitions;</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variability and length of our sales cycle;</w:t>
      </w:r>
    </w:p>
    <w:p>
      <w:pPr>
        <w:spacing w:after="0" w:line="130" w:lineRule="exact"/>
        <w:rPr>
          <w:rFonts w:ascii="Arial" w:cs="Arial" w:eastAsia="Arial" w:hAnsi="Arial"/>
          <w:sz w:val="18"/>
          <w:szCs w:val="18"/>
          <w:color w:val="auto"/>
        </w:rPr>
      </w:pPr>
    </w:p>
    <w:p>
      <w:pPr>
        <w:ind w:left="660" w:right="80" w:hanging="436"/>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accurately forecast results of operations due to certain revenue components being subject to significant fluctuations and an increase in the percentage of our business subject to renewal;</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reach agreement on a revised multi-year agreement with HCA, Inc. for our Internet-based HLC product;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adequately address our customers’ needs in products and services;</w:t>
      </w:r>
    </w:p>
    <w:p>
      <w:pPr>
        <w:spacing w:after="0" w:line="130" w:lineRule="exact"/>
        <w:rPr>
          <w:rFonts w:ascii="Arial" w:cs="Arial" w:eastAsia="Arial" w:hAnsi="Arial"/>
          <w:sz w:val="18"/>
          <w:szCs w:val="18"/>
          <w:color w:val="auto"/>
        </w:rPr>
      </w:pPr>
    </w:p>
    <w:p>
      <w:pPr>
        <w:ind w:left="660" w:right="580" w:hanging="436"/>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pressure on healthcare organizations and pharmaceutical/medical device companies to reduce costs to customers could result in financial pressures on customers to cut back on our services;</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and continue our competitive position against current and potential competitors;</w:t>
      </w:r>
    </w:p>
    <w:p>
      <w:pPr>
        <w:spacing w:after="0" w:line="130" w:lineRule="exact"/>
        <w:rPr>
          <w:rFonts w:ascii="Arial" w:cs="Arial" w:eastAsia="Arial" w:hAnsi="Arial"/>
          <w:sz w:val="18"/>
          <w:szCs w:val="18"/>
          <w:color w:val="auto"/>
        </w:rPr>
      </w:pPr>
    </w:p>
    <w:p>
      <w:pPr>
        <w:ind w:left="660" w:right="540" w:hanging="436"/>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enhancements to our existing products and services, achieve widespread acceptance of new features, or keep pace with technological developments;</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proper distribution rights from content partners to support growth in courseware subscriptions;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profitability on a consistent basis;</w:t>
      </w:r>
    </w:p>
    <w:p>
      <w:pPr>
        <w:spacing w:after="0" w:line="130" w:lineRule="exact"/>
        <w:rPr>
          <w:rFonts w:ascii="Arial" w:cs="Arial" w:eastAsia="Arial" w:hAnsi="Arial"/>
          <w:sz w:val="18"/>
          <w:szCs w:val="18"/>
          <w:color w:val="auto"/>
        </w:rPr>
      </w:pPr>
    </w:p>
    <w:p>
      <w:pPr>
        <w:ind w:left="660" w:hanging="436"/>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quarterly operating results caused by a variety of factors including the timing of sales, subscription revenue recognition and customer subscription renewals;</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loss of a significant customer and concentration of a significant portion of our revenue with a relatively small number of customers;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adequately develop and maintain our network infrastructure, computer systems, software and related security;</w:t>
      </w:r>
    </w:p>
    <w:p>
      <w:pPr>
        <w:spacing w:after="0" w:line="130" w:lineRule="exact"/>
        <w:rPr>
          <w:rFonts w:ascii="Arial" w:cs="Arial" w:eastAsia="Arial" w:hAnsi="Arial"/>
          <w:sz w:val="18"/>
          <w:szCs w:val="18"/>
          <w:color w:val="auto"/>
        </w:rPr>
      </w:pPr>
    </w:p>
    <w:p>
      <w:pPr>
        <w:ind w:left="660" w:right="340" w:hanging="436"/>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 of governmental regulation on us, our business partners and our customers, including, without limitation, changes in federal, state and international laws or other regulations regarding education, training and Internet transactions; and</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 factors detailed in our Annual Report on Form 10-K and other filings with the Securities and Exchange Commission.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Critical Accounting Policies and Estimates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HealthStream was incorporated in 1990 and began marketing its Internet-based solutions in March 1999. The Company focuses on being a facilitator of training tools for entities in the healthcare industry. Revenues from the healthcare organizations business unit (HCO) are derived from the following categories: provision of services through our Internet-based HealthStream Learning Center, courseware subscriptions, survey and research services, a variety of complimentary online products, and maintenance and support of installed learning management products. Revenues from the pharmaceutical and medical device company business unit (PMD) are derived from live event development, online training and content development, and other educational and training services.</w:t>
      </w:r>
    </w:p>
    <w:p>
      <w:pPr>
        <w:spacing w:after="0" w:line="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that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62"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development costs and related capitalization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many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See Notes to Consolidated Financial Statements in our Annual Report on Form 10-K for the year ended December 31, 2005 filed with the Securities and Exchange Commission, which contains additional information regarding our accounting policies and other disclosures required by US GAAP. On January 1, 2006, we adopted SFAS No. 123(R), “Share-Based Payments” using a modified-prospective approach. Other than the adoption of Statement 123(R), there have been no changes in our critical accounting policies and estimates from those reported in our Annual Report on Form 10-K for the year ended December 31, 2005.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2004, the Financial Accounting Standards Board (FASB) issued SFAS No. 123(R), “Share-Based Payments.” Statement 123(R) supersedes APB Opinion No. 25, “Accounting for Stock Issued to Employees,” (APB 25) and requires companies to recognize compensation expense, using a fair-value based method, for costs related to share-based payments, including stock options. The Company adopted Statement 123(R) on January 1, 2006 and implemented it using the modified-prospective method for transition purposes, therefore prior period financial results have not been restated. The modified-prospective method requires compensation expense be recorded for all unvested share-based payments outstanding prior to adoption and for all share-based payments issued subsequent to adoption using a fair value approach. We use the Black Scholes option pricing model for calculating fair value of our stock-based compensation plans.</w:t>
      </w:r>
    </w:p>
    <w:p>
      <w:pPr>
        <w:spacing w:after="0" w:line="8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Prior to adopting Statement 123(R), we accounted for stock-based compensation arrangements under APB 25, which utilized an intrinsic value approach to recognizing compensation expense. Since we granted stock options with exercise prices equivalent to the market price of our stock on the grant date, our accounting for stock-based compensation under the provisions of APB 25 resulted in nominal compensation expense recorded in our historical financial statements. We have previously disclosed pro-forma financial results under the provisions of SFAS No. 123 “Accounting for Stock-Based Compensation” utilizing the Black Scholes option pricing model. The fair value method used under Statement 123 is similar to the method we will use going forward, with the exception that forfeitures will be estimated on the grant date, and adjusted periodically if actual forfeitures vary significantly from our estimates.</w:t>
      </w:r>
    </w:p>
    <w:p>
      <w:pPr>
        <w:spacing w:after="0" w:line="5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During the three months ended March 31, 2006, we recorded $149,376 of stock-based compensation expense resulting from the adoption of Statement 123(R). We typically grant stock options to our management group on an annual basis. We grant stock options to our board of director members in conjunction with our annual shareholders meeting. We expect to continue this practice for the foreseeable future. As of March 31, 2006, total compensation cost related to non-vested awards not yet recognized is $1,122,106, net of estimated forfeitures, with a weighted average expense recognition period of</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3.0 years. We estimate that stock-based compensation expense will range between $600,000 and $700,000 for 2006, given the recent increase in the market price of our stock. During the second quarter of 2006, we expect an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increase in stock-based compensation resulting from options that will be issued to our board of director members. These options will be fully vested upon issuance, and the related compensation expense will be recorded on the grant date. Actual results could differ from this estimate depending on the timing and size of new awards granted, changes in the market price or volatility of our common stock, changes in risk-free interest rates, or if actual forfeitures vary significantly from our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March 28, 2005, the Company acquired all of the stock of Data Management &amp; Research, Inc. (DMR) for approximately $10.7 million, consisting of $9.1 million in cash and 479,234 shares of our common stock. The Company also incurred direct, incremental expenses associated with the acquisition of approximately $0.4 million. Of the common stock portion, 319,489 shares were deposited in an escrow account to be held for eighteen months from the acquisition date, subject to any claims for indemnification pursuant to the stock purchase agreement. DMR provides healthcare organizations a wide range of quality and satisfaction surveys, data analyses of survey results, and other research-based measurement tools focused on physicians, patients, and employees.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for our HCO business unit currently consist of the provision of services through our Internet-based HealthStream Learning Center</w:t>
      </w:r>
      <w:r>
        <w:rPr>
          <w:rFonts w:ascii="Arial" w:cs="Arial" w:eastAsia="Arial" w:hAnsi="Arial"/>
          <w:sz w:val="16"/>
          <w:szCs w:val="16"/>
          <w:i w:val="1"/>
          <w:iCs w:val="1"/>
          <w:color w:val="auto"/>
        </w:rPr>
        <w:t xml:space="preserve"> </w:t>
      </w:r>
      <w:r>
        <w:rPr>
          <w:rFonts w:ascii="Arial" w:cs="Arial" w:eastAsia="Arial" w:hAnsi="Arial"/>
          <w:sz w:val="16"/>
          <w:szCs w:val="16"/>
          <w:color w:val="auto"/>
        </w:rPr>
        <w:t>(HLC), authoring tools, survey and research services, a variety of courseware subscriptions (add-on courseware), maintenance and support services for our installed learning management products, maintenance of content and competency tools. Revenues for our PMD business unit consist of live event development, online training and content development, online sales training courses, HospitalDirect, live educational activities for nurses and technicians conducted within healthcare organizations, and continuing education activities at association meetings, and HospitalDirect</w:t>
      </w:r>
      <w:r>
        <w:rPr>
          <w:rFonts w:ascii="Arial" w:cs="Arial" w:eastAsia="Arial" w:hAnsi="Arial"/>
          <w:sz w:val="23"/>
          <w:szCs w:val="23"/>
          <w:color w:val="auto"/>
          <w:vertAlign w:val="superscript"/>
        </w:rPr>
        <w:t>®</w:t>
      </w:r>
      <w:r>
        <w:rPr>
          <w:rFonts w:ascii="Arial" w:cs="Arial" w:eastAsia="Arial" w:hAnsi="Arial"/>
          <w:sz w:val="16"/>
          <w:szCs w:val="16"/>
          <w:color w:val="auto"/>
        </w:rPr>
        <w:t>.</w:t>
      </w:r>
    </w:p>
    <w:p>
      <w:pPr>
        <w:spacing w:after="0" w:line="4"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consists primarily of salaries and employee benefits,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materials,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handle customer support calls or inquiries, manage our web sites, content and survey services, coordinate content maintenance services, and provide training or implementation services.</w:t>
      </w:r>
    </w:p>
    <w:p>
      <w:pPr>
        <w:spacing w:after="0" w:line="8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consist primarily of salaries and employee benefits, stock-based compensation, content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feature enhancements and new products. Personnel costs within product development include our systems team, product managers, and other personnel associated with content and product development.</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salaries, commissions and employee benefits,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travel and lodging, advertising, trade shows, promotions, and related marketing costs. Annually, we host a national users’ group in Nashville known as “The Summit.” Personnel costs within sales and marketing include our sales and marketing team as well as our account management group. Our account management personnel work to ensure our products and services are fully utilized by our customers, as well as supporting the contract renewal process for existing hospital customers.</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finite lives,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content or license fees, and amortization of software feature enhancements.</w:t>
      </w:r>
    </w:p>
    <w:p>
      <w:pPr>
        <w:spacing w:after="0" w:line="6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and executive management) as well as accreditation professionals.</w:t>
      </w:r>
    </w:p>
    <w:p>
      <w:pPr>
        <w:spacing w:after="0" w:line="7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i w:val="1"/>
          <w:iCs w:val="1"/>
          <w:color w:val="auto"/>
        </w:rPr>
        <w:t xml:space="preserve">Other Income/Expense. </w:t>
      </w:r>
      <w:r>
        <w:rPr>
          <w:rFonts w:ascii="Arial" w:cs="Arial" w:eastAsia="Arial" w:hAnsi="Arial"/>
          <w:sz w:val="17"/>
          <w:szCs w:val="17"/>
          <w:color w:val="auto"/>
        </w:rPr>
        <w:t>The primary component of other income is interest income related to interest earned on cash, cash equivalents and investments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marketable securities. The primary component of other expense is interest expense related to capital leases and other obligations.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three months ended March 31, 2006 marked our sixth consecutive quarter of positive net income. The acquisition of DMR, completed on March 28, 2005, has provided depth to our existing product offerings, while also delivering profitable growth. Our network of healthcare professionals continues to grow, we increased our fully implemented subscriber base by 86,000 subscribers during the first quarter of 2006. During the first quarter of 2006, we adopted Statement 123(R), which resulted in stock-based compensation expense of $149,376. Key financial indicators for the first quarter of 2006 include:</w:t>
      </w:r>
    </w:p>
    <w:p>
      <w:pPr>
        <w:spacing w:after="0" w:line="46"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Revenues of approximately $7.5 million in the first quarter of 2006, up 32.4%, or $1.8 million, over first quarter of 2005</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income of approximately $658,000 in the first quarter of 2006, compared to $144,000 in the first quarter of 2005</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Earnings per share of $0.03 (basic and diluted) in the first quarter of 2006, compared to $0.01 (basic and diluted) in the first quarter of 2005</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1,259,000 fully implemented subscribers on our Internet-based HLC at March 31, 2006, up from 1,084,000 at March 31,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2006 Compared to Three Months Ended March 31, 2005</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approximately $1.8 million, or 32.4%, to $7.5 million for the three months ended March 31, 2006 from $5.7 million for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three months ended March 31, 2005. Revenues for 2006 consisted of $5.7 million for HCO and $1.8 million for PMD. In 2005, revenues consisted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$4.0 million for HCO and $1.7 million for PMD. The increase in HCO revenues related primarily to revenues from the acquisition of DMR of $1.2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$429,000 from our Internet-based HLC subscriber base. Courseware subscription revenues increased modestly over the prior year quarter. Our subscriber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base increased approximately 16%, to approximately 1,259,000 fully implemented subscribers at March 31, 2006 from approximately 1,084,000 fully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implemented subscribers at March 31, 2005. Revenues from our Internet-based subscription products represented approximately 59% of revenues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March 31, 2006 compared to 68% of revenues for the three months ended March 31, 2005. This percentage has decreased since DMR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are not Internet-based. PMD revenues increased slightly over the prior year quarter, primarily associated with our live event business, while revenues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our project-based content development services declined compared to the prior year quarter.</w:t>
      </w:r>
    </w:p>
    <w:p>
      <w:pPr>
        <w:spacing w:after="0" w:line="10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expect continued revenue growth during the second quarter for HCO, primarily associated with our Internet-based subscription products and survey and research services. We expect second quarter revenues for PMD to remain comparable with the prior year second quarter. We anticipate total revenues to range between $7.8 and $8.0 million during the second quarter of 2006, an increase of approximately $1.0 to $1.2 million over the second quarter of 2005.</w:t>
      </w:r>
    </w:p>
    <w:p>
      <w:pPr>
        <w:spacing w:after="0" w:line="39"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$539,000, or 26.5%, to $2.6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2006 from $2.0 million for the three months ended March 31, 2005. Cost of revenues as a percentage of revenues decreased to</w:t>
      </w:r>
    </w:p>
    <w:p>
      <w:pPr>
        <w:spacing w:after="0" w:line="254" w:lineRule="auto"/>
        <w:rPr>
          <w:sz w:val="20"/>
          <w:szCs w:val="20"/>
          <w:color w:val="auto"/>
        </w:rPr>
      </w:pPr>
      <w:r>
        <w:rPr>
          <w:rFonts w:ascii="Arial" w:cs="Arial" w:eastAsia="Arial" w:hAnsi="Arial"/>
          <w:sz w:val="18"/>
          <w:szCs w:val="18"/>
          <w:color w:val="auto"/>
        </w:rPr>
        <w:t>34.2% of revenues for the three months ended March 31, 2006 from 35.8% of revenues for the three months ended March 31, 2005. The overall increase in cost of revenues resulted from increases in direct costs associated with both DMR and our live events business, as well as increased royalties paid by us. Stock-based compensation expense included in cost of revenues was approximately $19,000 during the three months ended March 31, 2006 compared to none for the three months ended March 31, 2005.</w:t>
      </w:r>
    </w:p>
    <w:p>
      <w:pPr>
        <w:spacing w:after="0" w:line="8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Cost of revenues for HCO increased approximately $317,000 and approximated 21.9% and 23.7% of revenues for the three months ended March 31, 2006 and 2005, respectively. Cost of revenues for HCO increased primarily due to the impact of DMR, as well as an increase in the percentage royalties paid by us to content partners. Our survey and research services have slightly higher direct costs as a percentage of revenues compared to our Internet-based subscription products. Cost of revenues for PMD increased approximately $184,000 over the prior year period and approximated 62.9% and 54.9% of revenues for the three months ended March 31, 2006 and 2005, respectively. Cost of revenues for PMD increased as a result of incremental direct costs associated with the increase in live event revenues, as well as increased royalties paid by us to our partners.</w:t>
      </w:r>
    </w:p>
    <w:p>
      <w:pPr>
        <w:spacing w:after="0" w:line="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Gross Margin (excluding depreciation and amortization). </w:t>
      </w:r>
      <w:r>
        <w:rPr>
          <w:rFonts w:ascii="Arial" w:cs="Arial" w:eastAsia="Arial" w:hAnsi="Arial"/>
          <w:sz w:val="16"/>
          <w:szCs w:val="16"/>
          <w:color w:val="auto"/>
        </w:rPr>
        <w:t>Gross margin (which we define as revenues less cost of revenues divided by revenues) improved to</w:t>
      </w:r>
      <w:r>
        <w:rPr>
          <w:rFonts w:ascii="Arial" w:cs="Arial" w:eastAsia="Arial" w:hAnsi="Arial"/>
          <w:sz w:val="16"/>
          <w:szCs w:val="16"/>
          <w:i w:val="1"/>
          <w:iCs w:val="1"/>
          <w:color w:val="auto"/>
        </w:rPr>
        <w:t xml:space="preserve"> </w:t>
      </w:r>
      <w:r>
        <w:rPr>
          <w:rFonts w:ascii="Arial" w:cs="Arial" w:eastAsia="Arial" w:hAnsi="Arial"/>
          <w:sz w:val="16"/>
          <w:szCs w:val="16"/>
          <w:color w:val="auto"/>
        </w:rPr>
        <w:t>65.8% for the three months ended March 31, 2006 from 64.2% for the three months ended March 31, 2005. This overall improvement is a result of the change in revenue mix and related cost of revenues discussed above. Gross margins for HCO were 78.1% and 76.3% for the three months ended March 31, 2006 and 2005, respectively. Gross margins for PMD were 37.1% and 45.1% for the three months ended March 31, 2006 and 2005, respectively.</w:t>
      </w:r>
    </w:p>
    <w:p>
      <w:pPr>
        <w:spacing w:after="0" w:line="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$253,000, or 39.8%, to $890,000 for the three months ended March 31, 2006</w:t>
      </w:r>
      <w:r>
        <w:rPr>
          <w:rFonts w:ascii="Arial" w:cs="Arial" w:eastAsia="Arial" w:hAnsi="Arial"/>
          <w:sz w:val="18"/>
          <w:szCs w:val="18"/>
          <w:i w:val="1"/>
          <w:iCs w:val="1"/>
          <w:color w:val="auto"/>
        </w:rPr>
        <w:t xml:space="preserve"> </w:t>
      </w:r>
      <w:r>
        <w:rPr>
          <w:rFonts w:ascii="Arial" w:cs="Arial" w:eastAsia="Arial" w:hAnsi="Arial"/>
          <w:sz w:val="18"/>
          <w:szCs w:val="18"/>
          <w:color w:val="auto"/>
        </w:rPr>
        <w:t>from $637,000 for the three months ended March 31, 2005. This increase primarily resulted from personnel expenses associated with both DMR and additional personnel to support the ongoing maintenance and operation of our Internet- based platform. Stock-based compensation expense included in product development was approximately $41,000 during the three months ended March 31, 2006 compared to none for the three months ended March 31, 2005. Product development expenses as a percentage of revenues increased to 11.8% of revenues for the three months ended March 31, 2006 from 11.2% for the three months ended March 31, 2005.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Product development expenses for HCO increased approximately $283,000 compared to the prior year quarter and approximated 13.2% and 12.0% of HCO revenues for the three months ended March 31, 2006 and 2005, respectively. The increase for HCO is associated with both the addition of DMR personnel and personnel to support the ongoing maintenance and operation of our Internet-based HLC platform. Product development expenses for PMD decreased slightly as compared to the prior year quarter and approximated 5.2% and 5.9% of PMD revenues for the three months ended March 31, 2006 and 2005, respectively.</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$439,000, or 36.8%, to $1.6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2006 from $1.2 million for the three months ended March 31, 2005. This increase occurred primarily within our HCO business unit and resulted from the impact of the DMR acquisition, increases in account management personnel and related travel, as well as increased marketing expenses. We have increased our account management team over the past year to address the needs of our strategic customers. Stock-based compensation expense included in sales and marketing was approximately $40,000 during the three months ended March 31, 2006 compared to none for the three months ended March 31, 2005. Sales and marketing expenses approximated 21.7% and 20.9% of revenues for the three months ended March 31, 2006 and 2005, respectively.</w:t>
      </w:r>
    </w:p>
    <w:p>
      <w:pPr>
        <w:spacing w:after="0" w:line="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Sales and marketing expenses for HCO increased $442,000 and approximated 22.0% and 20.6% of revenues for the three months ended March 31, 2006 and 2005, respectively. Sales and marketing expenses for PMD increased slightly, and approximated 18.7% and 18.5% of revenues for the three months ended March 31, 2006 and 2005, respectively. The unallocated corporate sales and marketing expenses decreased slightly compared with the prior year quarter.</w:t>
      </w:r>
    </w:p>
    <w:p>
      <w:pPr>
        <w:spacing w:after="0" w:line="3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sixth Annual Learning Summit for existing and prospective customers was held April 18 – 21, 2006 in Nashville, Tennessee. We expect increased marketing expenses during the second quarter of 2006, of approximately $400,000, relating to this conference, an increase of approximately $100,000 over the expense incurred for this conference in the second quarter of 2005.</w:t>
      </w:r>
    </w:p>
    <w:p>
      <w:pPr>
        <w:spacing w:after="0" w:line="7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approximately $26,000, or 4.1%, to $644,000 for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2006 from $618,000 for the three months ended March 31, 2005. The increase is associated with amortization of intangible assets associated with the DMR acquisition, and amortization of content and feature enhancements, but was partially offset by lower depreciation of property and equipment.</w:t>
      </w:r>
    </w:p>
    <w:p>
      <w:pPr>
        <w:spacing w:after="0" w:line="3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Other General and Administrative. </w:t>
      </w:r>
      <w:r>
        <w:rPr>
          <w:rFonts w:ascii="Arial" w:cs="Arial" w:eastAsia="Arial" w:hAnsi="Arial"/>
          <w:sz w:val="18"/>
          <w:szCs w:val="18"/>
          <w:color w:val="auto"/>
        </w:rPr>
        <w:t>Other general and administrative expenses increased approximately $81,000, or 7.0%, and approximated $1.2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2006 and 2005. This increase primarily resulted from the addition of DMR personnel and related office expenses. Stock-based compensation expense included in other general and administrative was approximately $49,000 during the three months ended March 31, 2006 compared to none for the three months ended March 31, 2005. Other general and administrative expenses as a percentage of revenues decreased to 16.4% for the three months ended March 31, 2006 from 20.3% for the three months ended March 31, 2005. The percentage decrease is a result of the increases in revenues.</w:t>
      </w:r>
    </w:p>
    <w:p>
      <w:pPr>
        <w:spacing w:after="0" w:line="8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i w:val="1"/>
          <w:iCs w:val="1"/>
          <w:color w:val="auto"/>
        </w:rPr>
        <w:t xml:space="preserve">Other Income/Expense. </w:t>
      </w:r>
      <w:r>
        <w:rPr>
          <w:rFonts w:ascii="Arial" w:cs="Arial" w:eastAsia="Arial" w:hAnsi="Arial"/>
          <w:sz w:val="18"/>
          <w:szCs w:val="18"/>
          <w:color w:val="auto"/>
        </w:rPr>
        <w:t>Other income/expense increased approximately $36,000, or 36.7%, to income of $134,000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2006 from income of $98,000 for the three months ended March 31, 2005. The increase resulted from an increase in interest income from investments in marketable securities.</w:t>
      </w:r>
    </w:p>
    <w:p>
      <w:pPr>
        <w:spacing w:after="0" w:line="73"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provision for income taxes during the three months ended March 31, 2006 consists of $24,500 associated with the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alternative minimum tax. Taxable income for 2006 is expected to be substantially offset by the utilization of our operating loss carryforwards.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was approximately $658,000 for the three months ended March 31, 2006 compared to $144,000 for the three months ended</w:t>
      </w:r>
    </w:p>
    <w:p>
      <w:pPr>
        <w:spacing w:after="0" w:line="35"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color w:val="auto"/>
        </w:rPr>
        <w:t>March 31, 2005. This improvement is a result of the factors mentioned above. We anticipate modest improvement in net income during the second quarter of 2006 as compared with the second quarter of 2005. We also anticipate that net income for the full year of 2006 will be comparable to 2005, however, timing of survey business revenues during the second half of 2006 may cause variation when compared to 2005 quarterly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Since our inception, we have financed our operations largely through proceeds from our initial public offering, private placements of equity securities, loans from related parties and, to an increasing extent, from revenues generated from the sale of our products and services.</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Net cash used in operating activities was approximately $102,000 during the three months ended March 31, 2006 compared to $1.4 million provided by operating activities during the three months ended March 31, 2005. The significant uses of cash during the first quarter of 2006 included personnel expenses and other direct expenses to support our business, payment of royalties to content partners, payments associated with live event activities (which will be reimbursed during the remainder of 2006), payment of year-end bonuses to employees, and purchases of content and feature enhancements. Our live event activities are somewhat seasonal, and several large events occurred during the first quarter of 2006, which required increased spending to support them. During the first quarter of 2006, our cash payments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associated with these events exceeded cash receipts from the respective commercial supporters. We expect to be reimbursed for these expenses during the remainder of 2006. These uses of cash were somewhat offset by cash receipts from customers. Days sales outstanding, or the number of days it takes to collect accounts receivable, improved compared to the prior year quarter, approximating 60 days for the three months ended March 31, 2006 compared to</w:t>
      </w:r>
    </w:p>
    <w:p>
      <w:pPr>
        <w:ind w:right="40"/>
        <w:spacing w:after="0" w:line="252" w:lineRule="auto"/>
        <w:rPr>
          <w:sz w:val="20"/>
          <w:szCs w:val="20"/>
          <w:color w:val="auto"/>
        </w:rPr>
      </w:pPr>
      <w:r>
        <w:rPr>
          <w:rFonts w:ascii="Arial" w:cs="Arial" w:eastAsia="Arial" w:hAnsi="Arial"/>
          <w:sz w:val="18"/>
          <w:szCs w:val="18"/>
          <w:color w:val="auto"/>
        </w:rPr>
        <w:t>66 days for the three months ended March 31, 2005. The improvement in days sales outstanding is the result of the full quarter impact of DMR during 2006. Excluding the impact associated with DMR during the first quarter of 2005, our DSO improved by one day over the prior year quarter. We experienced improved collections from HCO customers which were partially offset by longer collection cycles from PMD customers. The Company calculates days sales outstanding by dividing the accounts receivable balance (excluding unbilled and other receivables) by average daily revenues for the period. During the three months ended March 31, 2005, cash generated from operating activities resulted from cash receipts from customers and receipts of commercial support grants which exceeded cash used to fund operations.</w:t>
      </w:r>
    </w:p>
    <w:p>
      <w:pPr>
        <w:spacing w:after="0" w:line="8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Net cash used in investing activities was approximately $758,000 during the three months ended March 31, 2006 compared to $1.5 million during the three months ended March 31, 2005. During 2006, our primary use of cash was for purchases of property and equipment and purchases in excess of cash received from sales of investments in marketable securities. During 2005, the primary use of cash was for the acquisition of DMR, purchases of investments in marketable securities, and purchases of property and equipment, and was partially offset by the proceeds from sales of investments in marketable securities.</w:t>
      </w:r>
    </w:p>
    <w:p>
      <w:pPr>
        <w:spacing w:after="0" w:line="4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Cash used in financing activities was approximately $9,000 for the three months ended March 31, 2006 while $44,000 was provided by financing activities during the three months ended March 31, 2005. The decrease from the prior year primarily related to increased payments associated with capital leases, and lower cash receipts from stock option exercises. During the past year we have entered into several capital lease arrangements requiring cash payments over terms averaging three years.</w:t>
      </w:r>
    </w:p>
    <w:p>
      <w:pPr>
        <w:spacing w:after="0" w:line="7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As of March 31, 2006, our primary source of liquidity was $12.0 million of cash and cash equivalents, restricted cash, investments in marketable securities, and interest receivable. We have no bank credit facility or other indebtedness other than capital lease obligations. As of April 30, 2006, we had cash and cash equivalents, restricted cash, investments in marketable securities, and interest receivable of approximately $12.4 million.</w:t>
      </w:r>
    </w:p>
    <w:p>
      <w:pPr>
        <w:spacing w:after="0" w:line="5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believe that our existing cash and cash equivalents, restricted cash, investments in marketable securities, and related interest receivable will be sufficient to meet anticipated cash needs for working capital, new product development and capital expenditures for at least the next 12 months. As part of our growth strategy, we are actively reviewing possible acquisitions that complement our products and services. We anticipate that any acquisitions would be effected through a combination of stock and cash consideration. We may need to raise additional capital through the issuance of equity securities and/or incur indebtedness to finance any acquisitions. The issuance of stock as consideration for an acquisition would have a dilutive effect and could adversely affect our stock price. There can be no assurance that sources of financing will be available to us on acceptable terms to consummate any acquisitions. Failure to generate sufficient cash flow from operations or raise additional capital when required during or following any potential acquisitions in sufficient amounts and on terms acceptable to us could harm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expect that capital expenditures and content purchases will range between $2.5 and $3.0 million for the remainder of 2006. We expect to fund these capital expenditures with existing cash and investments and from cash generated from operations. We may also enter into capital lease agreements for some of these asset purchases.</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strategic alliances have typically provided for payments to content and distribution partners and development partners based on revenues, and we expect to continue similar arrangements in the future. We have capital lease obligations and operating lease commitments for our operating facilities in Nashville, TN, Franklin, TN, and Denver, CO, and a closed facility in Dallas, TX.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We are exposed to market risk from changes in interest rates. We do not have any commodity price risk. As of March 31, 2006, we had no outstanding indebtedness other than approximately $354,000 of capital lease obligations. Accordingly, we are not exposed to significant market risk. We are exposed to market risk with respect to the cash and cash equivalents and marketable securities in which we invest. At April 30, 2006, we had approximately</w:t>
      </w:r>
    </w:p>
    <w:p>
      <w:pPr>
        <w:ind w:right="120"/>
        <w:spacing w:after="0" w:line="302" w:lineRule="auto"/>
        <w:rPr>
          <w:sz w:val="20"/>
          <w:szCs w:val="20"/>
          <w:color w:val="auto"/>
        </w:rPr>
      </w:pPr>
      <w:r>
        <w:rPr>
          <w:rFonts w:ascii="Arial" w:cs="Arial" w:eastAsia="Arial" w:hAnsi="Arial"/>
          <w:sz w:val="16"/>
          <w:szCs w:val="16"/>
          <w:color w:val="auto"/>
        </w:rPr>
        <w:t>$12.4 million of cash and cash equivalents, restricted cash, investments in marketable securities, and accrued interest that was invested in a combination of short term investments. Current investment rates of return approximate 4-5%. Assuming a 4.5% rate of return on $12.4 million, a hypothetical 10% decrease in interest rates would decrease interest income and decrease net income on an annualized basis by approximately $56,000.</w:t>
      </w:r>
    </w:p>
    <w:p>
      <w:pPr>
        <w:spacing w:after="0" w:line="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manage our investment risk by investing in corporate debt securities, foreign corporate debt and secured corporate debt securities with minimum acceptable credit ratings. For certificates of deposit and corporate obligations, ratings must be A2/A or better; A1/P1 or better for commercial paper; A2/A or better for taxable or tax advantaged auction rate securities and AAA or better for tax free auction rate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securities. We also require that all securities must mature within 24 months from the original settlement date, the average portfolio shall not exceed</w:t>
      </w:r>
    </w:p>
    <w:p>
      <w:pPr>
        <w:spacing w:after="0" w:line="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18 months, and the greater of 10% or $5.0 million shall mature within 90 days. Further, our investment policy also limits concentration exposure and other potential risk areas.</w:t>
      </w:r>
    </w:p>
    <w:p>
      <w:pPr>
        <w:spacing w:after="0" w:line="7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to the risk factors identified in our Annual Report on Form 10-K for the year ending December 31, 2005, we believe the following is a material risk facing the Company as of the date of this report.</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be required to comply with Section 404 of the Sarbanes-Oxley Act in 2006, which we believe will result in additional expenses and may divert management’s attention.</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Given the recent increase in the Company’s stock price, the Company may be deemed an accelerated filer as defined in Rule 12b-2 of the Exchange Act, which would require the Company to be compliant with Section 404 of the Sarbanes-Oxley Act for the current calendar year. In such event, management would be required to provide with the Company’s Annual Report on Form 10-K for the year ending December 31, 2006, its assessment of the effectiveness of the Company’s internal control over financial reporting as of December 31, 2006 and our independent registered public accounting firm would be required to provide its attestation report on management’s assessment. If such compliance is required, the Company anticipates incurring additional general and administrative expenses and anticipates that its compliance efforts may divert management’s time and attention.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13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13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32.1  —  Certification Pursuant to 18 U.S.C. Section 1350, as Adopted Pursuant to Section 906 of the Sarbanes-Oxley Act of 2002</w:t>
      </w:r>
    </w:p>
    <w:p>
      <w:pPr>
        <w:spacing w:after="0" w:line="13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32.2  —  Certification Pursuant to 18 U.S.C. Section 1350, as Adopted Pursuant to Section 906 of the Sarbanes-Oxley Act of 2002</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S</w:t>
      </w:r>
      <w:r>
        <w:rPr>
          <w:rFonts w:ascii="Arial" w:cs="Arial" w:eastAsia="Arial" w:hAnsi="Arial"/>
          <w:sz w:val="12"/>
          <w:szCs w:val="12"/>
          <w:color w:val="auto"/>
        </w:rPr>
        <w:t>USAN</w:t>
      </w:r>
      <w:r>
        <w:rPr>
          <w:rFonts w:ascii="Arial" w:cs="Arial" w:eastAsia="Arial" w:hAnsi="Arial"/>
          <w:sz w:val="18"/>
          <w:szCs w:val="18"/>
          <w:color w:val="auto"/>
        </w:rPr>
        <w:t xml:space="preserve"> A. B</w:t>
      </w:r>
      <w:r>
        <w:rPr>
          <w:rFonts w:ascii="Arial" w:cs="Arial" w:eastAsia="Arial" w:hAnsi="Arial"/>
          <w:sz w:val="12"/>
          <w:szCs w:val="12"/>
          <w:color w:val="auto"/>
        </w:rPr>
        <w:t>ROWNIE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Susan A. Brownie</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May 12, 2006</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HEALTHSTREAM, INC.</w:t>
      </w:r>
    </w:p>
    <w:p>
      <w:pPr>
        <w:spacing w:after="0" w:line="11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the Chief Executive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the Principal Financial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32.1  Certification Pursuant to 18 U.S.C. Section 1350, as Adopted Pursuant to Section 906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32.2  Certification Pursuant to 18 U.S.C. Section 1350, as Adopted Pursuant to Section 906 of the Sarbanes-Oxley Act of 2002</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419" w:right="1440" w:bottom="1440" w:gutter="0" w:footer="0" w:header="0"/>
        </w:sectPr>
      </w:pPr>
    </w:p>
    <w:bookmarkStart w:id="21" w:name="page22"/>
    <w:bookmarkEnd w:id="21"/>
    <w:p>
      <w:pPr>
        <w:ind w:left="3580"/>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Robert A. Frist, Jr., certify that:</w:t>
      </w:r>
    </w:p>
    <w:p>
      <w:pPr>
        <w:spacing w:after="0" w:line="201"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HealthStream, Inc.;</w:t>
      </w:r>
    </w:p>
    <w:p>
      <w:pPr>
        <w:spacing w:after="0" w:line="206"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9" w:lineRule="exact"/>
        <w:rPr>
          <w:sz w:val="20"/>
          <w:szCs w:val="20"/>
          <w:color w:val="auto"/>
        </w:rPr>
      </w:pPr>
    </w:p>
    <w:p>
      <w:pPr>
        <w:ind w:right="1879" w:firstLine="8"/>
        <w:spacing w:after="0" w:line="273"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Courier New" w:cs="Courier New" w:eastAsia="Courier New" w:hAnsi="Courier New"/>
          <w:sz w:val="16"/>
          <w:szCs w:val="16"/>
          <w:color w:val="auto"/>
        </w:rPr>
      </w:pPr>
    </w:p>
    <w:p>
      <w:pPr>
        <w:ind w:right="1879" w:firstLine="8"/>
        <w:spacing w:after="0" w:line="237"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Courier New" w:cs="Courier New" w:eastAsia="Courier New" w:hAnsi="Courier New"/>
          <w:sz w:val="18"/>
          <w:szCs w:val="18"/>
          <w:color w:val="auto"/>
        </w:rPr>
      </w:pPr>
    </w:p>
    <w:p>
      <w:pPr>
        <w:ind w:right="1779" w:firstLine="8"/>
        <w:spacing w:after="0" w:line="273"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sz w:val="20"/>
          <w:szCs w:val="20"/>
          <w:color w:val="auto"/>
        </w:rPr>
      </w:pPr>
    </w:p>
    <w:p>
      <w:pPr>
        <w:ind w:right="1879" w:firstLine="8"/>
        <w:spacing w:after="0" w:line="237"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sz w:val="20"/>
          <w:szCs w:val="20"/>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w:t>
      </w:r>
    </w:p>
    <w:p>
      <w:pPr>
        <w:spacing w:after="0" w:line="4" w:lineRule="exact"/>
        <w:rPr>
          <w:rFonts w:ascii="Courier New" w:cs="Courier New" w:eastAsia="Courier New" w:hAnsi="Courier New"/>
          <w:sz w:val="18"/>
          <w:szCs w:val="18"/>
          <w:color w:val="auto"/>
        </w:rPr>
      </w:pPr>
    </w:p>
    <w:p>
      <w:pPr>
        <w:ind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right="1879" w:firstLine="8"/>
        <w:spacing w:after="0" w:line="236"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41"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12, 2006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A. FRIST,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A. Frist, Jr.</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2">
            <w:col w:w="3920" w:space="720"/>
            <w:col w:w="5579"/>
          </w:cols>
          <w:pgMar w:left="240" w:top="541" w:right="1440" w:bottom="1440" w:gutter="0" w:footer="0" w:header="0"/>
          <w:type w:val="continuous"/>
        </w:sectPr>
      </w:pPr>
    </w:p>
    <w:bookmarkStart w:id="22" w:name="page23"/>
    <w:bookmarkEnd w:id="22"/>
    <w:p>
      <w:pPr>
        <w:ind w:left="3580"/>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Susan A. Brownie, certify that:</w:t>
      </w:r>
    </w:p>
    <w:p>
      <w:pPr>
        <w:spacing w:after="0" w:line="201" w:lineRule="exact"/>
        <w:rPr>
          <w:sz w:val="20"/>
          <w:szCs w:val="20"/>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HealthStream, Inc.;</w:t>
      </w:r>
    </w:p>
    <w:p>
      <w:pPr>
        <w:spacing w:after="0" w:line="206"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9" w:lineRule="exact"/>
        <w:rPr>
          <w:sz w:val="20"/>
          <w:szCs w:val="20"/>
          <w:color w:val="auto"/>
        </w:rPr>
      </w:pPr>
    </w:p>
    <w:p>
      <w:pPr>
        <w:ind w:right="1879" w:firstLine="8"/>
        <w:spacing w:after="0" w:line="273" w:lineRule="auto"/>
        <w:tabs>
          <w:tab w:leader="none" w:pos="31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Courier New" w:cs="Courier New" w:eastAsia="Courier New" w:hAnsi="Courier New"/>
          <w:sz w:val="16"/>
          <w:szCs w:val="16"/>
          <w:color w:val="auto"/>
        </w:rPr>
      </w:pPr>
    </w:p>
    <w:p>
      <w:pPr>
        <w:ind w:right="1879" w:firstLine="8"/>
        <w:spacing w:after="0" w:line="237"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Courier New" w:cs="Courier New" w:eastAsia="Courier New" w:hAnsi="Courier New"/>
          <w:sz w:val="18"/>
          <w:szCs w:val="18"/>
          <w:color w:val="auto"/>
        </w:rPr>
      </w:pPr>
    </w:p>
    <w:p>
      <w:pPr>
        <w:ind w:right="1779" w:firstLine="8"/>
        <w:spacing w:after="0" w:line="273" w:lineRule="auto"/>
        <w:tabs>
          <w:tab w:leader="none" w:pos="31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sz w:val="20"/>
          <w:szCs w:val="20"/>
          <w:color w:val="auto"/>
        </w:rPr>
      </w:pPr>
    </w:p>
    <w:p>
      <w:pPr>
        <w:ind w:right="1879" w:firstLine="8"/>
        <w:spacing w:after="0" w:line="237"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sz w:val="20"/>
          <w:szCs w:val="20"/>
          <w:color w:val="auto"/>
        </w:rPr>
      </w:pPr>
    </w:p>
    <w:p>
      <w:pPr>
        <w:ind w:left="320" w:hanging="312"/>
        <w:spacing w:after="0"/>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w:t>
      </w:r>
    </w:p>
    <w:p>
      <w:pPr>
        <w:spacing w:after="0" w:line="4" w:lineRule="exact"/>
        <w:rPr>
          <w:rFonts w:ascii="Courier New" w:cs="Courier New" w:eastAsia="Courier New" w:hAnsi="Courier New"/>
          <w:sz w:val="18"/>
          <w:szCs w:val="18"/>
          <w:color w:val="auto"/>
        </w:rPr>
      </w:pPr>
    </w:p>
    <w:p>
      <w:pPr>
        <w:ind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right="1879" w:firstLine="8"/>
        <w:spacing w:after="0" w:line="236"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41"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12, 2006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SUSAN A. BROWNIE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Susan A. Brownie</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3">
            <w:col w:w="540" w:space="200"/>
            <w:col w:w="3180" w:space="720"/>
            <w:col w:w="5579"/>
          </w:cols>
          <w:pgMar w:left="240" w:top="541" w:right="1440" w:bottom="1440" w:gutter="0" w:footer="0" w:header="0"/>
          <w:type w:val="continuous"/>
        </w:sectPr>
      </w:pPr>
    </w:p>
    <w:bookmarkStart w:id="23" w:name="page24"/>
    <w:bookmarkEnd w:id="23"/>
    <w:p>
      <w:pPr>
        <w:ind w:left="3580"/>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HealthStream, Inc. (the "Company") on Form 10-Q for the period ending March 31, 2006,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210" w:lineRule="exact"/>
        <w:rPr>
          <w:sz w:val="20"/>
          <w:szCs w:val="20"/>
          <w:color w:val="auto"/>
        </w:rPr>
      </w:pPr>
    </w:p>
    <w:p>
      <w:pPr>
        <w:ind w:left="1280" w:right="1879" w:hanging="640"/>
        <w:spacing w:after="0" w:line="235"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A. FRIST, JR.</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A. Frist, Jr. Chief Executive Officer May 12, 2006</w:t>
      </w:r>
    </w:p>
    <w:p>
      <w:pPr>
        <w:sectPr>
          <w:pgSz w:w="11900" w:h="16838" w:orient="portrait"/>
          <w:cols w:equalWidth="0" w:num="1">
            <w:col w:w="10219"/>
          </w:cols>
          <w:pgMar w:left="240" w:top="541" w:right="1440" w:bottom="1440" w:gutter="0" w:footer="0" w:header="0"/>
        </w:sectPr>
      </w:pPr>
    </w:p>
    <w:bookmarkStart w:id="24" w:name="page25"/>
    <w:bookmarkEnd w:id="24"/>
    <w:p>
      <w:pPr>
        <w:ind w:left="3580"/>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connection with the Quarterly Report of HealthStream, Inc. (the "Company") on Form 10-Q for the period ending March 31, 2006, as filed with the Securities and Exchange Commission on the date hereof (the "Report"), Susan A. Brownie, Chief Financial Officer of the Company certifies, pursuant to 18 U.S.C. Section 1350, as adopted pursuant to Section 906 of the Sarbanes-Oxley Act of 2002, that:</w:t>
      </w:r>
    </w:p>
    <w:p>
      <w:pPr>
        <w:spacing w:after="0" w:line="185" w:lineRule="exact"/>
        <w:rPr>
          <w:sz w:val="20"/>
          <w:szCs w:val="20"/>
          <w:color w:val="auto"/>
        </w:rPr>
      </w:pPr>
    </w:p>
    <w:p>
      <w:pPr>
        <w:ind w:left="1280" w:right="187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SUSAN A. BROWNIE</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Susan A. Brownie</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 May 12, 2006</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decimal"/>
      <w:start w:val="5"/>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5"/>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2019-12-14T23:17:33Z</dcterms:created>
  <dcterms:modified xsi:type="dcterms:W3CDTF">2019-12-14T23:17:33Z</dcterms:modified>
</cp:coreProperties>
</file>