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-137160</wp:posOffset>
            </wp:positionV>
            <wp:extent cx="104140" cy="1054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For the quarterly period ended </w:t>
      </w:r>
      <w:r>
        <w:rPr>
          <w:rFonts w:ascii="Times New Roman" w:cs="Times New Roman" w:eastAsia="Times New Roman" w:hAnsi="Times New Roman"/>
          <w:sz w:val="18"/>
          <w:szCs w:val="18"/>
          <w:color w:val="auto"/>
        </w:rPr>
        <w:t>September 30, 2020</w:t>
      </w:r>
    </w:p>
    <w:p>
      <w:pPr>
        <w:spacing w:after="0" w:line="189"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-125730</wp:posOffset>
            </wp:positionV>
            <wp:extent cx="104140" cy="105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000-27701</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HealthStream,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80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62-1443555</w:t>
            </w: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4000" w:type="dxa"/>
            <w:vAlign w:val="bottom"/>
            <w:gridSpan w:val="6"/>
          </w:tcPr>
          <w:p>
            <w:pPr>
              <w:jc w:val="center"/>
              <w:ind w:left="1541"/>
              <w:spacing w:after="0" w:line="145"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0" w:type="dxa"/>
            <w:vAlign w:val="bottom"/>
            <w:gridSpan w:val="5"/>
          </w:tcPr>
          <w:p>
            <w:pPr>
              <w:jc w:val="center"/>
              <w:ind w:right="1780"/>
              <w:spacing w:after="0" w:line="145"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000" w:type="dxa"/>
            <w:vAlign w:val="bottom"/>
            <w:gridSpan w:val="6"/>
          </w:tcPr>
          <w:p>
            <w:pPr>
              <w:jc w:val="center"/>
              <w:ind w:left="156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0" w:type="dxa"/>
            <w:vAlign w:val="bottom"/>
            <w:gridSpan w:val="5"/>
          </w:tcPr>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25"/>
        </w:trPr>
        <w:tc>
          <w:tcPr>
            <w:tcW w:w="7420" w:type="dxa"/>
            <w:vAlign w:val="bottom"/>
            <w:gridSpan w:val="12"/>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7"/>
              </w:rPr>
              <w:t>500 11th Avenue North , Suite 1000,</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60" w:type="dxa"/>
            <w:vAlign w:val="bottom"/>
          </w:tcPr>
          <w:p>
            <w:pPr>
              <w:spacing w:after="0"/>
              <w:rPr>
                <w:sz w:val="17"/>
                <w:szCs w:val="17"/>
                <w:color w:val="auto"/>
              </w:rPr>
            </w:pPr>
          </w:p>
        </w:tc>
        <w:tc>
          <w:tcPr>
            <w:tcW w:w="1940" w:type="dxa"/>
            <w:vAlign w:val="bottom"/>
            <w:gridSpan w:val="5"/>
          </w:tcPr>
          <w:p>
            <w:pPr>
              <w:jc w:val="center"/>
              <w:ind w:right="420"/>
              <w:spacing w:after="0" w:line="198" w:lineRule="exact"/>
              <w:rPr>
                <w:sz w:val="20"/>
                <w:szCs w:val="20"/>
                <w:color w:val="auto"/>
              </w:rPr>
            </w:pPr>
            <w:r>
              <w:rPr>
                <w:rFonts w:ascii="Times New Roman" w:cs="Times New Roman" w:eastAsia="Times New Roman" w:hAnsi="Times New Roman"/>
                <w:sz w:val="18"/>
                <w:szCs w:val="18"/>
                <w:b w:val="1"/>
                <w:bCs w:val="1"/>
                <w:color w:val="auto"/>
                <w:w w:val="96"/>
              </w:rPr>
              <w:t>Nashville, Tennessee</w:t>
            </w: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gridSpan w:val="4"/>
          </w:tcPr>
          <w:p>
            <w:pPr>
              <w:jc w:val="right"/>
              <w:ind w:right="110"/>
              <w:spacing w:after="0" w:line="198" w:lineRule="exact"/>
              <w:rPr>
                <w:sz w:val="20"/>
                <w:szCs w:val="20"/>
                <w:color w:val="auto"/>
              </w:rPr>
            </w:pPr>
            <w:r>
              <w:rPr>
                <w:rFonts w:ascii="Times New Roman" w:cs="Times New Roman" w:eastAsia="Times New Roman" w:hAnsi="Times New Roman"/>
                <w:sz w:val="18"/>
                <w:szCs w:val="18"/>
                <w:b w:val="1"/>
                <w:bCs w:val="1"/>
                <w:color w:val="auto"/>
              </w:rPr>
              <w:t>37203</w:t>
            </w: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00" w:type="dxa"/>
            <w:vAlign w:val="bottom"/>
            <w:gridSpan w:val="6"/>
          </w:tcPr>
          <w:p>
            <w:pPr>
              <w:jc w:val="center"/>
              <w:ind w:left="156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20" w:type="dxa"/>
            <w:vAlign w:val="bottom"/>
            <w:gridSpan w:val="4"/>
          </w:tcPr>
          <w:p>
            <w:pPr>
              <w:jc w:val="center"/>
              <w:ind w:right="236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93"/>
        </w:trPr>
        <w:tc>
          <w:tcPr>
            <w:tcW w:w="2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spacing w:after="0"/>
              <w:rPr>
                <w:sz w:val="24"/>
                <w:szCs w:val="2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(615) 301-3100</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2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2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color w:val="auto"/>
                <w:w w:val="99"/>
              </w:rPr>
              <w:t>Securities registered pursuant to Section 12(b) of the Act:</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000" w:type="dxa"/>
            <w:vAlign w:val="bottom"/>
            <w:gridSpan w:val="6"/>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720" w:type="dxa"/>
            <w:vAlign w:val="bottom"/>
          </w:tcPr>
          <w:p>
            <w:pPr>
              <w:spacing w:after="0"/>
              <w:rPr>
                <w:sz w:val="24"/>
                <w:szCs w:val="2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400" w:type="dxa"/>
            <w:vAlign w:val="bottom"/>
            <w:gridSpan w:val="3"/>
          </w:tcPr>
          <w:p>
            <w:pPr>
              <w:spacing w:after="0"/>
              <w:rPr>
                <w:sz w:val="24"/>
                <w:szCs w:val="24"/>
                <w:color w:val="auto"/>
              </w:rPr>
            </w:pPr>
          </w:p>
        </w:tc>
        <w:tc>
          <w:tcPr>
            <w:tcW w:w="380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920" w:type="dxa"/>
            <w:vAlign w:val="bottom"/>
            <w:gridSpan w:val="3"/>
            <w:vMerge w:val="restart"/>
          </w:tcPr>
          <w:p>
            <w:pPr>
              <w:jc w:val="center"/>
              <w:ind w:right="1300"/>
              <w:spacing w:after="0"/>
              <w:rPr>
                <w:sz w:val="20"/>
                <w:szCs w:val="20"/>
                <w:color w:val="auto"/>
              </w:rPr>
            </w:pPr>
            <w:r>
              <w:rPr>
                <w:rFonts w:ascii="Times New Roman" w:cs="Times New Roman" w:eastAsia="Times New Roman" w:hAnsi="Times New Roman"/>
                <w:sz w:val="18"/>
                <w:szCs w:val="18"/>
                <w:color w:val="auto"/>
                <w:w w:val="99"/>
              </w:rPr>
              <w:t>HSTM</w:t>
            </w: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7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w:t>
            </w:r>
          </w:p>
        </w:tc>
        <w:tc>
          <w:tcPr>
            <w:tcW w:w="26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920" w:type="dxa"/>
            <w:vAlign w:val="bottom"/>
            <w:gridSpan w:val="3"/>
            <w:vMerge w:val="continue"/>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6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color w:val="auto"/>
                <w:w w:val="99"/>
              </w:rPr>
              <w:t>Nasdaq</w:t>
            </w:r>
          </w:p>
        </w:tc>
        <w:tc>
          <w:tcPr>
            <w:tcW w:w="0" w:type="dxa"/>
            <w:vAlign w:val="bottom"/>
          </w:tcPr>
          <w:p>
            <w:pPr>
              <w:spacing w:after="0"/>
              <w:rPr>
                <w:sz w:val="1"/>
                <w:szCs w:val="1"/>
                <w:color w:val="auto"/>
              </w:rPr>
            </w:pPr>
          </w:p>
        </w:tc>
      </w:tr>
    </w:tbl>
    <w:p>
      <w:pPr>
        <w:spacing w:after="0" w:line="9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72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7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97"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3" w:lineRule="exact"/>
        <w:rPr>
          <w:sz w:val="24"/>
          <w:szCs w:val="24"/>
          <w:color w:val="auto"/>
        </w:rPr>
      </w:pPr>
    </w:p>
    <w:p>
      <w:pPr>
        <w:ind w:right="222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23, 2020, there were 31,677,939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780415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 w:name="page2"/>
    <w:bookmarkEnd w:id="1"/>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Index to Form 10</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Q</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73"/>
        </w:trPr>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33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9300" w:type="dxa"/>
            <w:vAlign w:val="bottom"/>
            <w:gridSpan w:val="6"/>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Information</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6"/>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Statements</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38"/>
        </w:trPr>
        <w:tc>
          <w:tcPr>
            <w:tcW w:w="1000" w:type="dxa"/>
            <w:vAlign w:val="bottom"/>
          </w:tcPr>
          <w:p>
            <w:pPr>
              <w:spacing w:after="0"/>
              <w:rPr>
                <w:sz w:val="24"/>
                <w:szCs w:val="24"/>
                <w:color w:val="auto"/>
              </w:rPr>
            </w:pPr>
          </w:p>
        </w:tc>
        <w:tc>
          <w:tcPr>
            <w:tcW w:w="9300" w:type="dxa"/>
            <w:vAlign w:val="bottom"/>
            <w:gridSpan w:val="6"/>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Condensed Consolidated Balance Sheets (Unaudited) – September 30, 2020 and December 31, 2019</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38"/>
        </w:trPr>
        <w:tc>
          <w:tcPr>
            <w:tcW w:w="1000" w:type="dxa"/>
            <w:vAlign w:val="bottom"/>
          </w:tcPr>
          <w:p>
            <w:pPr>
              <w:spacing w:after="0"/>
              <w:rPr>
                <w:sz w:val="24"/>
                <w:szCs w:val="24"/>
                <w:color w:val="auto"/>
              </w:rPr>
            </w:pPr>
          </w:p>
        </w:tc>
        <w:tc>
          <w:tcPr>
            <w:tcW w:w="9300" w:type="dxa"/>
            <w:vAlign w:val="bottom"/>
            <w:gridSpan w:val="6"/>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Condensed Consolidated Statements of Income (Unaudited) – Three and Nine Months Ended September 30, 2020 and 2019</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97"/>
        </w:trPr>
        <w:tc>
          <w:tcPr>
            <w:tcW w:w="1000" w:type="dxa"/>
            <w:vAlign w:val="bottom"/>
          </w:tcPr>
          <w:p>
            <w:pPr>
              <w:spacing w:after="0"/>
              <w:rPr>
                <w:sz w:val="24"/>
                <w:szCs w:val="24"/>
                <w:color w:val="auto"/>
              </w:rPr>
            </w:pPr>
          </w:p>
        </w:tc>
        <w:tc>
          <w:tcPr>
            <w:tcW w:w="92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Condensed Consolidated Statements of Comprehensive Income (Unaudited) – Three and Nine Months Ended September 30, 2020</w:t>
              </w:r>
            </w:hyperlink>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1000" w:type="dxa"/>
            <w:vAlign w:val="bottom"/>
          </w:tcPr>
          <w:p>
            <w:pPr>
              <w:spacing w:after="0"/>
              <w:rPr>
                <w:sz w:val="17"/>
                <w:szCs w:val="17"/>
                <w:color w:val="auto"/>
              </w:rPr>
            </w:pPr>
          </w:p>
        </w:tc>
        <w:tc>
          <w:tcPr>
            <w:tcW w:w="6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and 2019</w:t>
              </w:r>
            </w:hyperlink>
          </w:p>
        </w:tc>
        <w:tc>
          <w:tcPr>
            <w:tcW w:w="8620" w:type="dxa"/>
            <w:vAlign w:val="bottom"/>
            <w:gridSpan w:val="3"/>
          </w:tcPr>
          <w:p>
            <w:pPr>
              <w:spacing w:after="0"/>
              <w:rPr>
                <w:sz w:val="17"/>
                <w:szCs w:val="17"/>
                <w:color w:val="auto"/>
              </w:rPr>
            </w:pPr>
          </w:p>
        </w:tc>
        <w:tc>
          <w:tcPr>
            <w:tcW w:w="740" w:type="dxa"/>
            <w:vAlign w:val="bottom"/>
          </w:tcPr>
          <w:p>
            <w:pPr>
              <w:spacing w:after="0"/>
              <w:rPr>
                <w:sz w:val="17"/>
                <w:szCs w:val="17"/>
                <w:color w:val="auto"/>
              </w:rPr>
            </w:pPr>
          </w:p>
        </w:tc>
      </w:tr>
      <w:tr>
        <w:trPr>
          <w:trHeight w:val="317"/>
        </w:trPr>
        <w:tc>
          <w:tcPr>
            <w:tcW w:w="1000" w:type="dxa"/>
            <w:vAlign w:val="bottom"/>
          </w:tcPr>
          <w:p>
            <w:pPr>
              <w:spacing w:after="0"/>
              <w:rPr>
                <w:sz w:val="24"/>
                <w:szCs w:val="24"/>
                <w:color w:val="auto"/>
              </w:rPr>
            </w:pPr>
          </w:p>
        </w:tc>
        <w:tc>
          <w:tcPr>
            <w:tcW w:w="9300" w:type="dxa"/>
            <w:vAlign w:val="bottom"/>
            <w:gridSpan w:val="6"/>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Shareholders' Equity (Unaudited) – Three and Nine Months Ended September 30, 2020</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96"/>
        </w:trPr>
        <w:tc>
          <w:tcPr>
            <w:tcW w:w="1000" w:type="dxa"/>
            <w:vAlign w:val="bottom"/>
          </w:tcPr>
          <w:p>
            <w:pPr>
              <w:spacing w:after="0"/>
              <w:rPr>
                <w:sz w:val="17"/>
                <w:szCs w:val="17"/>
                <w:color w:val="auto"/>
              </w:rPr>
            </w:pPr>
          </w:p>
        </w:tc>
        <w:tc>
          <w:tcPr>
            <w:tcW w:w="918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and 201</w:t>
              </w:r>
              <w:r>
                <w:rPr>
                  <w:rFonts w:ascii="Times New Roman" w:cs="Times New Roman" w:eastAsia="Times New Roman" w:hAnsi="Times New Roman"/>
                  <w:sz w:val="18"/>
                  <w:szCs w:val="18"/>
                  <w:color w:val="000000"/>
                </w:rPr>
                <w:t>9</w:t>
              </w:r>
            </w:hyperlink>
          </w:p>
        </w:tc>
        <w:tc>
          <w:tcPr>
            <w:tcW w:w="12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4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58"/>
        </w:trPr>
        <w:tc>
          <w:tcPr>
            <w:tcW w:w="1000" w:type="dxa"/>
            <w:vAlign w:val="bottom"/>
          </w:tcPr>
          <w:p>
            <w:pPr>
              <w:spacing w:after="0"/>
              <w:rPr>
                <w:sz w:val="24"/>
                <w:szCs w:val="24"/>
                <w:color w:val="auto"/>
              </w:rPr>
            </w:pPr>
          </w:p>
        </w:tc>
        <w:tc>
          <w:tcPr>
            <w:tcW w:w="9300" w:type="dxa"/>
            <w:vAlign w:val="bottom"/>
            <w:gridSpan w:val="6"/>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Condensed Consolidated Statements of Cash Flows (Unaudited) – Nine Months Ended September 30, 2020 and 2019</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38"/>
        </w:trPr>
        <w:tc>
          <w:tcPr>
            <w:tcW w:w="1000" w:type="dxa"/>
            <w:vAlign w:val="bottom"/>
          </w:tcPr>
          <w:p>
            <w:pPr>
              <w:spacing w:after="0"/>
              <w:rPr>
                <w:sz w:val="24"/>
                <w:szCs w:val="24"/>
                <w:color w:val="auto"/>
              </w:rPr>
            </w:pPr>
          </w:p>
        </w:tc>
        <w:tc>
          <w:tcPr>
            <w:tcW w:w="9300" w:type="dxa"/>
            <w:vAlign w:val="bottom"/>
            <w:gridSpan w:val="6"/>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Notes to Condensed Consolidated Financial Statements (Unaudited)</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6"/>
          </w:tcPr>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6"/>
          </w:tcPr>
          <w:p>
            <w:pPr>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Quantitative and Qualitative Disclosures about Market Risk</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6"/>
          </w:tcPr>
          <w:p>
            <w:pPr>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Controls and Procedures</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9300" w:type="dxa"/>
            <w:vAlign w:val="bottom"/>
            <w:gridSpan w:val="6"/>
          </w:tcPr>
          <w:p>
            <w:pPr>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Other Information</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6"/>
          </w:tcPr>
          <w:p>
            <w:pPr>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Risk Factors</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6"/>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Unregistered Sales of Equity Securities and Use of Proceeds</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6"/>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Exhibits</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37"/>
        </w:trPr>
        <w:tc>
          <w:tcPr>
            <w:tcW w:w="1000" w:type="dxa"/>
            <w:vAlign w:val="bottom"/>
          </w:tcPr>
          <w:p>
            <w:pPr>
              <w:spacing w:after="0"/>
              <w:rPr>
                <w:sz w:val="24"/>
                <w:szCs w:val="24"/>
                <w:color w:val="auto"/>
              </w:rPr>
            </w:pPr>
          </w:p>
        </w:tc>
        <w:tc>
          <w:tcPr>
            <w:tcW w:w="9300" w:type="dxa"/>
            <w:vAlign w:val="bottom"/>
            <w:gridSpan w:val="6"/>
          </w:tcPr>
          <w:p>
            <w:pPr>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SIGNATURE</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3994785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322"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220" w:type="dxa"/>
            <w:vAlign w:val="bottom"/>
          </w:tcPr>
          <w:p>
            <w:pPr>
              <w:spacing w:after="0"/>
              <w:rPr>
                <w:sz w:val="15"/>
                <w:szCs w:val="15"/>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183"/>
        </w:trPr>
        <w:tc>
          <w:tcPr>
            <w:tcW w:w="6600" w:type="dxa"/>
            <w:vAlign w:val="bottom"/>
            <w:tcBorders>
              <w:bottom w:val="single" w:sz="8" w:color="CFF0FC"/>
            </w:tcBorders>
          </w:tcPr>
          <w:p>
            <w:pPr>
              <w:spacing w:after="0"/>
              <w:rPr>
                <w:sz w:val="15"/>
                <w:szCs w:val="15"/>
                <w:color w:val="auto"/>
              </w:rPr>
            </w:pPr>
          </w:p>
        </w:tc>
        <w:tc>
          <w:tcPr>
            <w:tcW w:w="11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5"/>
                <w:szCs w:val="15"/>
                <w:b w:val="1"/>
                <w:bCs w:val="1"/>
                <w:color w:val="auto"/>
              </w:rPr>
              <w:t>2020</w:t>
            </w:r>
          </w:p>
        </w:tc>
        <w:tc>
          <w:tcPr>
            <w:tcW w:w="3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rPr>
              <w:t>2019</w:t>
            </w:r>
          </w:p>
        </w:tc>
        <w:tc>
          <w:tcPr>
            <w:tcW w:w="100" w:type="dxa"/>
            <w:vAlign w:val="bottom"/>
            <w:tcBorders>
              <w:bottom w:val="single" w:sz="8" w:color="CFF0FC"/>
            </w:tcBorders>
          </w:tcPr>
          <w:p>
            <w:pPr>
              <w:spacing w:after="0"/>
              <w:rPr>
                <w:sz w:val="15"/>
                <w:szCs w:val="15"/>
                <w:color w:val="auto"/>
              </w:rPr>
            </w:pPr>
          </w:p>
        </w:tc>
      </w:tr>
      <w:tr>
        <w:trPr>
          <w:trHeight w:val="169"/>
        </w:trPr>
        <w:tc>
          <w:tcPr>
            <w:tcW w:w="6600" w:type="dxa"/>
            <w:vAlign w:val="bottom"/>
            <w:shd w:val="clear" w:color="auto" w:fill="CFF0FC"/>
          </w:tcPr>
          <w:p>
            <w:pPr>
              <w:ind w:left="3480"/>
              <w:spacing w:after="0" w:line="169" w:lineRule="exact"/>
              <w:rPr>
                <w:sz w:val="20"/>
                <w:szCs w:val="20"/>
                <w:color w:val="auto"/>
              </w:rPr>
            </w:pPr>
            <w:r>
              <w:rPr>
                <w:rFonts w:ascii="Times New Roman" w:cs="Times New Roman" w:eastAsia="Times New Roman" w:hAnsi="Times New Roman"/>
                <w:sz w:val="15"/>
                <w:szCs w:val="15"/>
                <w:b w:val="1"/>
                <w:bCs w:val="1"/>
                <w:color w:val="auto"/>
              </w:rPr>
              <w:t>ASSETS</w:t>
            </w:r>
          </w:p>
        </w:tc>
        <w:tc>
          <w:tcPr>
            <w:tcW w:w="1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6600" w:type="dxa"/>
            <w:vAlign w:val="bottom"/>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30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107,007</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131,538</w:t>
            </w:r>
          </w:p>
        </w:tc>
        <w:tc>
          <w:tcPr>
            <w:tcW w:w="100" w:type="dxa"/>
            <w:vAlign w:val="bottom"/>
            <w:shd w:val="clear" w:color="auto" w:fill="CFF0FC"/>
          </w:tcPr>
          <w:p>
            <w:pPr>
              <w:spacing w:after="0"/>
              <w:rPr>
                <w:sz w:val="15"/>
                <w:szCs w:val="15"/>
                <w:color w:val="auto"/>
              </w:rPr>
            </w:pPr>
          </w:p>
        </w:tc>
      </w:tr>
      <w:tr>
        <w:trPr>
          <w:trHeight w:val="176"/>
        </w:trPr>
        <w:tc>
          <w:tcPr>
            <w:tcW w:w="66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Marketable securities</w:t>
            </w: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42,666</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41,328</w:t>
            </w:r>
          </w:p>
        </w:tc>
        <w:tc>
          <w:tcPr>
            <w:tcW w:w="100" w:type="dxa"/>
            <w:vAlign w:val="bottom"/>
          </w:tcPr>
          <w:p>
            <w:pPr>
              <w:spacing w:after="0"/>
              <w:rPr>
                <w:sz w:val="15"/>
                <w:szCs w:val="15"/>
                <w:color w:val="auto"/>
              </w:rPr>
            </w:pPr>
          </w:p>
        </w:tc>
      </w:tr>
      <w:tr>
        <w:trPr>
          <w:trHeight w:val="158"/>
        </w:trPr>
        <w:tc>
          <w:tcPr>
            <w:tcW w:w="6600" w:type="dxa"/>
            <w:vAlign w:val="bottom"/>
            <w:shd w:val="clear" w:color="auto" w:fill="CFF0FC"/>
          </w:tcPr>
          <w:p>
            <w:pPr>
              <w:ind w:left="260"/>
              <w:spacing w:after="0" w:line="159" w:lineRule="exact"/>
              <w:rPr>
                <w:sz w:val="20"/>
                <w:szCs w:val="20"/>
                <w:color w:val="auto"/>
              </w:rPr>
            </w:pPr>
            <w:r>
              <w:rPr>
                <w:rFonts w:ascii="Times New Roman" w:cs="Times New Roman" w:eastAsia="Times New Roman" w:hAnsi="Times New Roman"/>
                <w:sz w:val="15"/>
                <w:szCs w:val="15"/>
                <w:color w:val="auto"/>
              </w:rPr>
              <w:t>Accounts receivable, net of allowance for doubtful accounts of $648 and</w:t>
            </w:r>
          </w:p>
        </w:tc>
        <w:tc>
          <w:tcPr>
            <w:tcW w:w="1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9"/>
        </w:trPr>
        <w:tc>
          <w:tcPr>
            <w:tcW w:w="66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$843 at September 30, 2020 and December 31, 2019, respectively</w:t>
            </w:r>
          </w:p>
        </w:tc>
        <w:tc>
          <w:tcPr>
            <w:tcW w:w="1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26,372</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27,650</w:t>
            </w:r>
          </w:p>
        </w:tc>
        <w:tc>
          <w:tcPr>
            <w:tcW w:w="100" w:type="dxa"/>
            <w:vAlign w:val="bottom"/>
            <w:shd w:val="clear" w:color="auto" w:fill="CFF0FC"/>
          </w:tcPr>
          <w:p>
            <w:pPr>
              <w:spacing w:after="0"/>
              <w:rPr>
                <w:sz w:val="15"/>
                <w:szCs w:val="15"/>
                <w:color w:val="auto"/>
              </w:rPr>
            </w:pPr>
          </w:p>
        </w:tc>
      </w:tr>
      <w:tr>
        <w:trPr>
          <w:trHeight w:val="175"/>
        </w:trPr>
        <w:tc>
          <w:tcPr>
            <w:tcW w:w="66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Accounts receivable - unbilled</w:t>
            </w: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3,933</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2,726</w:t>
            </w:r>
          </w:p>
        </w:tc>
        <w:tc>
          <w:tcPr>
            <w:tcW w:w="100" w:type="dxa"/>
            <w:vAlign w:val="bottom"/>
          </w:tcPr>
          <w:p>
            <w:pPr>
              <w:spacing w:after="0"/>
              <w:rPr>
                <w:sz w:val="15"/>
                <w:szCs w:val="15"/>
                <w:color w:val="auto"/>
              </w:rPr>
            </w:pPr>
          </w:p>
        </w:tc>
      </w:tr>
      <w:tr>
        <w:trPr>
          <w:trHeight w:val="176"/>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Prepaid royalties, net of amortization</w:t>
            </w:r>
          </w:p>
        </w:tc>
        <w:tc>
          <w:tcPr>
            <w:tcW w:w="1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10,504</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11,898</w:t>
            </w:r>
          </w:p>
        </w:tc>
        <w:tc>
          <w:tcPr>
            <w:tcW w:w="100" w:type="dxa"/>
            <w:vAlign w:val="bottom"/>
            <w:shd w:val="clear" w:color="auto" w:fill="CFF0FC"/>
          </w:tcPr>
          <w:p>
            <w:pPr>
              <w:spacing w:after="0"/>
              <w:rPr>
                <w:sz w:val="15"/>
                <w:szCs w:val="15"/>
                <w:color w:val="auto"/>
              </w:rPr>
            </w:pPr>
          </w:p>
        </w:tc>
      </w:tr>
      <w:tr>
        <w:trPr>
          <w:trHeight w:val="175"/>
        </w:trPr>
        <w:tc>
          <w:tcPr>
            <w:tcW w:w="66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5"/>
                <w:szCs w:val="15"/>
                <w:color w:val="auto"/>
              </w:rPr>
              <w:t>Other prepaid expenses and other current assets</w:t>
            </w:r>
          </w:p>
        </w:tc>
        <w:tc>
          <w:tcPr>
            <w:tcW w:w="11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8,615</w:t>
            </w:r>
          </w:p>
        </w:tc>
        <w:tc>
          <w:tcPr>
            <w:tcW w:w="3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9,432</w:t>
            </w:r>
          </w:p>
        </w:tc>
        <w:tc>
          <w:tcPr>
            <w:tcW w:w="100" w:type="dxa"/>
            <w:vAlign w:val="bottom"/>
            <w:tcBorders>
              <w:bottom w:val="single" w:sz="8" w:color="CFF0FC"/>
            </w:tcBorders>
          </w:tcPr>
          <w:p>
            <w:pPr>
              <w:spacing w:after="0"/>
              <w:rPr>
                <w:sz w:val="15"/>
                <w:szCs w:val="15"/>
                <w:color w:val="auto"/>
              </w:rPr>
            </w:pPr>
          </w:p>
        </w:tc>
      </w:tr>
      <w:tr>
        <w:trPr>
          <w:trHeight w:val="169"/>
        </w:trPr>
        <w:tc>
          <w:tcPr>
            <w:tcW w:w="6600" w:type="dxa"/>
            <w:vAlign w:val="bottom"/>
            <w:shd w:val="clear" w:color="auto" w:fill="CFF0FC"/>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current assets</w:t>
            </w:r>
          </w:p>
        </w:tc>
        <w:tc>
          <w:tcPr>
            <w:tcW w:w="1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199,097</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224,572</w:t>
            </w:r>
          </w:p>
        </w:tc>
        <w:tc>
          <w:tcPr>
            <w:tcW w:w="100" w:type="dxa"/>
            <w:vAlign w:val="bottom"/>
            <w:shd w:val="clear" w:color="auto" w:fill="CFF0FC"/>
          </w:tcPr>
          <w:p>
            <w:pPr>
              <w:spacing w:after="0"/>
              <w:rPr>
                <w:sz w:val="14"/>
                <w:szCs w:val="14"/>
                <w:color w:val="auto"/>
              </w:rPr>
            </w:pPr>
          </w:p>
        </w:tc>
      </w:tr>
      <w:tr>
        <w:trPr>
          <w:trHeight w:val="176"/>
        </w:trPr>
        <w:tc>
          <w:tcPr>
            <w:tcW w:w="6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8"/>
        </w:trPr>
        <w:tc>
          <w:tcPr>
            <w:tcW w:w="660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5"/>
                <w:szCs w:val="15"/>
                <w:color w:val="auto"/>
              </w:rPr>
              <w:t>Property and equipment, net of accumulated depreciation of $24,524 and</w:t>
            </w:r>
          </w:p>
        </w:tc>
        <w:tc>
          <w:tcPr>
            <w:tcW w:w="1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9"/>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$19,291 at September 30, 2020 and December 31, 2019, respectively</w:t>
            </w:r>
          </w:p>
        </w:tc>
        <w:tc>
          <w:tcPr>
            <w:tcW w:w="1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21,793</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26,065</w:t>
            </w:r>
          </w:p>
        </w:tc>
        <w:tc>
          <w:tcPr>
            <w:tcW w:w="100" w:type="dxa"/>
            <w:vAlign w:val="bottom"/>
            <w:shd w:val="clear" w:color="auto" w:fill="CFF0FC"/>
          </w:tcPr>
          <w:p>
            <w:pPr>
              <w:spacing w:after="0"/>
              <w:rPr>
                <w:sz w:val="15"/>
                <w:szCs w:val="15"/>
                <w:color w:val="auto"/>
              </w:rPr>
            </w:pPr>
          </w:p>
        </w:tc>
      </w:tr>
      <w:tr>
        <w:trPr>
          <w:trHeight w:val="158"/>
        </w:trPr>
        <w:tc>
          <w:tcPr>
            <w:tcW w:w="660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Capitalized software development, net of accumulated amortization of $67,103 and</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9"/>
        </w:trPr>
        <w:tc>
          <w:tcPr>
            <w:tcW w:w="6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$57,768 at September 30, 2020 and December 31, 2019, respectively</w:t>
            </w: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24,679</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21,445</w:t>
            </w:r>
          </w:p>
        </w:tc>
        <w:tc>
          <w:tcPr>
            <w:tcW w:w="100" w:type="dxa"/>
            <w:vAlign w:val="bottom"/>
          </w:tcPr>
          <w:p>
            <w:pPr>
              <w:spacing w:after="0"/>
              <w:rPr>
                <w:sz w:val="15"/>
                <w:szCs w:val="15"/>
                <w:color w:val="auto"/>
              </w:rPr>
            </w:pPr>
          </w:p>
        </w:tc>
      </w:tr>
      <w:tr>
        <w:trPr>
          <w:trHeight w:val="175"/>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Operating lease right of use assets, net</w:t>
            </w:r>
          </w:p>
        </w:tc>
        <w:tc>
          <w:tcPr>
            <w:tcW w:w="1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27,707</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29,615</w:t>
            </w:r>
          </w:p>
        </w:tc>
        <w:tc>
          <w:tcPr>
            <w:tcW w:w="100" w:type="dxa"/>
            <w:vAlign w:val="bottom"/>
            <w:shd w:val="clear" w:color="auto" w:fill="CFF0FC"/>
          </w:tcPr>
          <w:p>
            <w:pPr>
              <w:spacing w:after="0"/>
              <w:rPr>
                <w:sz w:val="15"/>
                <w:szCs w:val="15"/>
                <w:color w:val="auto"/>
              </w:rPr>
            </w:pPr>
          </w:p>
        </w:tc>
      </w:tr>
      <w:tr>
        <w:trPr>
          <w:trHeight w:val="176"/>
        </w:trPr>
        <w:tc>
          <w:tcPr>
            <w:tcW w:w="6600" w:type="dxa"/>
            <w:vAlign w:val="bottom"/>
          </w:tcPr>
          <w:p>
            <w:pPr>
              <w:spacing w:after="0"/>
              <w:rPr>
                <w:sz w:val="20"/>
                <w:szCs w:val="20"/>
                <w:color w:val="auto"/>
              </w:rPr>
            </w:pPr>
            <w:r>
              <w:rPr>
                <w:rFonts w:ascii="Times New Roman" w:cs="Times New Roman" w:eastAsia="Times New Roman" w:hAnsi="Times New Roman"/>
                <w:sz w:val="15"/>
                <w:szCs w:val="15"/>
                <w:color w:val="auto"/>
              </w:rPr>
              <w:t>Goodwill</w:t>
            </w: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123,285</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102,196</w:t>
            </w:r>
          </w:p>
        </w:tc>
        <w:tc>
          <w:tcPr>
            <w:tcW w:w="100" w:type="dxa"/>
            <w:vAlign w:val="bottom"/>
          </w:tcPr>
          <w:p>
            <w:pPr>
              <w:spacing w:after="0"/>
              <w:rPr>
                <w:sz w:val="15"/>
                <w:szCs w:val="15"/>
                <w:color w:val="auto"/>
              </w:rPr>
            </w:pPr>
          </w:p>
        </w:tc>
      </w:tr>
      <w:tr>
        <w:trPr>
          <w:trHeight w:val="158"/>
        </w:trPr>
        <w:tc>
          <w:tcPr>
            <w:tcW w:w="660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5"/>
                <w:szCs w:val="15"/>
                <w:color w:val="auto"/>
              </w:rPr>
              <w:t>Customer-related intangibles, net of accumulated amortization of $34,814 and</w:t>
            </w:r>
          </w:p>
        </w:tc>
        <w:tc>
          <w:tcPr>
            <w:tcW w:w="1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9"/>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$29,760 at September 30, 2020 and December 31, 2019, respectively</w:t>
            </w:r>
          </w:p>
        </w:tc>
        <w:tc>
          <w:tcPr>
            <w:tcW w:w="1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47,535</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52,554</w:t>
            </w:r>
          </w:p>
        </w:tc>
        <w:tc>
          <w:tcPr>
            <w:tcW w:w="100" w:type="dxa"/>
            <w:vAlign w:val="bottom"/>
            <w:shd w:val="clear" w:color="auto" w:fill="CFF0FC"/>
          </w:tcPr>
          <w:p>
            <w:pPr>
              <w:spacing w:after="0"/>
              <w:rPr>
                <w:sz w:val="15"/>
                <w:szCs w:val="15"/>
                <w:color w:val="auto"/>
              </w:rPr>
            </w:pPr>
          </w:p>
        </w:tc>
      </w:tr>
      <w:tr>
        <w:trPr>
          <w:trHeight w:val="158"/>
        </w:trPr>
        <w:tc>
          <w:tcPr>
            <w:tcW w:w="660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Other intangible assets, net of accumulated amortization of $15,118 and</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9"/>
        </w:trPr>
        <w:tc>
          <w:tcPr>
            <w:tcW w:w="6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$12,735 at September 30, 2020 and December 31, 2019, respectively</w:t>
            </w: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6,953</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7,527</w:t>
            </w:r>
          </w:p>
        </w:tc>
        <w:tc>
          <w:tcPr>
            <w:tcW w:w="100" w:type="dxa"/>
            <w:vAlign w:val="bottom"/>
          </w:tcPr>
          <w:p>
            <w:pPr>
              <w:spacing w:after="0"/>
              <w:rPr>
                <w:sz w:val="15"/>
                <w:szCs w:val="15"/>
                <w:color w:val="auto"/>
              </w:rPr>
            </w:pPr>
          </w:p>
        </w:tc>
      </w:tr>
      <w:tr>
        <w:trPr>
          <w:trHeight w:val="175"/>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Deferred tax assets</w:t>
            </w:r>
          </w:p>
        </w:tc>
        <w:tc>
          <w:tcPr>
            <w:tcW w:w="1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269</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269</w:t>
            </w:r>
          </w:p>
        </w:tc>
        <w:tc>
          <w:tcPr>
            <w:tcW w:w="100" w:type="dxa"/>
            <w:vAlign w:val="bottom"/>
            <w:shd w:val="clear" w:color="auto" w:fill="CFF0FC"/>
          </w:tcPr>
          <w:p>
            <w:pPr>
              <w:spacing w:after="0"/>
              <w:rPr>
                <w:sz w:val="15"/>
                <w:szCs w:val="15"/>
                <w:color w:val="auto"/>
              </w:rPr>
            </w:pPr>
          </w:p>
        </w:tc>
      </w:tr>
      <w:tr>
        <w:trPr>
          <w:trHeight w:val="176"/>
        </w:trPr>
        <w:tc>
          <w:tcPr>
            <w:tcW w:w="6600" w:type="dxa"/>
            <w:vAlign w:val="bottom"/>
          </w:tcPr>
          <w:p>
            <w:pPr>
              <w:spacing w:after="0"/>
              <w:rPr>
                <w:sz w:val="20"/>
                <w:szCs w:val="20"/>
                <w:color w:val="auto"/>
              </w:rPr>
            </w:pPr>
            <w:r>
              <w:rPr>
                <w:rFonts w:ascii="Times New Roman" w:cs="Times New Roman" w:eastAsia="Times New Roman" w:hAnsi="Times New Roman"/>
                <w:sz w:val="15"/>
                <w:szCs w:val="15"/>
                <w:color w:val="auto"/>
              </w:rPr>
              <w:t>Deferred commissions</w:t>
            </w: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17,783</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17,645</w:t>
            </w:r>
          </w:p>
        </w:tc>
        <w:tc>
          <w:tcPr>
            <w:tcW w:w="100" w:type="dxa"/>
            <w:vAlign w:val="bottom"/>
          </w:tcPr>
          <w:p>
            <w:pPr>
              <w:spacing w:after="0"/>
              <w:rPr>
                <w:sz w:val="15"/>
                <w:szCs w:val="15"/>
                <w:color w:val="auto"/>
              </w:rPr>
            </w:pPr>
          </w:p>
        </w:tc>
      </w:tr>
      <w:tr>
        <w:trPr>
          <w:trHeight w:val="17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Non-marketable equity investments</w:t>
            </w:r>
          </w:p>
        </w:tc>
        <w:tc>
          <w:tcPr>
            <w:tcW w:w="1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6,889</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6,782</w:t>
            </w:r>
          </w:p>
        </w:tc>
        <w:tc>
          <w:tcPr>
            <w:tcW w:w="100" w:type="dxa"/>
            <w:vAlign w:val="bottom"/>
            <w:shd w:val="clear" w:color="auto" w:fill="CFF0FC"/>
          </w:tcPr>
          <w:p>
            <w:pPr>
              <w:spacing w:after="0"/>
              <w:rPr>
                <w:sz w:val="15"/>
                <w:szCs w:val="15"/>
                <w:color w:val="auto"/>
              </w:rPr>
            </w:pPr>
          </w:p>
        </w:tc>
      </w:tr>
      <w:tr>
        <w:trPr>
          <w:trHeight w:val="175"/>
        </w:trPr>
        <w:tc>
          <w:tcPr>
            <w:tcW w:w="6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11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567</w:t>
            </w:r>
          </w:p>
        </w:tc>
        <w:tc>
          <w:tcPr>
            <w:tcW w:w="3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874</w:t>
            </w:r>
          </w:p>
        </w:tc>
        <w:tc>
          <w:tcPr>
            <w:tcW w:w="100" w:type="dxa"/>
            <w:vAlign w:val="bottom"/>
            <w:tcBorders>
              <w:bottom w:val="single" w:sz="8" w:color="CFF0FC"/>
            </w:tcBorders>
          </w:tcPr>
          <w:p>
            <w:pPr>
              <w:spacing w:after="0"/>
              <w:rPr>
                <w:sz w:val="15"/>
                <w:szCs w:val="15"/>
                <w:color w:val="auto"/>
              </w:rPr>
            </w:pPr>
          </w:p>
        </w:tc>
      </w:tr>
      <w:tr>
        <w:trPr>
          <w:trHeight w:val="169"/>
        </w:trPr>
        <w:tc>
          <w:tcPr>
            <w:tcW w:w="6600" w:type="dxa"/>
            <w:vAlign w:val="bottom"/>
            <w:tcBorders>
              <w:bottom w:val="single" w:sz="8" w:color="CFF0FC"/>
            </w:tcBorders>
            <w:shd w:val="clear" w:color="auto" w:fill="CFF0FC"/>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assets</w:t>
            </w:r>
          </w:p>
        </w:tc>
        <w:tc>
          <w:tcPr>
            <w:tcW w:w="1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ind w:right="2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476,557</w:t>
            </w:r>
          </w:p>
        </w:tc>
        <w:tc>
          <w:tcPr>
            <w:tcW w:w="3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6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489,544</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20"/>
        </w:trPr>
        <w:tc>
          <w:tcPr>
            <w:tcW w:w="6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6600" w:type="dxa"/>
            <w:vAlign w:val="bottom"/>
            <w:shd w:val="clear" w:color="auto" w:fill="CFF0FC"/>
          </w:tcPr>
          <w:p>
            <w:pPr>
              <w:ind w:left="2100"/>
              <w:spacing w:after="0"/>
              <w:rPr>
                <w:sz w:val="20"/>
                <w:szCs w:val="20"/>
                <w:color w:val="auto"/>
              </w:rPr>
            </w:pPr>
            <w:r>
              <w:rPr>
                <w:rFonts w:ascii="Times New Roman" w:cs="Times New Roman" w:eastAsia="Times New Roman" w:hAnsi="Times New Roman"/>
                <w:sz w:val="15"/>
                <w:szCs w:val="15"/>
                <w:b w:val="1"/>
                <w:bCs w:val="1"/>
                <w:color w:val="auto"/>
              </w:rPr>
              <w:t>LIABILITIES AND SHAREHOLDERS’ EQUITY</w:t>
            </w:r>
          </w:p>
        </w:tc>
        <w:tc>
          <w:tcPr>
            <w:tcW w:w="1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600" w:type="dxa"/>
            <w:vAlign w:val="bottom"/>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Accounts payable and accrued expenses</w:t>
            </w:r>
          </w:p>
        </w:tc>
        <w:tc>
          <w:tcPr>
            <w:tcW w:w="130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22,141</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22,938</w:t>
            </w:r>
          </w:p>
        </w:tc>
        <w:tc>
          <w:tcPr>
            <w:tcW w:w="100" w:type="dxa"/>
            <w:vAlign w:val="bottom"/>
            <w:shd w:val="clear" w:color="auto" w:fill="CFF0FC"/>
          </w:tcPr>
          <w:p>
            <w:pPr>
              <w:spacing w:after="0"/>
              <w:rPr>
                <w:sz w:val="15"/>
                <w:szCs w:val="15"/>
                <w:color w:val="auto"/>
              </w:rPr>
            </w:pPr>
          </w:p>
        </w:tc>
      </w:tr>
      <w:tr>
        <w:trPr>
          <w:trHeight w:val="175"/>
        </w:trPr>
        <w:tc>
          <w:tcPr>
            <w:tcW w:w="66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Accrued royalties</w:t>
            </w: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10,263</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16,736</w:t>
            </w:r>
          </w:p>
        </w:tc>
        <w:tc>
          <w:tcPr>
            <w:tcW w:w="100" w:type="dxa"/>
            <w:vAlign w:val="bottom"/>
          </w:tcPr>
          <w:p>
            <w:pPr>
              <w:spacing w:after="0"/>
              <w:rPr>
                <w:sz w:val="15"/>
                <w:szCs w:val="15"/>
                <w:color w:val="auto"/>
              </w:rPr>
            </w:pPr>
          </w:p>
        </w:tc>
      </w:tr>
      <w:tr>
        <w:trPr>
          <w:trHeight w:val="175"/>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Deferred revenue</w:t>
            </w:r>
          </w:p>
        </w:tc>
        <w:tc>
          <w:tcPr>
            <w:tcW w:w="112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62,610</w:t>
            </w:r>
          </w:p>
        </w:tc>
        <w:tc>
          <w:tcPr>
            <w:tcW w:w="30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65,511</w:t>
            </w:r>
          </w:p>
        </w:tc>
        <w:tc>
          <w:tcPr>
            <w:tcW w:w="100" w:type="dxa"/>
            <w:vAlign w:val="bottom"/>
            <w:shd w:val="clear" w:color="auto" w:fill="CFF0FC"/>
          </w:tcPr>
          <w:p>
            <w:pPr>
              <w:spacing w:after="0"/>
              <w:rPr>
                <w:sz w:val="15"/>
                <w:szCs w:val="15"/>
                <w:color w:val="auto"/>
              </w:rPr>
            </w:pPr>
          </w:p>
        </w:tc>
      </w:tr>
      <w:tr>
        <w:trPr>
          <w:trHeight w:val="169"/>
        </w:trPr>
        <w:tc>
          <w:tcPr>
            <w:tcW w:w="6600" w:type="dxa"/>
            <w:vAlign w:val="bottom"/>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current liabilities</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95,014</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105,185</w:t>
            </w:r>
          </w:p>
        </w:tc>
        <w:tc>
          <w:tcPr>
            <w:tcW w:w="100" w:type="dxa"/>
            <w:vAlign w:val="bottom"/>
          </w:tcPr>
          <w:p>
            <w:pPr>
              <w:spacing w:after="0"/>
              <w:rPr>
                <w:sz w:val="14"/>
                <w:szCs w:val="14"/>
                <w:color w:val="auto"/>
              </w:rPr>
            </w:pPr>
          </w:p>
        </w:tc>
      </w:tr>
      <w:tr>
        <w:trPr>
          <w:trHeight w:val="175"/>
        </w:trPr>
        <w:tc>
          <w:tcPr>
            <w:tcW w:w="66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600" w:type="dxa"/>
            <w:vAlign w:val="bottom"/>
          </w:tcPr>
          <w:p>
            <w:pPr>
              <w:spacing w:after="0"/>
              <w:rPr>
                <w:sz w:val="20"/>
                <w:szCs w:val="20"/>
                <w:color w:val="auto"/>
              </w:rPr>
            </w:pPr>
            <w:r>
              <w:rPr>
                <w:rFonts w:ascii="Times New Roman" w:cs="Times New Roman" w:eastAsia="Times New Roman" w:hAnsi="Times New Roman"/>
                <w:sz w:val="15"/>
                <w:szCs w:val="15"/>
                <w:color w:val="auto"/>
              </w:rPr>
              <w:t>Deferred tax liabilities</w:t>
            </w: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13,394</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13,183</w:t>
            </w:r>
          </w:p>
        </w:tc>
        <w:tc>
          <w:tcPr>
            <w:tcW w:w="100" w:type="dxa"/>
            <w:vAlign w:val="bottom"/>
          </w:tcPr>
          <w:p>
            <w:pPr>
              <w:spacing w:after="0"/>
              <w:rPr>
                <w:sz w:val="15"/>
                <w:szCs w:val="15"/>
                <w:color w:val="auto"/>
              </w:rPr>
            </w:pPr>
          </w:p>
        </w:tc>
      </w:tr>
      <w:tr>
        <w:trPr>
          <w:trHeight w:val="175"/>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Deferred revenue, noncurrent</w:t>
            </w:r>
          </w:p>
        </w:tc>
        <w:tc>
          <w:tcPr>
            <w:tcW w:w="1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1,751</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1,918</w:t>
            </w:r>
          </w:p>
        </w:tc>
        <w:tc>
          <w:tcPr>
            <w:tcW w:w="100" w:type="dxa"/>
            <w:vAlign w:val="bottom"/>
            <w:shd w:val="clear" w:color="auto" w:fill="CFF0FC"/>
          </w:tcPr>
          <w:p>
            <w:pPr>
              <w:spacing w:after="0"/>
              <w:rPr>
                <w:sz w:val="15"/>
                <w:szCs w:val="15"/>
                <w:color w:val="auto"/>
              </w:rPr>
            </w:pPr>
          </w:p>
        </w:tc>
      </w:tr>
      <w:tr>
        <w:trPr>
          <w:trHeight w:val="175"/>
        </w:trPr>
        <w:tc>
          <w:tcPr>
            <w:tcW w:w="660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liability, noncurrent</w:t>
            </w: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28,665</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30,733</w:t>
            </w:r>
          </w:p>
        </w:tc>
        <w:tc>
          <w:tcPr>
            <w:tcW w:w="100" w:type="dxa"/>
            <w:vAlign w:val="bottom"/>
          </w:tcPr>
          <w:p>
            <w:pPr>
              <w:spacing w:after="0"/>
              <w:rPr>
                <w:sz w:val="15"/>
                <w:szCs w:val="15"/>
                <w:color w:val="auto"/>
              </w:rPr>
            </w:pPr>
          </w:p>
        </w:tc>
      </w:tr>
      <w:tr>
        <w:trPr>
          <w:trHeight w:val="17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Other long term liabilities</w:t>
            </w:r>
          </w:p>
        </w:tc>
        <w:tc>
          <w:tcPr>
            <w:tcW w:w="1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1,468</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357</w:t>
            </w:r>
          </w:p>
        </w:tc>
        <w:tc>
          <w:tcPr>
            <w:tcW w:w="100" w:type="dxa"/>
            <w:vAlign w:val="bottom"/>
            <w:shd w:val="clear" w:color="auto" w:fill="CFF0FC"/>
          </w:tcPr>
          <w:p>
            <w:pPr>
              <w:spacing w:after="0"/>
              <w:rPr>
                <w:sz w:val="15"/>
                <w:szCs w:val="15"/>
                <w:color w:val="auto"/>
              </w:rPr>
            </w:pPr>
          </w:p>
        </w:tc>
      </w:tr>
      <w:tr>
        <w:trPr>
          <w:trHeight w:val="175"/>
        </w:trPr>
        <w:tc>
          <w:tcPr>
            <w:tcW w:w="6600" w:type="dxa"/>
            <w:vAlign w:val="bottom"/>
          </w:tcPr>
          <w:p>
            <w:pPr>
              <w:spacing w:after="0"/>
              <w:rPr>
                <w:sz w:val="20"/>
                <w:szCs w:val="20"/>
                <w:color w:val="auto"/>
              </w:rPr>
            </w:pPr>
            <w:r>
              <w:rPr>
                <w:rFonts w:ascii="Times New Roman" w:cs="Times New Roman" w:eastAsia="Times New Roman" w:hAnsi="Times New Roman"/>
                <w:sz w:val="15"/>
                <w:szCs w:val="15"/>
                <w:color w:val="auto"/>
              </w:rPr>
              <w:t>Commitments and contingencies</w:t>
            </w: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6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600" w:type="dxa"/>
            <w:vAlign w:val="bottom"/>
          </w:tcPr>
          <w:p>
            <w:pPr>
              <w:spacing w:after="0"/>
              <w:rPr>
                <w:sz w:val="20"/>
                <w:szCs w:val="20"/>
                <w:color w:val="auto"/>
              </w:rPr>
            </w:pPr>
            <w:r>
              <w:rPr>
                <w:rFonts w:ascii="Times New Roman" w:cs="Times New Roman" w:eastAsia="Times New Roman" w:hAnsi="Times New Roman"/>
                <w:sz w:val="15"/>
                <w:szCs w:val="15"/>
                <w:color w:val="auto"/>
              </w:rPr>
              <w:t>Shareholders’ equity:</w:t>
            </w: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8"/>
        </w:trPr>
        <w:tc>
          <w:tcPr>
            <w:tcW w:w="6600" w:type="dxa"/>
            <w:vAlign w:val="bottom"/>
            <w:shd w:val="clear" w:color="auto" w:fill="CFF0FC"/>
          </w:tcPr>
          <w:p>
            <w:pPr>
              <w:ind w:left="260"/>
              <w:spacing w:after="0" w:line="159" w:lineRule="exact"/>
              <w:rPr>
                <w:sz w:val="20"/>
                <w:szCs w:val="20"/>
                <w:color w:val="auto"/>
              </w:rPr>
            </w:pPr>
            <w:r>
              <w:rPr>
                <w:rFonts w:ascii="Times New Roman" w:cs="Times New Roman" w:eastAsia="Times New Roman" w:hAnsi="Times New Roman"/>
                <w:sz w:val="15"/>
                <w:szCs w:val="15"/>
                <w:color w:val="auto"/>
              </w:rPr>
              <w:t>Common stock, no par value, 75,000 shares authorized; 31,686 and 32,379 shares</w:t>
            </w:r>
          </w:p>
        </w:tc>
        <w:tc>
          <w:tcPr>
            <w:tcW w:w="1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9"/>
        </w:trPr>
        <w:tc>
          <w:tcPr>
            <w:tcW w:w="66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issued and outstanding at September 30, 2020 and December 31, 2019, respectively</w:t>
            </w:r>
          </w:p>
        </w:tc>
        <w:tc>
          <w:tcPr>
            <w:tcW w:w="1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274,905</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290,021</w:t>
            </w:r>
          </w:p>
        </w:tc>
        <w:tc>
          <w:tcPr>
            <w:tcW w:w="100" w:type="dxa"/>
            <w:vAlign w:val="bottom"/>
            <w:shd w:val="clear" w:color="auto" w:fill="CFF0FC"/>
          </w:tcPr>
          <w:p>
            <w:pPr>
              <w:spacing w:after="0"/>
              <w:rPr>
                <w:sz w:val="15"/>
                <w:szCs w:val="15"/>
                <w:color w:val="auto"/>
              </w:rPr>
            </w:pPr>
          </w:p>
        </w:tc>
      </w:tr>
      <w:tr>
        <w:trPr>
          <w:trHeight w:val="175"/>
        </w:trPr>
        <w:tc>
          <w:tcPr>
            <w:tcW w:w="66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Retained earnings</w:t>
            </w: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61,354</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48,143</w:t>
            </w:r>
          </w:p>
        </w:tc>
        <w:tc>
          <w:tcPr>
            <w:tcW w:w="100" w:type="dxa"/>
            <w:vAlign w:val="bottom"/>
          </w:tcPr>
          <w:p>
            <w:pPr>
              <w:spacing w:after="0"/>
              <w:rPr>
                <w:sz w:val="15"/>
                <w:szCs w:val="15"/>
                <w:color w:val="auto"/>
              </w:rPr>
            </w:pPr>
          </w:p>
        </w:tc>
      </w:tr>
      <w:tr>
        <w:trPr>
          <w:trHeight w:val="175"/>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Accumulated other comprehensive income</w:t>
            </w:r>
          </w:p>
        </w:tc>
        <w:tc>
          <w:tcPr>
            <w:tcW w:w="112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30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shd w:val="clear" w:color="auto" w:fill="CFF0FC"/>
          </w:tcPr>
          <w:p>
            <w:pPr>
              <w:spacing w:after="0"/>
              <w:rPr>
                <w:sz w:val="15"/>
                <w:szCs w:val="15"/>
                <w:color w:val="auto"/>
              </w:rPr>
            </w:pPr>
          </w:p>
        </w:tc>
      </w:tr>
      <w:tr>
        <w:trPr>
          <w:trHeight w:val="169"/>
        </w:trPr>
        <w:tc>
          <w:tcPr>
            <w:tcW w:w="6600" w:type="dxa"/>
            <w:vAlign w:val="bottom"/>
            <w:tcBorders>
              <w:bottom w:val="single" w:sz="8" w:color="CFF0FC"/>
            </w:tcBorders>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shareholders’ equity</w:t>
            </w:r>
          </w:p>
        </w:tc>
        <w:tc>
          <w:tcPr>
            <w:tcW w:w="1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336,265</w:t>
            </w: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338,168</w:t>
            </w:r>
          </w:p>
        </w:tc>
        <w:tc>
          <w:tcPr>
            <w:tcW w:w="100" w:type="dxa"/>
            <w:vAlign w:val="bottom"/>
            <w:tcBorders>
              <w:bottom w:val="single" w:sz="8" w:color="CFF0FC"/>
            </w:tcBorders>
          </w:tcPr>
          <w:p>
            <w:pPr>
              <w:spacing w:after="0"/>
              <w:rPr>
                <w:sz w:val="14"/>
                <w:szCs w:val="14"/>
                <w:color w:val="auto"/>
              </w:rPr>
            </w:pPr>
          </w:p>
        </w:tc>
      </w:tr>
      <w:tr>
        <w:trPr>
          <w:trHeight w:val="169"/>
        </w:trPr>
        <w:tc>
          <w:tcPr>
            <w:tcW w:w="6600" w:type="dxa"/>
            <w:vAlign w:val="bottom"/>
            <w:tcBorders>
              <w:bottom w:val="single" w:sz="8" w:color="CFF0FC"/>
            </w:tcBorders>
            <w:shd w:val="clear" w:color="auto" w:fill="CFF0FC"/>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liabilities and shareholders’ equity</w:t>
            </w:r>
          </w:p>
        </w:tc>
        <w:tc>
          <w:tcPr>
            <w:tcW w:w="1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ind w:right="2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476,557</w:t>
            </w:r>
          </w:p>
        </w:tc>
        <w:tc>
          <w:tcPr>
            <w:tcW w:w="3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6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489,544</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20"/>
        </w:trPr>
        <w:tc>
          <w:tcPr>
            <w:tcW w:w="6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 (unaudited).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25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31"/>
        </w:trPr>
        <w:tc>
          <w:tcPr>
            <w:tcW w:w="5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52"/>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71"/>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52"/>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71"/>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r>
      <w:tr>
        <w:trPr>
          <w:trHeight w:val="173"/>
        </w:trPr>
        <w:tc>
          <w:tcPr>
            <w:tcW w:w="5220" w:type="dxa"/>
            <w:vAlign w:val="bottom"/>
            <w:tcBorders>
              <w:bottom w:val="single" w:sz="8" w:color="CFF0FC"/>
            </w:tcBorders>
          </w:tcPr>
          <w:p>
            <w:pPr>
              <w:spacing w:after="0"/>
              <w:rPr>
                <w:sz w:val="15"/>
                <w:szCs w:val="15"/>
                <w:color w:val="auto"/>
              </w:rPr>
            </w:pPr>
          </w:p>
        </w:tc>
        <w:tc>
          <w:tcPr>
            <w:tcW w:w="6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r>
      <w:tr>
        <w:trPr>
          <w:trHeight w:val="22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60,883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62,450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183,008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191,417</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Cost of revenues (excluding depreciation and amortization)</w:t>
            </w: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66,596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79,015</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Product development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21,763</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26,286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28,343</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30,283</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7,149</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22,005</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20,629</w:t>
            </w:r>
          </w:p>
        </w:tc>
        <w:tc>
          <w:tcPr>
            <w:tcW w:w="100" w:type="dxa"/>
            <w:vAlign w:val="bottom"/>
            <w:shd w:val="clear" w:color="auto" w:fill="CFF0FC"/>
          </w:tcPr>
          <w:p>
            <w:pPr>
              <w:spacing w:after="0"/>
              <w:rPr>
                <w:sz w:val="19"/>
                <w:szCs w:val="19"/>
                <w:color w:val="auto"/>
              </w:rPr>
            </w:pPr>
          </w:p>
        </w:tc>
      </w:tr>
      <w:tr>
        <w:trPr>
          <w:trHeight w:val="223"/>
        </w:trPr>
        <w:tc>
          <w:tcPr>
            <w:tcW w:w="5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57,749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168,327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180,033</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11,384</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00" w:type="dxa"/>
            <w:vAlign w:val="bottom"/>
            <w:tcBorders>
              <w:bottom w:val="single" w:sz="8" w:color="CFF0FC"/>
            </w:tcBorders>
          </w:tcPr>
          <w:p>
            <w:pPr>
              <w:spacing w:after="0"/>
              <w:rPr>
                <w:sz w:val="19"/>
                <w:szCs w:val="19"/>
                <w:color w:val="auto"/>
              </w:rPr>
            </w:pPr>
          </w:p>
        </w:tc>
      </w:tr>
      <w:tr>
        <w:trPr>
          <w:trHeight w:val="223"/>
        </w:trPr>
        <w:tc>
          <w:tcPr>
            <w:tcW w:w="5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 provision</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13,912</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6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00" w:type="dxa"/>
            <w:vAlign w:val="bottom"/>
            <w:shd w:val="clear" w:color="auto" w:fill="CFF0FC"/>
          </w:tcPr>
          <w:p>
            <w:pPr>
              <w:spacing w:after="0"/>
              <w:rPr>
                <w:sz w:val="19"/>
                <w:szCs w:val="19"/>
                <w:color w:val="auto"/>
              </w:rPr>
            </w:pPr>
          </w:p>
        </w:tc>
      </w:tr>
      <w:tr>
        <w:trPr>
          <w:trHeight w:val="223"/>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on sale of discontinued operations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 provision</w:t>
            </w:r>
          </w:p>
        </w:tc>
        <w:tc>
          <w:tcPr>
            <w:tcW w:w="6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FF0FC"/>
          </w:tcPr>
          <w:p>
            <w:pPr>
              <w:spacing w:after="0"/>
              <w:rPr>
                <w:sz w:val="19"/>
                <w:szCs w:val="19"/>
                <w:color w:val="auto"/>
              </w:rPr>
            </w:pPr>
          </w:p>
        </w:tc>
      </w:tr>
      <w:tr>
        <w:trPr>
          <w:trHeight w:val="223"/>
        </w:trPr>
        <w:tc>
          <w:tcPr>
            <w:tcW w:w="52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6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tcBorders>
              <w:bottom w:val="single" w:sz="8" w:color="CFF0FC"/>
            </w:tcBorders>
          </w:tcPr>
          <w:p>
            <w:pPr>
              <w:spacing w:after="0"/>
              <w:rPr>
                <w:sz w:val="19"/>
                <w:szCs w:val="19"/>
                <w:color w:val="auto"/>
              </w:rPr>
            </w:pPr>
          </w:p>
        </w:tc>
      </w:tr>
      <w:tr>
        <w:trPr>
          <w:trHeight w:val="223"/>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6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13,168</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Continuing operations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Discontinued operations</w:t>
            </w: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FF0FC"/>
          </w:tcPr>
          <w:p>
            <w:pPr>
              <w:spacing w:after="0"/>
              <w:rPr>
                <w:sz w:val="19"/>
                <w:szCs w:val="19"/>
                <w:color w:val="auto"/>
              </w:rPr>
            </w:pPr>
          </w:p>
        </w:tc>
      </w:tr>
      <w:tr>
        <w:trPr>
          <w:trHeight w:val="263"/>
        </w:trPr>
        <w:tc>
          <w:tcPr>
            <w:tcW w:w="5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6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Borders>
              <w:bottom w:val="single" w:sz="8" w:color="CFF0FC"/>
            </w:tcBorders>
          </w:tcPr>
          <w:p>
            <w:pPr>
              <w:spacing w:after="0"/>
              <w:rPr>
                <w:sz w:val="22"/>
                <w:szCs w:val="22"/>
                <w:color w:val="auto"/>
              </w:rPr>
            </w:pPr>
          </w:p>
        </w:tc>
      </w:tr>
      <w:tr>
        <w:trPr>
          <w:trHeight w:val="210"/>
        </w:trPr>
        <w:tc>
          <w:tcPr>
            <w:tcW w:w="5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Continuing operations</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Discontinued operations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r>
      <w:tr>
        <w:trPr>
          <w:trHeight w:val="223"/>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70"/>
        </w:trPr>
        <w:tc>
          <w:tcPr>
            <w:tcW w:w="52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60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31,955</w:t>
            </w:r>
          </w:p>
        </w:tc>
        <w:tc>
          <w:tcPr>
            <w:tcW w:w="24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32,376</w:t>
            </w:r>
          </w:p>
        </w:tc>
        <w:tc>
          <w:tcPr>
            <w:tcW w:w="24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32,095</w:t>
            </w:r>
          </w:p>
        </w:tc>
        <w:tc>
          <w:tcPr>
            <w:tcW w:w="24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32,369</w:t>
            </w:r>
          </w:p>
        </w:tc>
        <w:tc>
          <w:tcPr>
            <w:tcW w:w="100" w:type="dxa"/>
            <w:vAlign w:val="bottom"/>
            <w:tcBorders>
              <w:bottom w:val="single" w:sz="8" w:color="CFF0FC"/>
            </w:tcBorders>
          </w:tcPr>
          <w:p>
            <w:pPr>
              <w:spacing w:after="0"/>
              <w:rPr>
                <w:sz w:val="23"/>
                <w:szCs w:val="23"/>
                <w:color w:val="auto"/>
              </w:rPr>
            </w:pPr>
          </w:p>
        </w:tc>
      </w:tr>
      <w:tr>
        <w:trPr>
          <w:trHeight w:val="210"/>
        </w:trPr>
        <w:tc>
          <w:tcPr>
            <w:tcW w:w="52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6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31,981</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32,437</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32,121</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8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31"/>
        </w:trPr>
        <w:tc>
          <w:tcPr>
            <w:tcW w:w="4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right"/>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jc w:val="right"/>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1"/>
                <w:szCs w:val="11"/>
                <w:color w:val="auto"/>
              </w:rPr>
            </w:pPr>
          </w:p>
        </w:tc>
      </w:tr>
      <w:tr>
        <w:trPr>
          <w:trHeight w:val="173"/>
        </w:trPr>
        <w:tc>
          <w:tcPr>
            <w:tcW w:w="4560" w:type="dxa"/>
            <w:vAlign w:val="bottom"/>
            <w:tcBorders>
              <w:bottom w:val="single" w:sz="8" w:color="CFF0FC"/>
            </w:tcBorders>
          </w:tcPr>
          <w:p>
            <w:pPr>
              <w:spacing w:after="0"/>
              <w:rPr>
                <w:sz w:val="15"/>
                <w:szCs w:val="15"/>
                <w:color w:val="auto"/>
              </w:rPr>
            </w:pPr>
          </w:p>
        </w:tc>
        <w:tc>
          <w:tcPr>
            <w:tcW w:w="9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r>
      <w:tr>
        <w:trPr>
          <w:trHeight w:val="22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12,087</w:t>
            </w:r>
          </w:p>
        </w:tc>
        <w:tc>
          <w:tcPr>
            <w:tcW w:w="120" w:type="dxa"/>
            <w:vAlign w:val="bottom"/>
            <w:shd w:val="clear" w:color="auto" w:fill="CFF0FC"/>
          </w:tcPr>
          <w:p>
            <w:pPr>
              <w:spacing w:after="0"/>
              <w:rPr>
                <w:sz w:val="19"/>
                <w:szCs w:val="19"/>
                <w:color w:val="auto"/>
              </w:rPr>
            </w:pPr>
          </w:p>
        </w:tc>
      </w:tr>
      <w:tr>
        <w:trPr>
          <w:trHeight w:val="230"/>
        </w:trPr>
        <w:tc>
          <w:tcPr>
            <w:tcW w:w="4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net of taxes:</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r>
      <w:tr>
        <w:trPr>
          <w:trHeight w:val="229"/>
        </w:trPr>
        <w:tc>
          <w:tcPr>
            <w:tcW w:w="4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(loss) gain on marketable securities</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FF0FC"/>
          </w:tcPr>
          <w:p>
            <w:pPr>
              <w:spacing w:after="0"/>
              <w:rPr>
                <w:sz w:val="19"/>
                <w:szCs w:val="19"/>
                <w:color w:val="auto"/>
              </w:rPr>
            </w:pPr>
          </w:p>
        </w:tc>
      </w:tr>
      <w:tr>
        <w:trPr>
          <w:trHeight w:val="223"/>
        </w:trPr>
        <w:tc>
          <w:tcPr>
            <w:tcW w:w="4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9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FF0FC"/>
            </w:tcBorders>
          </w:tcPr>
          <w:p>
            <w:pPr>
              <w:spacing w:after="0"/>
              <w:rPr>
                <w:sz w:val="19"/>
                <w:szCs w:val="19"/>
                <w:color w:val="auto"/>
              </w:rPr>
            </w:pPr>
          </w:p>
        </w:tc>
      </w:tr>
      <w:tr>
        <w:trPr>
          <w:trHeight w:val="223"/>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9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13,170</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gridSpan w:val="9"/>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2480" w:type="dxa"/>
            <w:vAlign w:val="bottom"/>
            <w:gridSpan w:val="5"/>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248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56"/>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280" w:type="dxa"/>
            <w:vAlign w:val="bottom"/>
            <w:tcBorders>
              <w:top w:val="single" w:sz="8" w:color="auto"/>
            </w:tcBorders>
            <w:gridSpan w:val="2"/>
          </w:tcPr>
          <w:p>
            <w:pPr>
              <w:jc w:val="right"/>
              <w:ind w:right="56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80" w:type="dxa"/>
            <w:vAlign w:val="bottom"/>
            <w:gridSpan w:val="3"/>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4940" w:type="dxa"/>
            <w:vAlign w:val="bottom"/>
            <w:vMerge w:val="continue"/>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32,379</w:t>
            </w:r>
          </w:p>
        </w:tc>
        <w:tc>
          <w:tcPr>
            <w:tcW w:w="240" w:type="dxa"/>
            <w:vAlign w:val="bottom"/>
          </w:tcPr>
          <w:p>
            <w:pPr>
              <w:spacing w:after="0"/>
              <w:rPr>
                <w:sz w:val="19"/>
                <w:szCs w:val="19"/>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48,143</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under stock plans,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shares withheld for employee taxes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(438)</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(9,876)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(9,876)</w:t>
            </w:r>
          </w:p>
        </w:tc>
        <w:tc>
          <w:tcPr>
            <w:tcW w:w="0" w:type="dxa"/>
            <w:vAlign w:val="bottom"/>
          </w:tcPr>
          <w:p>
            <w:pPr>
              <w:spacing w:after="0"/>
              <w:rPr>
                <w:sz w:val="1"/>
                <w:szCs w:val="1"/>
                <w:color w:val="auto"/>
              </w:rPr>
            </w:pPr>
          </w:p>
        </w:tc>
      </w:tr>
      <w:tr>
        <w:trPr>
          <w:trHeight w:val="263"/>
        </w:trPr>
        <w:tc>
          <w:tcPr>
            <w:tcW w:w="4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March 31, 2020</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32,003</w:t>
            </w:r>
          </w:p>
        </w:tc>
        <w:tc>
          <w:tcPr>
            <w:tcW w:w="2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280,322</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55,235</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335,416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2020</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31,997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280,746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339,424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vMerge w:val="continue"/>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forfeitures</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under stock plans,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shares withheld for employee taxes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(6,343)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(6,343)</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31,686</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61,354</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Condensed Consolidated Financial Statements (unaudited).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gridSpan w:val="9"/>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2480" w:type="dxa"/>
            <w:vAlign w:val="bottom"/>
            <w:gridSpan w:val="5"/>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248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56"/>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280" w:type="dxa"/>
            <w:vAlign w:val="bottom"/>
            <w:tcBorders>
              <w:top w:val="single" w:sz="8" w:color="auto"/>
            </w:tcBorders>
            <w:gridSpan w:val="2"/>
          </w:tcPr>
          <w:p>
            <w:pPr>
              <w:jc w:val="right"/>
              <w:ind w:right="56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80" w:type="dxa"/>
            <w:vAlign w:val="bottom"/>
            <w:gridSpan w:val="3"/>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4940" w:type="dxa"/>
            <w:vAlign w:val="bottom"/>
            <w:vMerge w:val="continue"/>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32,325</w:t>
            </w:r>
          </w:p>
        </w:tc>
        <w:tc>
          <w:tcPr>
            <w:tcW w:w="240" w:type="dxa"/>
            <w:vAlign w:val="bottom"/>
          </w:tcPr>
          <w:p>
            <w:pPr>
              <w:spacing w:after="0"/>
              <w:rPr>
                <w:sz w:val="19"/>
                <w:szCs w:val="19"/>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32,373</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under stock plans,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shares withheld for employee taxes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2019</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32,388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286,785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325,141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vMerge w:val="continue"/>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Stock donated to Company (held in treasury)</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under stock plans,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shares withheld for employee taxes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2019</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288,900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40,748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329,671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vMerge w:val="continue"/>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issued under stock plans,</w:t>
            </w: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of shares withheld for employee taxes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32,378</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44,460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Condensed Consolidated Financial Statements (unaudited).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20" w:type="dxa"/>
            <w:vAlign w:val="bottom"/>
          </w:tcPr>
          <w:p>
            <w:pPr>
              <w:spacing w:after="0"/>
              <w:rPr>
                <w:sz w:val="19"/>
                <w:szCs w:val="19"/>
                <w:color w:val="auto"/>
              </w:rPr>
            </w:pPr>
          </w:p>
        </w:tc>
        <w:tc>
          <w:tcPr>
            <w:tcW w:w="3520" w:type="dxa"/>
            <w:vAlign w:val="bottom"/>
            <w:gridSpan w:val="6"/>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11"/>
        </w:trPr>
        <w:tc>
          <w:tcPr>
            <w:tcW w:w="7720" w:type="dxa"/>
            <w:vAlign w:val="bottom"/>
            <w:tcBorders>
              <w:bottom w:val="single" w:sz="8" w:color="CFF0FC"/>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2020</w:t>
            </w:r>
          </w:p>
        </w:tc>
        <w:tc>
          <w:tcPr>
            <w:tcW w:w="5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2019</w:t>
            </w:r>
          </w:p>
        </w:tc>
        <w:tc>
          <w:tcPr>
            <w:tcW w:w="100" w:type="dxa"/>
            <w:vAlign w:val="bottom"/>
            <w:tcBorders>
              <w:bottom w:val="single" w:sz="8" w:color="CFF0FC"/>
            </w:tcBorders>
          </w:tcPr>
          <w:p>
            <w:pPr>
              <w:spacing w:after="0"/>
              <w:rPr>
                <w:sz w:val="18"/>
                <w:szCs w:val="18"/>
                <w:color w:val="auto"/>
              </w:rPr>
            </w:pP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OPERATING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13,168</w:t>
            </w:r>
          </w:p>
        </w:tc>
        <w:tc>
          <w:tcPr>
            <w:tcW w:w="280" w:type="dxa"/>
            <w:vAlign w:val="bottom"/>
          </w:tcPr>
          <w:p>
            <w:pPr>
              <w:spacing w:after="0"/>
              <w:rPr>
                <w:sz w:val="18"/>
                <w:szCs w:val="18"/>
                <w:color w:val="auto"/>
              </w:rPr>
            </w:pP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12,087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Income from discontinued operations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(1,445)</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22,005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20,629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Stock based compensation</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Amortization of deferred commissions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6,555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6,269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Provision for doubtful accounts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Deferred income taxes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2,330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1,803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Loss (gain) on non-marketable equity investments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(87)</w:t>
            </w:r>
          </w:p>
        </w:tc>
      </w:tr>
      <w:tr>
        <w:trPr>
          <w:trHeight w:val="216"/>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Non-cash royalty expense</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(3,440)</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7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Change in fair value of non-marketable equity investments</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(1,181)</w:t>
            </w:r>
          </w:p>
        </w:tc>
        <w:tc>
          <w:tcPr>
            <w:tcW w:w="3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Other</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(101)</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Accounts and unbilled receivables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(9)</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13,624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Prepaid royalties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Other prepaid expenses and other current assets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972</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4,090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Deferred commissions</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(6,693)</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(5,524)</w:t>
            </w:r>
          </w:p>
        </w:tc>
      </w:tr>
      <w:tr>
        <w:trPr>
          <w:trHeight w:val="216"/>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Other assets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(178)</w:t>
            </w:r>
          </w:p>
        </w:tc>
      </w:tr>
      <w:tr>
        <w:trPr>
          <w:trHeight w:val="216"/>
        </w:trPr>
        <w:tc>
          <w:tcPr>
            <w:tcW w:w="77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(450)</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(1,077)</w:t>
            </w:r>
          </w:p>
        </w:tc>
      </w:tr>
      <w:tr>
        <w:trPr>
          <w:trHeight w:val="216"/>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Accrued royalties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(3,218)</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(552)</w:t>
            </w:r>
          </w:p>
        </w:tc>
      </w:tr>
      <w:tr>
        <w:trPr>
          <w:trHeight w:val="216"/>
        </w:trPr>
        <w:tc>
          <w:tcPr>
            <w:tcW w:w="77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Deferred revenue</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(3,142)</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(2,453)</w:t>
            </w:r>
          </w:p>
        </w:tc>
      </w:tr>
      <w:tr>
        <w:trPr>
          <w:trHeight w:val="209"/>
        </w:trPr>
        <w:tc>
          <w:tcPr>
            <w:tcW w:w="7720" w:type="dxa"/>
            <w:vAlign w:val="bottom"/>
            <w:tcBorders>
              <w:top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30,753</w:t>
            </w: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52,547</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7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INVESTING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Business combinations, net of cash acquired</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(21,449)</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(18,018)</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Proceeds from sale of discontinued operations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6,035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maturities of marketable securities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59,522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58,637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Purchases of marketable securities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(61,178)</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(62,742)</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sale of property and equipment</w:t>
            </w:r>
          </w:p>
        </w:tc>
        <w:tc>
          <w:tcPr>
            <w:tcW w:w="9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Payments to acquire non-marketable equity investments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(1,257)</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(3,342)</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Payments associated with capitalized software development</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(12,366)</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(11,179)</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(1,734)</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(21,451)</w:t>
            </w: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(38,462)</w:t>
            </w: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(52,047)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FINANCING ACTIVITIES: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Taxes paid related to net settlement of equity awards</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(429)</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(1,030)</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Payments of earn-outs related to acquisitions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(38)</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(16,352)</w:t>
            </w:r>
          </w:p>
        </w:tc>
        <w:tc>
          <w:tcPr>
            <w:tcW w:w="3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Payment of cash dividends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(40)</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(53)</w:t>
            </w:r>
          </w:p>
        </w:tc>
      </w:tr>
      <w:tr>
        <w:trPr>
          <w:trHeight w:val="210"/>
        </w:trPr>
        <w:tc>
          <w:tcPr>
            <w:tcW w:w="772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9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(16,821)</w:t>
            </w:r>
          </w:p>
        </w:tc>
        <w:tc>
          <w:tcPr>
            <w:tcW w:w="280" w:type="dxa"/>
            <w:vAlign w:val="bottom"/>
            <w:tcBorders>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(907)</w:t>
            </w:r>
          </w:p>
        </w:tc>
        <w:tc>
          <w:tcPr>
            <w:tcW w:w="100" w:type="dxa"/>
            <w:vAlign w:val="bottom"/>
            <w:tcBorders>
              <w:bottom w:val="single" w:sz="8" w:color="CFF0FC"/>
            </w:tcBorders>
          </w:tcPr>
          <w:p>
            <w:pPr>
              <w:spacing w:after="0"/>
              <w:rPr>
                <w:sz w:val="18"/>
                <w:szCs w:val="18"/>
                <w:color w:val="auto"/>
              </w:rPr>
            </w:pPr>
          </w:p>
        </w:tc>
      </w:tr>
      <w:tr>
        <w:trPr>
          <w:trHeight w:val="210"/>
        </w:trPr>
        <w:tc>
          <w:tcPr>
            <w:tcW w:w="77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w:t>
            </w:r>
          </w:p>
        </w:tc>
        <w:tc>
          <w:tcPr>
            <w:tcW w:w="3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6"/>
              </w:rPr>
              <w:t>(24,531)</w:t>
            </w: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(407)</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131,538</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134,321</w:t>
            </w:r>
          </w:p>
        </w:tc>
        <w:tc>
          <w:tcPr>
            <w:tcW w:w="100" w:type="dxa"/>
            <w:vAlign w:val="bottom"/>
            <w:tcBorders>
              <w:bottom w:val="single" w:sz="8" w:color="CFF0FC"/>
            </w:tcBorders>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980" w:type="dxa"/>
            <w:vAlign w:val="bottom"/>
            <w:tcBorders>
              <w:bottom w:val="single" w:sz="8" w:color="auto"/>
            </w:tcBorders>
            <w:shd w:val="clear" w:color="auto" w:fill="CFF0FC"/>
          </w:tcPr>
          <w:p>
            <w:pPr>
              <w:jc w:val="right"/>
              <w:ind w:right="79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7"/>
              </w:rPr>
              <w:t>107,007</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133,914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SUPPLEMENTAL CASH FLOW INFORMATION:</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2"/>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Non-cash additions to non-marketable equity investments</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1,300</w:t>
            </w:r>
          </w:p>
        </w:tc>
        <w:tc>
          <w:tcPr>
            <w:tcW w:w="28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-3175</wp:posOffset>
            </wp:positionV>
            <wp:extent cx="21602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-116205</wp:posOffset>
            </wp:positionV>
            <wp:extent cx="21602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The accompanying Condensed Consolidated Financial Statements (unaudited) have been prepared in accordance with accounting principles generally accepted in the United States (“US GAAP”) for interim financial information and with the instructions to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Article 10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X. Accordingly, Condensed Consolidated Financial Statements do not include all information and footnotes required by US GAAP for complete financial statements. In the opinion of management, all adjustments (consisting of normal recurring accruals) considered necessary for a fair presentation have been included. All intercompany transactions have been eliminated in consolidation. Operating results for the three and nine months ended September 30, 2020 are not necessarily indicative of the results that may be expected for the year ending December 31, 2020.</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12, 2018, the Company divested its Patient Experience (“PX”) business to Press Ganey Associates, Inc. (“Press Ganey”). The sale of the PX business resulted in the Company’s divestiture of the Company’s patient experience solutions business segment. The Company has classified the results of its previously owned PX segment as discontinued operations in its Condensed Consolidated Statement of Income for the three and nine months ended September 30, 2019. See Note 10 for additional information.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Condensed Consolidated Balance Sheet at December 31, 2019 has been derived from the audited Consolidated Financial Statements at that date does not include all information and footnotes required by US GAAP for complete financial statements. For further information, refer to the Consolidated Financial Statements and footnotes thereto for the year ended December 31, 2019 (included in the Company's Annual Report on Form 10-K, filed with the Securities and Exchange Commission on February 26, 2020).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Recently Adopted</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June 2016, the FASB issued ASU 2016-03, </w:t>
      </w:r>
      <w:r>
        <w:rPr>
          <w:rFonts w:ascii="Times New Roman" w:cs="Times New Roman" w:eastAsia="Times New Roman" w:hAnsi="Times New Roman"/>
          <w:sz w:val="18"/>
          <w:szCs w:val="18"/>
          <w:i w:val="1"/>
          <w:iCs w:val="1"/>
          <w:color w:val="auto"/>
        </w:rPr>
        <w:t>Financial Instruments—Credit Losses (“ASC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which amends guidance on reporting credit losses for assets held at amortized cost basis and available for sale debt securities. For assets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amortized cost basis, ASC 326 eliminates the probable initial recognition threshold in prior GAAP and, instead, requires an entity to reflect its current estimate of all expected credit losses. The Company adopted this ASU on January 1, 2020, and the effect of adoption on the Company’s Consolidated Financial Statements and related disclosures was not material.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 AND SALES COMMISSIONS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are recognized when control of the promised goods or services is transferred to the customer in an amount that reflects the consideration the Company expects to be entitled to in exchange for transferring those goods or services.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recognized based on the following five step model:</w:t>
      </w:r>
    </w:p>
    <w:p>
      <w:pPr>
        <w:spacing w:after="0" w:line="117" w:lineRule="exact"/>
        <w:rPr>
          <w:sz w:val="20"/>
          <w:szCs w:val="20"/>
          <w:color w:val="auto"/>
        </w:rPr>
      </w:pPr>
    </w:p>
    <w:p>
      <w:pPr>
        <w:ind w:left="800" w:hanging="401"/>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with a customer</w:t>
      </w:r>
    </w:p>
    <w:p>
      <w:pPr>
        <w:spacing w:after="0" w:line="117"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17"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17"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117"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The following table represents revenues disaggregated by revenue source for the three and nine months ended September 30, 2020 and 2019 (in thousands).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taxes are excluded from revenues.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gridSpan w:val="7"/>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Three Months Ended September 30, 2020</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980" w:type="dxa"/>
            <w:vAlign w:val="bottom"/>
            <w:tcBorders>
              <w:bottom w:val="single" w:sz="8" w:color="auto"/>
            </w:tcBorders>
            <w:gridSpan w:val="7"/>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Business Segments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Workforce</w:t>
            </w:r>
          </w:p>
        </w:tc>
        <w:tc>
          <w:tcPr>
            <w:tcW w:w="200" w:type="dxa"/>
            <w:vAlign w:val="bottom"/>
          </w:tcPr>
          <w:p>
            <w:pPr>
              <w:spacing w:after="0"/>
              <w:rPr>
                <w:sz w:val="11"/>
                <w:szCs w:val="11"/>
                <w:color w:val="auto"/>
              </w:rPr>
            </w:pPr>
          </w:p>
        </w:tc>
        <w:tc>
          <w:tcPr>
            <w:tcW w:w="1000" w:type="dxa"/>
            <w:vAlign w:val="bottom"/>
          </w:tcPr>
          <w:p>
            <w:pPr>
              <w:jc w:val="center"/>
              <w:ind w:right="143"/>
              <w:spacing w:after="0" w:line="131" w:lineRule="exact"/>
              <w:rPr>
                <w:sz w:val="20"/>
                <w:szCs w:val="20"/>
                <w:color w:val="auto"/>
              </w:rPr>
            </w:pPr>
            <w:r>
              <w:rPr>
                <w:rFonts w:ascii="Times New Roman" w:cs="Times New Roman" w:eastAsia="Times New Roman" w:hAnsi="Times New Roman"/>
                <w:sz w:val="14"/>
                <w:szCs w:val="14"/>
                <w:b w:val="1"/>
                <w:bCs w:val="1"/>
                <w:color w:val="auto"/>
              </w:rPr>
              <w:t>Provider</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60" w:type="dxa"/>
            <w:vAlign w:val="bottom"/>
          </w:tcPr>
          <w:p>
            <w:pPr>
              <w:spacing w:after="0"/>
              <w:rPr>
                <w:sz w:val="11"/>
                <w:szCs w:val="11"/>
                <w:color w:val="auto"/>
              </w:rPr>
            </w:pPr>
          </w:p>
        </w:tc>
        <w:tc>
          <w:tcPr>
            <w:tcW w:w="130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Workforce</w:t>
            </w:r>
          </w:p>
        </w:tc>
        <w:tc>
          <w:tcPr>
            <w:tcW w:w="180" w:type="dxa"/>
            <w:vAlign w:val="bottom"/>
          </w:tcPr>
          <w:p>
            <w:pPr>
              <w:spacing w:after="0"/>
              <w:rPr>
                <w:sz w:val="11"/>
                <w:szCs w:val="11"/>
                <w:color w:val="auto"/>
              </w:rPr>
            </w:pPr>
          </w:p>
        </w:tc>
        <w:tc>
          <w:tcPr>
            <w:tcW w:w="126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Provider</w:t>
            </w:r>
          </w:p>
        </w:tc>
        <w:tc>
          <w:tcPr>
            <w:tcW w:w="160" w:type="dxa"/>
            <w:vAlign w:val="bottom"/>
          </w:tcPr>
          <w:p>
            <w:pPr>
              <w:spacing w:after="0"/>
              <w:rPr>
                <w:sz w:val="11"/>
                <w:szCs w:val="11"/>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5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5"/>
                <w:szCs w:val="15"/>
                <w:color w:val="auto"/>
              </w:rPr>
            </w:pPr>
          </w:p>
        </w:tc>
        <w:tc>
          <w:tcPr>
            <w:tcW w:w="100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Pr>
          <w:p>
            <w:pPr>
              <w:spacing w:after="0"/>
              <w:rPr>
                <w:sz w:val="15"/>
                <w:szCs w:val="15"/>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5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Subscription services</w:t>
            </w: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48,246</w:t>
            </w: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9,999</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58,245</w:t>
            </w: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144,945</w:t>
            </w: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29,580</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174,525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Professional services</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2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2,638</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2,964</w:t>
            </w: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5,519</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revenues, net</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49,197</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11,686</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60,883</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147,909</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35,099</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183,008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7"/>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7"/>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Business Segments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Workforce</w:t>
            </w:r>
          </w:p>
        </w:tc>
        <w:tc>
          <w:tcPr>
            <w:tcW w:w="200" w:type="dxa"/>
            <w:vAlign w:val="bottom"/>
          </w:tcPr>
          <w:p>
            <w:pPr>
              <w:spacing w:after="0"/>
              <w:rPr>
                <w:sz w:val="11"/>
                <w:szCs w:val="11"/>
                <w:color w:val="auto"/>
              </w:rPr>
            </w:pPr>
          </w:p>
        </w:tc>
        <w:tc>
          <w:tcPr>
            <w:tcW w:w="1000" w:type="dxa"/>
            <w:vAlign w:val="bottom"/>
          </w:tcPr>
          <w:p>
            <w:pPr>
              <w:jc w:val="center"/>
              <w:ind w:right="143"/>
              <w:spacing w:after="0" w:line="131" w:lineRule="exact"/>
              <w:rPr>
                <w:sz w:val="20"/>
                <w:szCs w:val="20"/>
                <w:color w:val="auto"/>
              </w:rPr>
            </w:pPr>
            <w:r>
              <w:rPr>
                <w:rFonts w:ascii="Times New Roman" w:cs="Times New Roman" w:eastAsia="Times New Roman" w:hAnsi="Times New Roman"/>
                <w:sz w:val="14"/>
                <w:szCs w:val="14"/>
                <w:b w:val="1"/>
                <w:bCs w:val="1"/>
                <w:color w:val="auto"/>
              </w:rPr>
              <w:t>Provider</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60" w:type="dxa"/>
            <w:vAlign w:val="bottom"/>
          </w:tcPr>
          <w:p>
            <w:pPr>
              <w:spacing w:after="0"/>
              <w:rPr>
                <w:sz w:val="11"/>
                <w:szCs w:val="11"/>
                <w:color w:val="auto"/>
              </w:rPr>
            </w:pPr>
          </w:p>
        </w:tc>
        <w:tc>
          <w:tcPr>
            <w:tcW w:w="130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Workforce</w:t>
            </w:r>
          </w:p>
        </w:tc>
        <w:tc>
          <w:tcPr>
            <w:tcW w:w="180" w:type="dxa"/>
            <w:vAlign w:val="bottom"/>
          </w:tcPr>
          <w:p>
            <w:pPr>
              <w:spacing w:after="0"/>
              <w:rPr>
                <w:sz w:val="11"/>
                <w:szCs w:val="11"/>
                <w:color w:val="auto"/>
              </w:rPr>
            </w:pPr>
          </w:p>
        </w:tc>
        <w:tc>
          <w:tcPr>
            <w:tcW w:w="126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Provider</w:t>
            </w:r>
          </w:p>
        </w:tc>
        <w:tc>
          <w:tcPr>
            <w:tcW w:w="160" w:type="dxa"/>
            <w:vAlign w:val="bottom"/>
          </w:tcPr>
          <w:p>
            <w:pPr>
              <w:spacing w:after="0"/>
              <w:rPr>
                <w:sz w:val="11"/>
                <w:szCs w:val="11"/>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5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5"/>
                <w:szCs w:val="15"/>
                <w:color w:val="auto"/>
              </w:rPr>
            </w:pPr>
          </w:p>
        </w:tc>
        <w:tc>
          <w:tcPr>
            <w:tcW w:w="100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Pr>
          <w:p>
            <w:pPr>
              <w:spacing w:after="0"/>
              <w:rPr>
                <w:sz w:val="15"/>
                <w:szCs w:val="15"/>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5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Subscription services</w:t>
            </w: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49,339</w:t>
            </w: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9,660</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58,999</w:t>
            </w: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153,035</w:t>
            </w: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28,241</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181,276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Professional services</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1,684</w:t>
            </w:r>
          </w:p>
        </w:tc>
        <w:tc>
          <w:tcPr>
            <w:tcW w:w="2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1,767</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3,451</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4,704</w:t>
            </w: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5,437</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10,141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revenues, net</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51,023</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11,427</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62,450</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157,739</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33,678</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191,417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2020 and 2019, the Company recognized a reduction of $0.2 million and a charge of $51,000 in impairment losses on receivables and contract assets arising from the Company’s contracts with customers, respectively. For the nine months ended September 30, 2020 and 2019, the Company recognized $0.2 million and $99,000 in impairment losses on receivables and contract assets arising from the Company’s contracts with customers, respectively.</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revenue represents contract liabilities that are recorded when cash payments are received or are due in advance of our satisfaction of performance obligations. During the three months ended September 30, 2020 and 2019, we recognized $34.4 million and $33.8 million of revenue from amounts included in deferred revenues at the beginning of the respective periods. During the nine months ended September 30, 2020 and 2019, we recognized $60.5 million and $61.3 million of revenue from amounts included in deferred revenues at the beginning of the respective periods. As of September 30, 2020, $408 million of revenue is expected to be recognized from remaining performance obligations under contract with customers. We expect to recognize revenue with respect to 45% of these remaining performance obligations over the next 12 months, with the remaining amounts recognized thereafter.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Commissions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Sales commissions earned by our sales force are considered incremental and recoverable costs of obtaining a contract with a customer. The sales commission plan for 2020 typically includes two payments; the initial payment is due in the period a customer contract is entered into, and the final payment is due 60 days after the product implementation is completed. The sales commission plan for 2019 typically included an initial payment in the period a customer contract was entered into and subsequent payment either 15 or 27 months after the initial payment, depending on the contract term. Under ASC 606, costs to acquire contracts with customers, such as the initial sales commission payment, are capitalized in the period a customer contract is entered into and are amortized consistent with the transfer of the goods or services to the customer over the expected period of benefit, whereas subsequent sales commission payments which require a substantive performance condition of the employee are expensed ratably through the payment date. Under the 2020 plan, both the initial payment and subsequent payment are capitalized in the period the contract is entered into, whereas under the 2019 plan only the initial payment was capitalized, and the subsequent payment was expensed ratably through the payment date. The timing of the second payment under the 2020 plan from an accounting perspective does not represent a substantive performance condition of the employee. The capitalized contract cost is included in deferred commissions in the accompanying Condensed Consolidated Balance Sheets. The expected period of benefit is the contract term, except when the capitalized commission is expected to provide economic benefit to the Company for a period longer than the contract term, such as for new customer or incremental sales where renewals are expected and renewal commissions are not commensurate with initial commissions. Non-commensurate commissions are amortized over the greater of the contract term or technological obsolescence period of approximately three years. The Company recorded amortization of deferred commissions of $2.3 million and $2.1 million for the three months ended September 30, 2020 and 2019, and $6.6 million and $6.3 million for the nine months ended September 30, 2020 and 2019, respectively, which is included in sales and marketing expenses in the accompanying Condensed Consolidated Statements of Income.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4.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30, 2020 and 2019, the Company recorded a provision for income taxes from continuing operations of $0.6 million and $1.1 million, respectively. During the nine months ended September 30, 2020 and 2019, the Company recorded a provision for income taxes from continuing operations of $3.5 million and $3.3 million, respectively. The Company’s effective tax rate for continuing operations for the nine months ended September 30, 2020 and 2019 was 21% and 24%, respectively. The Company’s effective tax rate primarily reflects the statutory corporate income tax rate, the net effect of state taxes, and the effect of various permanent and discrete tax differences. The decrease in the effective tax rate is primarily due to the recognition of tax benefits resulting from higher research and development tax credits than previously estimated. The Company recorded additional income tax expense associated with tax deficiencies of $30,000 during the nine months ended September 30, 2020 and recorded a reduction to income tax expense for excess tax benefits of $0.1 million during the nine months ended September 30, 2019.</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SHAREHOLDERS’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stock awards outstanding under its 2016 Omnibus Incentive Plan. The Company accounts for its stock based compensation plans using the fair-value based method for costs related to share based payments, including restricted share units (“RSUs”). During the nine months ended September 30, 2020, the Company issued 114,784 RSUs, subject to service-based time vesting, with a weighted average grant date fair value of $22.94 per share measured based on the closing fair market value of the Company’s stock on the date of grant. During the nine months ended September 30, 2019, the Company issued 96,828 RSUs, subject to service-based time vesting, with a weighted average grant date fair value of $27.31 per share measured based on the closing fair market value of the Company’s stock on the date of grant.</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stock based compensation expense recorded for the three and nine months ended September 30, 2020 and 2019, which is recorded within continuing operations in the Condensed Consolidated Statements of Income, is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180" w:type="dxa"/>
            <w:vAlign w:val="bottom"/>
            <w:gridSpan w:val="4"/>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gridSpan w:val="4"/>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58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582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2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revenues (excluding depreciation and amortization)</w:t>
            </w:r>
          </w:p>
        </w:tc>
        <w:tc>
          <w:tcPr>
            <w:tcW w:w="760" w:type="dxa"/>
            <w:vAlign w:val="bottom"/>
            <w:shd w:val="clear" w:color="auto" w:fill="CFF0FC"/>
          </w:tcPr>
          <w:p>
            <w:pPr>
              <w:jc w:val="right"/>
              <w:ind w:right="604"/>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84"/>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82"/>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20" w:type="dxa"/>
            <w:vAlign w:val="bottom"/>
            <w:shd w:val="clear" w:color="auto" w:fill="CFF0FC"/>
          </w:tcPr>
          <w:p>
            <w:pPr>
              <w:spacing w:after="0"/>
              <w:rPr>
                <w:sz w:val="18"/>
                <w:szCs w:val="18"/>
                <w:color w:val="auto"/>
              </w:rPr>
            </w:pPr>
          </w:p>
        </w:tc>
      </w:tr>
      <w:tr>
        <w:trPr>
          <w:trHeight w:val="21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Product development</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120" w:type="dxa"/>
            <w:vAlign w:val="bottom"/>
          </w:tcPr>
          <w:p>
            <w:pPr>
              <w:spacing w:after="0"/>
              <w:rPr>
                <w:sz w:val="18"/>
                <w:szCs w:val="18"/>
                <w:color w:val="auto"/>
              </w:rPr>
            </w:pPr>
          </w:p>
        </w:tc>
      </w:tr>
      <w:tr>
        <w:trPr>
          <w:trHeight w:val="21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20" w:type="dxa"/>
            <w:vAlign w:val="bottom"/>
            <w:shd w:val="clear" w:color="auto" w:fill="CFF0FC"/>
          </w:tcPr>
          <w:p>
            <w:pPr>
              <w:spacing w:after="0"/>
              <w:rPr>
                <w:sz w:val="19"/>
                <w:szCs w:val="19"/>
                <w:color w:val="auto"/>
              </w:rPr>
            </w:pPr>
          </w:p>
        </w:tc>
      </w:tr>
      <w:tr>
        <w:trPr>
          <w:trHeight w:val="213"/>
        </w:trPr>
        <w:tc>
          <w:tcPr>
            <w:tcW w:w="5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general and administrative</w:t>
            </w:r>
          </w:p>
        </w:tc>
        <w:tc>
          <w:tcPr>
            <w:tcW w:w="7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24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24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26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1,489</w:t>
            </w:r>
          </w:p>
        </w:tc>
        <w:tc>
          <w:tcPr>
            <w:tcW w:w="120" w:type="dxa"/>
            <w:vAlign w:val="bottom"/>
            <w:tcBorders>
              <w:bottom w:val="single" w:sz="8" w:color="CFF0FC"/>
            </w:tcBorders>
          </w:tcPr>
          <w:p>
            <w:pPr>
              <w:spacing w:after="0"/>
              <w:rPr>
                <w:sz w:val="18"/>
                <w:szCs w:val="18"/>
                <w:color w:val="auto"/>
              </w:rPr>
            </w:pPr>
          </w:p>
        </w:tc>
      </w:tr>
      <w:tr>
        <w:trPr>
          <w:trHeight w:val="209"/>
        </w:trPr>
        <w:tc>
          <w:tcPr>
            <w:tcW w:w="58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stock based compensation expense</w:t>
            </w:r>
          </w:p>
        </w:tc>
        <w:tc>
          <w:tcPr>
            <w:tcW w:w="760" w:type="dxa"/>
            <w:vAlign w:val="bottom"/>
            <w:tcBorders>
              <w:bottom w:val="single" w:sz="8" w:color="auto"/>
            </w:tcBorders>
            <w:shd w:val="clear" w:color="auto" w:fill="CFF0FC"/>
          </w:tcPr>
          <w:p>
            <w:pPr>
              <w:jc w:val="right"/>
              <w:ind w:right="604"/>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2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2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584"/>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2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582"/>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3,643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Plan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13, 2020, the Company’s Board of Directors authorized a share repurchase program to repurchase up to $30.0 million of outstanding shares of common stock. The share repurchase program will terminate on the earlier of March 12, 2021 or when the maximum dollar amount has been expended. Pursuant to this authorization, repurchases have been made, and may continue to be made from time to time, in the open market through privately negotiated transactions or otherwise, including under a Rule 10b5-1 plan, which permits shares to be repurchased when the Company might otherwise be precluded from doing so under insider trading laws in accordance with specific prearranged terms related to timing, price, and volume (among others), without further direction from the Company. The share repurchase program does not require the Company to acquire any amount of shares and may be suspended or discontinued at any time. Under this program during the three months ended September 30, 2020, the Company repurchased 318,902 shares at an aggregate fair value of $6.3 million, reflecting an average price per share of $19.87 (excluding the cost of dealer commissions). During the nine months ended September 30, 2020, the Company repurchased 762,843 shares at an aggregate fair value of $16.3 million, reflecting an average price per share of $21.42 (excluding the cost of broker commissions).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Awards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June 2019, the Company’s Chief Executive Officer, Robert A. Frist, Jr., contributed 78,520 of his personally owned shares of HealthStream, Inc. common stock (valued at $2.0 million) to the Company, without any consideration paid to him, for the benefit of the Company’s employees. In connection therewith, effective June 26, 2019 the Company approved the award of 78,520 fully vested shares of common stock to approximately 820 employees of the Company under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1" w:name="page12"/>
    <w:bookmarkEnd w:id="11"/>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HealthStream, Inc. 2016 Omnibus Incentive Plan. These shares were issued in July 2019. As required by ASC Topic 718,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the Company recognized $2.0 million of stock based compensation expense for these stock awards during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based on the closing fair market value of the Company’s stock on the date of the Company’s approval of these grants. Total payments related to the employees’ tax obligations to taxing authorities for these stock awards were $0.6 million and are reflected as a financing activity within the Condensed Consolidated Statements of Cash Flows for the nine months ended September 30, 2019. In addition, the employer taxes and expenses associated with these grants were $0.2 million and were recorded as an expense during June 2019. Mr. Frist contributed an additional 7,852 of his personally owned shares to cover these costs. The receipt of shares from Mr. Frist and in connection with the withholding of shares as set forth above are presented on the Company’s Condensed Consolidated Statements of Shareholders’ Equity in a similar manner as a share repurchase (i.e., reduction of outstanding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EARNINGS PER SHARE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earnings per share is computed by dividing the net income available to common shareholders for the period by the weighted average number of common shares outstanding during the period. Diluted earnings per share is computed by dividing the net income available to common shareholders for the period by the weighted average number of potentially dilutive common and common equivalent shares outstanding during the period. Common equivalent shares are composed of incremental common shares issuable in connection with RSUs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or contingent performance conditions was 115,000 and 54,000 for the three months ended September 30, 2020 and 2019, respectively, and 112,000 and 107,000 for the nine months ended September 30, 2020 and 2019, respectively.</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three and nine months ended September 30, 2020 and 2019 (in thousands,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58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Numerator:</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5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2,634</w:t>
            </w:r>
          </w:p>
        </w:tc>
        <w:tc>
          <w:tcPr>
            <w:tcW w:w="24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3,461</w:t>
            </w:r>
          </w:p>
        </w:tc>
        <w:tc>
          <w:tcPr>
            <w:tcW w:w="5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13,168</w:t>
            </w:r>
          </w:p>
        </w:tc>
        <w:tc>
          <w:tcPr>
            <w:tcW w:w="26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10,642</w:t>
            </w:r>
          </w:p>
        </w:tc>
        <w:tc>
          <w:tcPr>
            <w:tcW w:w="120" w:type="dxa"/>
            <w:vAlign w:val="bottom"/>
          </w:tcPr>
          <w:p>
            <w:pPr>
              <w:spacing w:after="0"/>
              <w:rPr>
                <w:sz w:val="18"/>
                <w:szCs w:val="18"/>
                <w:color w:val="auto"/>
              </w:rPr>
            </w:pPr>
          </w:p>
        </w:tc>
      </w:tr>
      <w:tr>
        <w:trPr>
          <w:trHeight w:val="219"/>
        </w:trPr>
        <w:tc>
          <w:tcPr>
            <w:tcW w:w="5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Income from discontinued operations</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120" w:type="dxa"/>
            <w:vAlign w:val="bottom"/>
            <w:shd w:val="clear" w:color="auto" w:fill="CFF0FC"/>
          </w:tcPr>
          <w:p>
            <w:pPr>
              <w:spacing w:after="0"/>
              <w:rPr>
                <w:sz w:val="19"/>
                <w:szCs w:val="19"/>
                <w:color w:val="auto"/>
              </w:rPr>
            </w:pPr>
          </w:p>
        </w:tc>
      </w:tr>
      <w:tr>
        <w:trPr>
          <w:trHeight w:val="247"/>
        </w:trPr>
        <w:tc>
          <w:tcPr>
            <w:tcW w:w="58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2,634</w:t>
            </w:r>
          </w:p>
        </w:tc>
        <w:tc>
          <w:tcPr>
            <w:tcW w:w="240" w:type="dxa"/>
            <w:vAlign w:val="bottom"/>
            <w:tcBorders>
              <w:bottom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3,712</w:t>
            </w:r>
          </w:p>
        </w:tc>
        <w:tc>
          <w:tcPr>
            <w:tcW w:w="2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13,168</w:t>
            </w:r>
          </w:p>
        </w:tc>
        <w:tc>
          <w:tcPr>
            <w:tcW w:w="26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12,087</w:t>
            </w:r>
          </w:p>
        </w:tc>
        <w:tc>
          <w:tcPr>
            <w:tcW w:w="120" w:type="dxa"/>
            <w:vAlign w:val="bottom"/>
            <w:tcBorders>
              <w:bottom w:val="single" w:sz="8" w:color="CFF0FC"/>
            </w:tcBorders>
          </w:tcPr>
          <w:p>
            <w:pPr>
              <w:spacing w:after="0"/>
              <w:rPr>
                <w:sz w:val="21"/>
                <w:szCs w:val="21"/>
                <w:color w:val="auto"/>
              </w:rPr>
            </w:pPr>
          </w:p>
        </w:tc>
      </w:tr>
      <w:tr>
        <w:trPr>
          <w:trHeight w:val="19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Denominator:</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3"/>
        </w:trPr>
        <w:tc>
          <w:tcPr>
            <w:tcW w:w="5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31,955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32,095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32,369</w:t>
            </w:r>
          </w:p>
        </w:tc>
        <w:tc>
          <w:tcPr>
            <w:tcW w:w="120" w:type="dxa"/>
            <w:vAlign w:val="bottom"/>
          </w:tcPr>
          <w:p>
            <w:pPr>
              <w:spacing w:after="0"/>
              <w:rPr>
                <w:sz w:val="18"/>
                <w:szCs w:val="18"/>
                <w:color w:val="auto"/>
              </w:rPr>
            </w:pPr>
          </w:p>
        </w:tc>
      </w:tr>
      <w:tr>
        <w:trPr>
          <w:trHeight w:val="219"/>
        </w:trPr>
        <w:tc>
          <w:tcPr>
            <w:tcW w:w="5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Effect of dilutive shares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FF0FC"/>
          </w:tcPr>
          <w:p>
            <w:pPr>
              <w:spacing w:after="0"/>
              <w:rPr>
                <w:sz w:val="19"/>
                <w:szCs w:val="19"/>
                <w:color w:val="auto"/>
              </w:rPr>
            </w:pPr>
          </w:p>
        </w:tc>
      </w:tr>
      <w:tr>
        <w:trPr>
          <w:trHeight w:val="247"/>
        </w:trPr>
        <w:tc>
          <w:tcPr>
            <w:tcW w:w="58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Weighted-average diluted shares</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31,981</w:t>
            </w:r>
          </w:p>
        </w:tc>
        <w:tc>
          <w:tcPr>
            <w:tcW w:w="24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32,437</w:t>
            </w:r>
          </w:p>
        </w:tc>
        <w:tc>
          <w:tcPr>
            <w:tcW w:w="2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32,121</w:t>
            </w:r>
          </w:p>
        </w:tc>
        <w:tc>
          <w:tcPr>
            <w:tcW w:w="26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32,416</w:t>
            </w:r>
          </w:p>
        </w:tc>
        <w:tc>
          <w:tcPr>
            <w:tcW w:w="120" w:type="dxa"/>
            <w:vAlign w:val="bottom"/>
            <w:tcBorders>
              <w:bottom w:val="single" w:sz="8" w:color="CFF0FC"/>
            </w:tcBorders>
          </w:tcPr>
          <w:p>
            <w:pPr>
              <w:spacing w:after="0"/>
              <w:rPr>
                <w:sz w:val="21"/>
                <w:szCs w:val="21"/>
                <w:color w:val="auto"/>
              </w:rPr>
            </w:pPr>
          </w:p>
        </w:tc>
      </w:tr>
      <w:tr>
        <w:trPr>
          <w:trHeight w:val="199"/>
        </w:trPr>
        <w:tc>
          <w:tcPr>
            <w:tcW w:w="5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Net income per share - basic:</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58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Continuing operations</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50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20" w:type="dxa"/>
            <w:vAlign w:val="bottom"/>
            <w:shd w:val="clear" w:color="auto" w:fill="CFF0FC"/>
          </w:tcPr>
          <w:p>
            <w:pPr>
              <w:spacing w:after="0"/>
              <w:rPr>
                <w:sz w:val="19"/>
                <w:szCs w:val="19"/>
                <w:color w:val="auto"/>
              </w:rPr>
            </w:pPr>
          </w:p>
        </w:tc>
      </w:tr>
      <w:tr>
        <w:trPr>
          <w:trHeight w:val="213"/>
        </w:trPr>
        <w:tc>
          <w:tcPr>
            <w:tcW w:w="5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Discontinued operations</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Pr>
          <w:p>
            <w:pPr>
              <w:spacing w:after="0"/>
              <w:rPr>
                <w:sz w:val="18"/>
                <w:szCs w:val="18"/>
                <w:color w:val="auto"/>
              </w:rPr>
            </w:pPr>
          </w:p>
        </w:tc>
      </w:tr>
      <w:tr>
        <w:trPr>
          <w:trHeight w:val="209"/>
        </w:trPr>
        <w:tc>
          <w:tcPr>
            <w:tcW w:w="58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per share - basic</w:t>
            </w:r>
          </w:p>
        </w:tc>
        <w:tc>
          <w:tcPr>
            <w:tcW w:w="2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5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per share - diluted:</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5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Continuing operations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24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5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26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20" w:type="dxa"/>
            <w:vAlign w:val="bottom"/>
          </w:tcPr>
          <w:p>
            <w:pPr>
              <w:spacing w:after="0"/>
              <w:rPr>
                <w:sz w:val="18"/>
                <w:szCs w:val="18"/>
                <w:color w:val="auto"/>
              </w:rPr>
            </w:pPr>
          </w:p>
        </w:tc>
      </w:tr>
      <w:tr>
        <w:trPr>
          <w:trHeight w:val="219"/>
        </w:trPr>
        <w:tc>
          <w:tcPr>
            <w:tcW w:w="58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Discontinued operations</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shd w:val="clear" w:color="auto" w:fill="CFF0FC"/>
          </w:tcPr>
          <w:p>
            <w:pPr>
              <w:spacing w:after="0"/>
              <w:rPr>
                <w:sz w:val="19"/>
                <w:szCs w:val="19"/>
                <w:color w:val="auto"/>
              </w:rPr>
            </w:pPr>
          </w:p>
        </w:tc>
      </w:tr>
      <w:tr>
        <w:trPr>
          <w:trHeight w:val="207"/>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Net income per share - diluted</w:t>
            </w: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24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2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26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20" w:type="dxa"/>
            <w:vAlign w:val="bottom"/>
          </w:tcPr>
          <w:p>
            <w:pPr>
              <w:spacing w:after="0"/>
              <w:rPr>
                <w:sz w:val="17"/>
                <w:szCs w:val="17"/>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7. MARKETABLE SECURITIES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2020 and December 31, 2019, the fair value of marketable securities, which were all classified as available for sale, included the following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42"/>
              <w:spacing w:after="0" w:line="131"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23"/>
              <w:spacing w:after="0" w:line="131" w:lineRule="exact"/>
              <w:rPr>
                <w:sz w:val="20"/>
                <w:szCs w:val="20"/>
                <w:color w:val="auto"/>
              </w:rPr>
            </w:pPr>
            <w:r>
              <w:rPr>
                <w:rFonts w:ascii="Times New Roman" w:cs="Times New Roman" w:eastAsia="Times New Roman" w:hAnsi="Times New Roman"/>
                <w:sz w:val="14"/>
                <w:szCs w:val="14"/>
                <w:b w:val="1"/>
                <w:bCs w:val="1"/>
                <w:color w:val="auto"/>
              </w:rPr>
              <w:t>Current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210"/>
        </w:trPr>
        <w:tc>
          <w:tcPr>
            <w:tcW w:w="4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102,007</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102,007</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102,007</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Level 2:</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Time deposits</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32,657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149,664</w:t>
            </w:r>
          </w:p>
        </w:tc>
        <w:tc>
          <w:tcPr>
            <w:tcW w:w="2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149,673</w:t>
            </w:r>
          </w:p>
        </w:tc>
        <w:tc>
          <w:tcPr>
            <w:tcW w:w="2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107,007</w:t>
            </w:r>
          </w:p>
        </w:tc>
        <w:tc>
          <w:tcPr>
            <w:tcW w:w="2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42,666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4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42"/>
              <w:spacing w:after="0" w:line="131"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23"/>
              <w:spacing w:after="0" w:line="131" w:lineRule="exact"/>
              <w:rPr>
                <w:sz w:val="20"/>
                <w:szCs w:val="20"/>
                <w:color w:val="auto"/>
              </w:rPr>
            </w:pPr>
            <w:r>
              <w:rPr>
                <w:rFonts w:ascii="Times New Roman" w:cs="Times New Roman" w:eastAsia="Times New Roman" w:hAnsi="Times New Roman"/>
                <w:sz w:val="14"/>
                <w:szCs w:val="14"/>
                <w:b w:val="1"/>
                <w:bCs w:val="1"/>
                <w:color w:val="auto"/>
              </w:rPr>
              <w:t>Current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209"/>
        </w:trPr>
        <w:tc>
          <w:tcPr>
            <w:tcW w:w="4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131,538</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131,538</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131,538</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Level 2:</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37,325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37,327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tcPr>
          <w:p>
            <w:pPr>
              <w:ind w:left="620"/>
              <w:spacing w:after="0"/>
              <w:rPr>
                <w:sz w:val="20"/>
                <w:szCs w:val="20"/>
                <w:color w:val="auto"/>
              </w:rPr>
            </w:pPr>
            <w:r>
              <w:rPr>
                <w:rFonts w:ascii="Times New Roman" w:cs="Times New Roman" w:eastAsia="Times New Roman" w:hAnsi="Times New Roman"/>
                <w:sz w:val="16"/>
                <w:szCs w:val="16"/>
                <w:color w:val="auto"/>
              </w:rPr>
              <w:t>Government-sponsored enterprise debt securities</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4,001</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4,001</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172,864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172,866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131,538</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amounts reported in the Condensed Consolidated Balance Sheets approximate the fair value based on quoted market prices or alternative pricing sources and models utilizing market observable inputs. As of September 30, 2020, the Company did not recognize any allowance for credit impairments on its available for sale debt securities. All investments in marketable securities are classified as current assets on the Condensed Consolidated Balance Sheets because the underlying securities mature within one year from the balance sheet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BUSINESS COMBINATIONS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CredentialMyDoc</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On December 16, 2019, the Company acquired substantially all the assets of Covenant Technology Group, LLC (“CredentialMyDoc”), a Savannah, Georgia-based company focusing on an intuitive, easy to use, and fast to implement provider credentialing and enrollment SaaS solution, primarily in ambulatory care settings. The consideration paid for CredentialMyDoc consisted of $9.0 million in cash, after giving effect to the post-closing working capital adjustment. Of the purchase price paid at closing, $1.1 million is being held in escrow for a period of time following the closing to serve as a source of recovery for certain potential indemnification claims by the Company. The results of operations for CredentialMyDoc have been included in the Provider Solutions segment of the Company’s Financial Statements from the date of acquisition.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purchase price is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at closing</w:t>
            </w:r>
          </w:p>
        </w:tc>
        <w:tc>
          <w:tcPr>
            <w:tcW w:w="4040" w:type="dxa"/>
            <w:vAlign w:val="bottom"/>
            <w:gridSpan w:val="2"/>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100" w:type="dxa"/>
            <w:vAlign w:val="bottom"/>
            <w:shd w:val="clear" w:color="auto" w:fill="CFF0FC"/>
          </w:tcPr>
          <w:p>
            <w:pPr>
              <w:spacing w:after="0"/>
              <w:rPr>
                <w:sz w:val="18"/>
                <w:szCs w:val="18"/>
                <w:color w:val="auto"/>
              </w:rPr>
            </w:pPr>
          </w:p>
        </w:tc>
      </w:tr>
      <w:tr>
        <w:trPr>
          <w:trHeight w:val="213"/>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Working capital adjustment - post-closing</w:t>
            </w:r>
          </w:p>
        </w:tc>
        <w:tc>
          <w:tcPr>
            <w:tcW w:w="3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r>
      <w:tr>
        <w:trPr>
          <w:trHeight w:val="210"/>
        </w:trPr>
        <w:tc>
          <w:tcPr>
            <w:tcW w:w="61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consideration paid</w:t>
            </w:r>
          </w:p>
        </w:tc>
        <w:tc>
          <w:tcPr>
            <w:tcW w:w="3420" w:type="dxa"/>
            <w:vAlign w:val="bottom"/>
            <w:tcBorders>
              <w:top w:val="single" w:sz="8" w:color="CFF0FC"/>
              <w:bottom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8,995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assets acquired and liabilities assumed as of the date of acquisition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and unbilled receivable, net</w:t>
            </w:r>
          </w:p>
        </w:tc>
        <w:tc>
          <w:tcPr>
            <w:tcW w:w="620" w:type="dxa"/>
            <w:vAlign w:val="bottom"/>
            <w:gridSpan w:val="2"/>
            <w:shd w:val="clear" w:color="auto" w:fill="CFF0FC"/>
          </w:tcPr>
          <w:p>
            <w:pPr>
              <w:jc w:val="right"/>
              <w:ind w:right="484"/>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FF0FC"/>
          </w:tcPr>
          <w:p>
            <w:pPr>
              <w:spacing w:after="0"/>
              <w:rPr>
                <w:sz w:val="18"/>
                <w:szCs w:val="18"/>
                <w:color w:val="auto"/>
              </w:rPr>
            </w:pPr>
          </w:p>
        </w:tc>
      </w:tr>
      <w:tr>
        <w:trPr>
          <w:trHeight w:val="213"/>
        </w:trPr>
        <w:tc>
          <w:tcPr>
            <w:tcW w:w="9580" w:type="dxa"/>
            <w:vAlign w:val="bottom"/>
          </w:tcPr>
          <w:p>
            <w:pPr>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r>
      <w:tr>
        <w:trPr>
          <w:trHeight w:val="219"/>
        </w:trPr>
        <w:tc>
          <w:tcPr>
            <w:tcW w:w="9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FF0FC"/>
          </w:tcPr>
          <w:p>
            <w:pPr>
              <w:spacing w:after="0"/>
              <w:rPr>
                <w:sz w:val="19"/>
                <w:szCs w:val="19"/>
                <w:color w:val="auto"/>
              </w:rPr>
            </w:pPr>
          </w:p>
        </w:tc>
      </w:tr>
      <w:tr>
        <w:trPr>
          <w:trHeight w:val="213"/>
        </w:trPr>
        <w:tc>
          <w:tcPr>
            <w:tcW w:w="95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r>
      <w:tr>
        <w:trPr>
          <w:trHeight w:val="219"/>
        </w:trPr>
        <w:tc>
          <w:tcPr>
            <w:tcW w:w="9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w:t>
            </w: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4,661</w:t>
            </w:r>
          </w:p>
        </w:tc>
        <w:tc>
          <w:tcPr>
            <w:tcW w:w="100" w:type="dxa"/>
            <w:vAlign w:val="bottom"/>
            <w:shd w:val="clear" w:color="auto" w:fill="CFF0FC"/>
          </w:tcPr>
          <w:p>
            <w:pPr>
              <w:spacing w:after="0"/>
              <w:rPr>
                <w:sz w:val="19"/>
                <w:szCs w:val="19"/>
                <w:color w:val="auto"/>
              </w:rPr>
            </w:pPr>
          </w:p>
        </w:tc>
      </w:tr>
      <w:tr>
        <w:trPr>
          <w:trHeight w:val="213"/>
        </w:trPr>
        <w:tc>
          <w:tcPr>
            <w:tcW w:w="958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4,340</w:t>
            </w:r>
          </w:p>
        </w:tc>
        <w:tc>
          <w:tcPr>
            <w:tcW w:w="100" w:type="dxa"/>
            <w:vAlign w:val="bottom"/>
          </w:tcPr>
          <w:p>
            <w:pPr>
              <w:spacing w:after="0"/>
              <w:rPr>
                <w:sz w:val="18"/>
                <w:szCs w:val="18"/>
                <w:color w:val="auto"/>
              </w:rPr>
            </w:pPr>
          </w:p>
        </w:tc>
      </w:tr>
      <w:tr>
        <w:trPr>
          <w:trHeight w:val="219"/>
        </w:trPr>
        <w:tc>
          <w:tcPr>
            <w:tcW w:w="9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958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(276)</w:t>
            </w:r>
          </w:p>
        </w:tc>
      </w:tr>
      <w:tr>
        <w:trPr>
          <w:trHeight w:val="219"/>
        </w:trPr>
        <w:tc>
          <w:tcPr>
            <w:tcW w:w="9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w:t>
            </w:r>
          </w:p>
        </w:tc>
      </w:tr>
      <w:tr>
        <w:trPr>
          <w:trHeight w:val="207"/>
        </w:trPr>
        <w:tc>
          <w:tcPr>
            <w:tcW w:w="9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assets acquired</w:t>
            </w:r>
          </w:p>
        </w:tc>
        <w:tc>
          <w:tcPr>
            <w:tcW w:w="20" w:type="dxa"/>
            <w:vAlign w:val="bottom"/>
            <w:tcBorders>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48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8,995</w:t>
            </w:r>
          </w:p>
        </w:tc>
        <w:tc>
          <w:tcPr>
            <w:tcW w:w="100" w:type="dxa"/>
            <w:vAlign w:val="bottom"/>
          </w:tcPr>
          <w:p>
            <w:pPr>
              <w:spacing w:after="0"/>
              <w:rPr>
                <w:sz w:val="17"/>
                <w:szCs w:val="17"/>
                <w:color w:val="auto"/>
              </w:rPr>
            </w:pPr>
          </w:p>
        </w:tc>
      </w:tr>
      <w:tr>
        <w:trPr>
          <w:trHeight w:val="20"/>
        </w:trPr>
        <w:tc>
          <w:tcPr>
            <w:tcW w:w="9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12529"/>
        </w:rPr>
        <w:t>The excess of purchase price over the fair values of net tangible and intangible assets is recorded as goodwill. The fair values of tangible and identifiable intangible assets and liabilities are based on management’s estimates and assumptions. The primary intangible assets acquired were customer relationships and developed technology. The fair value estimate for customer relationships intangible asset included significant assumptions in the prospective financial information, such as revenue growth, customer attrition, EBITDA margin, and the discount rate. The fair value estimate for developed technology intangible asset included significant assumptions, including the estimate of employee hours that would be needed to recreate the technology. Additionally, these assumptions are forward looking and could be affected by future economic and market conditions. The goodwill balance is primarily attributed to the assembled workforce, additional market opportunities from offering CredentialMyDoc products, and expected synergies from integrating CredentialMyDoc with other products or other combined functional areas within the Company. The goodwill balance is deductible for U.S. income tax purposes. The net tangible assets include deferred revenue, which was adjusted down from a book value at the acquisition date of $587,000 to an estimated fair value of $276,000. The $311,000 write-down of deferred revenue will result in lower revenues than would have otherwise been recognized for such services</w:t>
      </w:r>
      <w:r>
        <w:rPr>
          <w:rFonts w:ascii="Times New Roman" w:cs="Times New Roman" w:eastAsia="Times New Roman" w:hAnsi="Times New Roman"/>
          <w:sz w:val="18"/>
          <w:szCs w:val="18"/>
          <w:color w:val="000000"/>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and their estimated useful lives as of the acquisition date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80" w:type="dxa"/>
            <w:vAlign w:val="bottom"/>
            <w:tcBorders>
              <w:bottom w:val="single" w:sz="8" w:color="CFF0FC"/>
            </w:tcBorders>
          </w:tcPr>
          <w:p>
            <w:pPr>
              <w:spacing w:after="0"/>
              <w:rPr>
                <w:sz w:val="18"/>
                <w:szCs w:val="18"/>
                <w:color w:val="auto"/>
              </w:rPr>
            </w:pPr>
          </w:p>
        </w:tc>
        <w:tc>
          <w:tcPr>
            <w:tcW w:w="14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Useful life</w:t>
            </w:r>
          </w:p>
        </w:tc>
      </w:tr>
      <w:tr>
        <w:trPr>
          <w:trHeight w:val="212"/>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9 years</w:t>
            </w:r>
          </w:p>
        </w:tc>
      </w:tr>
      <w:tr>
        <w:trPr>
          <w:trHeight w:val="213"/>
        </w:trPr>
        <w:tc>
          <w:tcPr>
            <w:tcW w:w="8220" w:type="dxa"/>
            <w:vAlign w:val="bottom"/>
          </w:tcPr>
          <w:p>
            <w:pPr>
              <w:spacing w:after="0"/>
              <w:rPr>
                <w:sz w:val="20"/>
                <w:szCs w:val="20"/>
                <w:color w:val="auto"/>
              </w:rPr>
            </w:pPr>
            <w:r>
              <w:rPr>
                <w:rFonts w:ascii="Times New Roman" w:cs="Times New Roman" w:eastAsia="Times New Roman" w:hAnsi="Times New Roman"/>
                <w:sz w:val="16"/>
                <w:szCs w:val="16"/>
                <w:color w:val="auto"/>
              </w:rPr>
              <w:t>Developed technology</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280" w:type="dxa"/>
            <w:vAlign w:val="bottom"/>
          </w:tcPr>
          <w:p>
            <w:pPr>
              <w:spacing w:after="0"/>
              <w:rPr>
                <w:sz w:val="18"/>
                <w:szCs w:val="18"/>
                <w:color w:val="auto"/>
              </w:rPr>
            </w:pPr>
          </w:p>
        </w:tc>
        <w:tc>
          <w:tcPr>
            <w:tcW w:w="144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4 years</w:t>
            </w:r>
          </w:p>
        </w:tc>
      </w:tr>
      <w:tr>
        <w:trPr>
          <w:trHeight w:val="219"/>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Non-compete</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5 years</w:t>
            </w:r>
          </w:p>
        </w:tc>
      </w:tr>
      <w:tr>
        <w:trPr>
          <w:trHeight w:val="213"/>
        </w:trPr>
        <w:tc>
          <w:tcPr>
            <w:tcW w:w="8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Trade name</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80" w:type="dxa"/>
            <w:vAlign w:val="bottom"/>
            <w:tcBorders>
              <w:bottom w:val="single" w:sz="8" w:color="CFF0FC"/>
            </w:tcBorders>
          </w:tcPr>
          <w:p>
            <w:pPr>
              <w:spacing w:after="0"/>
              <w:rPr>
                <w:sz w:val="18"/>
                <w:szCs w:val="18"/>
                <w:color w:val="auto"/>
              </w:rPr>
            </w:pPr>
          </w:p>
        </w:tc>
        <w:tc>
          <w:tcPr>
            <w:tcW w:w="1440" w:type="dxa"/>
            <w:vAlign w:val="bottom"/>
            <w:tcBorders>
              <w:bottom w:val="single" w:sz="8" w:color="CFF0FC"/>
            </w:tcBorders>
          </w:tcPr>
          <w:p>
            <w:pPr>
              <w:ind w:left="960"/>
              <w:spacing w:after="0"/>
              <w:rPr>
                <w:sz w:val="20"/>
                <w:szCs w:val="20"/>
                <w:color w:val="auto"/>
              </w:rPr>
            </w:pPr>
            <w:r>
              <w:rPr>
                <w:rFonts w:ascii="Times New Roman" w:cs="Times New Roman" w:eastAsia="Times New Roman" w:hAnsi="Times New Roman"/>
                <w:sz w:val="16"/>
                <w:szCs w:val="16"/>
                <w:color w:val="auto"/>
              </w:rPr>
              <w:t>3 years</w:t>
            </w:r>
          </w:p>
        </w:tc>
      </w:tr>
      <w:tr>
        <w:trPr>
          <w:trHeight w:val="210"/>
        </w:trPr>
        <w:tc>
          <w:tcPr>
            <w:tcW w:w="82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intangible assets</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4,340</w:t>
            </w:r>
          </w:p>
        </w:tc>
        <w:tc>
          <w:tcPr>
            <w:tcW w:w="28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spacing w:after="0"/>
              <w:rPr>
                <w:sz w:val="18"/>
                <w:szCs w:val="18"/>
                <w:color w:val="auto"/>
              </w:rPr>
            </w:pPr>
          </w:p>
        </w:tc>
      </w:tr>
      <w:tr>
        <w:trPr>
          <w:trHeight w:val="20"/>
        </w:trPr>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financial information summarizes the results of operations of the Company and CredentialMyDoc as though the companies were combined as of January 1, 2019 (in thousands, except per share data):</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gridSpan w:val="5"/>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7"/>
                <w:szCs w:val="17"/>
                <w:color w:val="auto"/>
              </w:rPr>
            </w:pPr>
          </w:p>
        </w:tc>
        <w:tc>
          <w:tcPr>
            <w:tcW w:w="218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4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5"/>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8"/>
                <w:szCs w:val="18"/>
                <w:color w:val="auto"/>
              </w:rPr>
            </w:pPr>
          </w:p>
        </w:tc>
        <w:tc>
          <w:tcPr>
            <w:tcW w:w="218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1"/>
        </w:trPr>
        <w:tc>
          <w:tcPr>
            <w:tcW w:w="4340" w:type="dxa"/>
            <w:vAlign w:val="bottom"/>
            <w:tcBorders>
              <w:bottom w:val="single" w:sz="8" w:color="CFF0FC"/>
            </w:tcBorders>
          </w:tcPr>
          <w:p>
            <w:pPr>
              <w:spacing w:after="0"/>
              <w:rPr>
                <w:sz w:val="18"/>
                <w:szCs w:val="18"/>
                <w:color w:val="auto"/>
              </w:rPr>
            </w:pPr>
          </w:p>
        </w:tc>
        <w:tc>
          <w:tcPr>
            <w:tcW w:w="206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Borders>
              <w:top w:val="single" w:sz="8" w:color="auto"/>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0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60,927</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62,956</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183,257</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192,845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40" w:type="dxa"/>
            <w:vAlign w:val="bottom"/>
            <w:tcBorders>
              <w:bottom w:val="single" w:sz="8" w:color="CFF0FC"/>
            </w:tcBorders>
            <w:vMerge w:val="continue"/>
          </w:tcPr>
          <w:p>
            <w:pPr>
              <w:spacing w:after="0"/>
              <w:rPr>
                <w:sz w:val="20"/>
                <w:szCs w:val="20"/>
                <w:color w:val="auto"/>
              </w:rPr>
            </w:pPr>
          </w:p>
        </w:tc>
        <w:tc>
          <w:tcPr>
            <w:tcW w:w="206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2,669</w:t>
            </w:r>
          </w:p>
        </w:tc>
        <w:tc>
          <w:tcPr>
            <w:tcW w:w="24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3,378</w:t>
            </w:r>
          </w:p>
        </w:tc>
        <w:tc>
          <w:tcPr>
            <w:tcW w:w="24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13,359</w:t>
            </w:r>
          </w:p>
        </w:tc>
        <w:tc>
          <w:tcPr>
            <w:tcW w:w="24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10,386</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20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2,669</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3,628</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13,359</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11,831</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income per share - basic</w:t>
            </w:r>
          </w:p>
        </w:tc>
        <w:tc>
          <w:tcPr>
            <w:tcW w:w="2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40" w:type="dxa"/>
            <w:vAlign w:val="bottom"/>
            <w:tcBorders>
              <w:bottom w:val="single" w:sz="8" w:color="CFF0FC"/>
            </w:tcBorders>
            <w:vMerge w:val="continue"/>
          </w:tcPr>
          <w:p>
            <w:pPr>
              <w:spacing w:after="0"/>
              <w:rPr>
                <w:sz w:val="20"/>
                <w:szCs w:val="20"/>
                <w:color w:val="auto"/>
              </w:rPr>
            </w:pPr>
          </w:p>
        </w:tc>
        <w:tc>
          <w:tcPr>
            <w:tcW w:w="206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24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24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24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per share - diluted</w:t>
            </w:r>
          </w:p>
        </w:tc>
        <w:tc>
          <w:tcPr>
            <w:tcW w:w="20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unaudited pro forma combined results of operations include certain adjustments arising from the acquisition, such as amortization of intangible assets, depreciation of property and equipment, and fair value adjustments of acquired deferred revenue balances. The unaudited pro forma combined results of operations is for informational purposes only and is not indicative of what the Company’s results of operations would have been had the transaction occurred at the beginning of the earliest period presented or to project the Company’s results of operations in any future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NurseGrid</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On March 9, 2020, the Company acquired all of the outstanding stock of HcT2 Co. dba NurseGrid (“NurseGrid”), a Portland, Oregon-based healthcare technology company offering NurseGrid Mobile and its corollary application for nurse managers, NurseGrid Enterprise, for net cash consideration of approximately $21.5 million, after giving effect to the post-closing working capital adjustment. The Company accounted for this transaction as a business combination achieved in stages which required the Company to remeasure its previously existing minority ownership interest, which was accounted for as a non-marketable equity investment measured using the fair value alternative, to fair value at the acquisition date based on the total enterprise value, adjusting for a control premium. The fair value of the Company’s interest in NurseGrid was $3.6 million at closing, resulting in a gain of $1.2 million, recorded as a change in fair value of non-marketable equity investments in the Company’s Condensed Consolidated Statements of Income. Additionally, the Company’s previously recorded non-marketable equity investment in NurseGrid was de-recognized from the Company’s Condensed Consolidated Balance Sheet. The financial results of NurseGrid have been included in the Workforce Solutions segment from March 9, 2020.</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A summary of the purchase price is as follows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at closing</w:t>
            </w:r>
          </w:p>
        </w:tc>
        <w:tc>
          <w:tcPr>
            <w:tcW w:w="580" w:type="dxa"/>
            <w:vAlign w:val="bottom"/>
            <w:gridSpan w:val="2"/>
            <w:shd w:val="clear" w:color="auto" w:fill="CFF0FC"/>
          </w:tcPr>
          <w:p>
            <w:pPr>
              <w:jc w:val="right"/>
              <w:ind w:right="444"/>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25,485</w:t>
            </w:r>
          </w:p>
        </w:tc>
        <w:tc>
          <w:tcPr>
            <w:tcW w:w="100" w:type="dxa"/>
            <w:vAlign w:val="bottom"/>
            <w:shd w:val="clear" w:color="auto" w:fill="CFF0FC"/>
          </w:tcPr>
          <w:p>
            <w:pPr>
              <w:spacing w:after="0"/>
              <w:rPr>
                <w:sz w:val="18"/>
                <w:szCs w:val="18"/>
                <w:color w:val="auto"/>
              </w:rPr>
            </w:pPr>
          </w:p>
        </w:tc>
      </w:tr>
      <w:tr>
        <w:trPr>
          <w:trHeight w:val="213"/>
        </w:trPr>
        <w:tc>
          <w:tcPr>
            <w:tcW w:w="9580" w:type="dxa"/>
            <w:vAlign w:val="bottom"/>
          </w:tcPr>
          <w:p>
            <w:pPr>
              <w:spacing w:after="0"/>
              <w:rPr>
                <w:sz w:val="20"/>
                <w:szCs w:val="20"/>
                <w:color w:val="auto"/>
              </w:rPr>
            </w:pPr>
            <w:r>
              <w:rPr>
                <w:rFonts w:ascii="Times New Roman" w:cs="Times New Roman" w:eastAsia="Times New Roman" w:hAnsi="Times New Roman"/>
                <w:sz w:val="16"/>
                <w:szCs w:val="16"/>
                <w:color w:val="auto"/>
              </w:rPr>
              <w:t>Post-closing adjustment, net of cash received</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r>
      <w:tr>
        <w:trPr>
          <w:trHeight w:val="219"/>
        </w:trPr>
        <w:tc>
          <w:tcPr>
            <w:tcW w:w="9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acquired</w:t>
            </w: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(4,064)</w:t>
            </w:r>
          </w:p>
        </w:tc>
      </w:tr>
      <w:tr>
        <w:trPr>
          <w:trHeight w:val="207"/>
        </w:trPr>
        <w:tc>
          <w:tcPr>
            <w:tcW w:w="9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consideration paid</w:t>
            </w:r>
          </w:p>
        </w:tc>
        <w:tc>
          <w:tcPr>
            <w:tcW w:w="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21,454</w:t>
            </w:r>
          </w:p>
        </w:tc>
        <w:tc>
          <w:tcPr>
            <w:tcW w:w="100" w:type="dxa"/>
            <w:vAlign w:val="bottom"/>
          </w:tcPr>
          <w:p>
            <w:pPr>
              <w:spacing w:after="0"/>
              <w:rPr>
                <w:sz w:val="17"/>
                <w:szCs w:val="17"/>
                <w:color w:val="auto"/>
              </w:rPr>
            </w:pPr>
          </w:p>
        </w:tc>
      </w:tr>
      <w:tr>
        <w:trPr>
          <w:trHeight w:val="219"/>
        </w:trPr>
        <w:tc>
          <w:tcPr>
            <w:tcW w:w="9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Fair value of existing equity interest in NurseGrid</w:t>
            </w: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3,623</w:t>
            </w:r>
          </w:p>
        </w:tc>
        <w:tc>
          <w:tcPr>
            <w:tcW w:w="100" w:type="dxa"/>
            <w:vAlign w:val="bottom"/>
            <w:shd w:val="clear" w:color="auto" w:fill="CFF0FC"/>
          </w:tcPr>
          <w:p>
            <w:pPr>
              <w:spacing w:after="0"/>
              <w:rPr>
                <w:sz w:val="19"/>
                <w:szCs w:val="19"/>
                <w:color w:val="auto"/>
              </w:rPr>
            </w:pPr>
          </w:p>
        </w:tc>
      </w:tr>
      <w:tr>
        <w:trPr>
          <w:trHeight w:val="207"/>
        </w:trPr>
        <w:tc>
          <w:tcPr>
            <w:tcW w:w="9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consideration paid</w:t>
            </w:r>
          </w:p>
        </w:tc>
        <w:tc>
          <w:tcPr>
            <w:tcW w:w="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25,077</w:t>
            </w:r>
          </w:p>
        </w:tc>
        <w:tc>
          <w:tcPr>
            <w:tcW w:w="100" w:type="dxa"/>
            <w:vAlign w:val="bottom"/>
          </w:tcPr>
          <w:p>
            <w:pPr>
              <w:spacing w:after="0"/>
              <w:rPr>
                <w:sz w:val="17"/>
                <w:szCs w:val="17"/>
                <w:color w:val="auto"/>
              </w:rPr>
            </w:pPr>
          </w:p>
        </w:tc>
      </w:tr>
      <w:tr>
        <w:trPr>
          <w:trHeight w:val="20"/>
        </w:trPr>
        <w:tc>
          <w:tcPr>
            <w:tcW w:w="9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preliminary fair value of the assets acquired and liabilities assumed as of the date of acquisition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and unbilled receivable, net</w:t>
            </w:r>
          </w:p>
        </w:tc>
        <w:tc>
          <w:tcPr>
            <w:tcW w:w="580" w:type="dxa"/>
            <w:vAlign w:val="bottom"/>
            <w:gridSpan w:val="2"/>
            <w:shd w:val="clear" w:color="auto" w:fill="CFF0FC"/>
          </w:tcPr>
          <w:p>
            <w:pPr>
              <w:jc w:val="right"/>
              <w:ind w:right="444"/>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FF0FC"/>
          </w:tcPr>
          <w:p>
            <w:pPr>
              <w:spacing w:after="0"/>
              <w:rPr>
                <w:sz w:val="17"/>
                <w:szCs w:val="17"/>
                <w:color w:val="auto"/>
              </w:rPr>
            </w:pPr>
          </w:p>
        </w:tc>
      </w:tr>
      <w:tr>
        <w:trPr>
          <w:trHeight w:val="213"/>
        </w:trPr>
        <w:tc>
          <w:tcPr>
            <w:tcW w:w="9580" w:type="dxa"/>
            <w:vAlign w:val="bottom"/>
          </w:tcPr>
          <w:p>
            <w:pPr>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8"/>
                <w:szCs w:val="18"/>
                <w:color w:val="auto"/>
              </w:rPr>
            </w:pPr>
          </w:p>
        </w:tc>
      </w:tr>
      <w:tr>
        <w:trPr>
          <w:trHeight w:val="219"/>
        </w:trPr>
        <w:tc>
          <w:tcPr>
            <w:tcW w:w="9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FF0FC"/>
          </w:tcPr>
          <w:p>
            <w:pPr>
              <w:spacing w:after="0"/>
              <w:rPr>
                <w:sz w:val="19"/>
                <w:szCs w:val="19"/>
                <w:color w:val="auto"/>
              </w:rPr>
            </w:pPr>
          </w:p>
        </w:tc>
      </w:tr>
      <w:tr>
        <w:trPr>
          <w:trHeight w:val="213"/>
        </w:trPr>
        <w:tc>
          <w:tcPr>
            <w:tcW w:w="95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100" w:type="dxa"/>
            <w:vAlign w:val="bottom"/>
          </w:tcPr>
          <w:p>
            <w:pPr>
              <w:spacing w:after="0"/>
              <w:rPr>
                <w:sz w:val="18"/>
                <w:szCs w:val="18"/>
                <w:color w:val="auto"/>
              </w:rPr>
            </w:pPr>
          </w:p>
        </w:tc>
      </w:tr>
      <w:tr>
        <w:trPr>
          <w:trHeight w:val="219"/>
        </w:trPr>
        <w:tc>
          <w:tcPr>
            <w:tcW w:w="9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w:t>
            </w: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21,085</w:t>
            </w:r>
          </w:p>
        </w:tc>
        <w:tc>
          <w:tcPr>
            <w:tcW w:w="100" w:type="dxa"/>
            <w:vAlign w:val="bottom"/>
            <w:shd w:val="clear" w:color="auto" w:fill="CFF0FC"/>
          </w:tcPr>
          <w:p>
            <w:pPr>
              <w:spacing w:after="0"/>
              <w:rPr>
                <w:sz w:val="19"/>
                <w:szCs w:val="19"/>
                <w:color w:val="auto"/>
              </w:rPr>
            </w:pPr>
          </w:p>
        </w:tc>
      </w:tr>
      <w:tr>
        <w:trPr>
          <w:trHeight w:val="213"/>
        </w:trPr>
        <w:tc>
          <w:tcPr>
            <w:tcW w:w="958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100" w:type="dxa"/>
            <w:vAlign w:val="bottom"/>
          </w:tcPr>
          <w:p>
            <w:pPr>
              <w:spacing w:after="0"/>
              <w:rPr>
                <w:sz w:val="18"/>
                <w:szCs w:val="18"/>
                <w:color w:val="auto"/>
              </w:rPr>
            </w:pPr>
          </w:p>
        </w:tc>
      </w:tr>
      <w:tr>
        <w:trPr>
          <w:trHeight w:val="219"/>
        </w:trPr>
        <w:tc>
          <w:tcPr>
            <w:tcW w:w="9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(143)</w:t>
            </w:r>
          </w:p>
        </w:tc>
      </w:tr>
      <w:tr>
        <w:trPr>
          <w:trHeight w:val="213"/>
        </w:trPr>
        <w:tc>
          <w:tcPr>
            <w:tcW w:w="958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(78)</w:t>
            </w:r>
          </w:p>
        </w:tc>
      </w:tr>
      <w:tr>
        <w:trPr>
          <w:trHeight w:val="219"/>
        </w:trPr>
        <w:tc>
          <w:tcPr>
            <w:tcW w:w="9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(50)</w:t>
            </w:r>
          </w:p>
        </w:tc>
      </w:tr>
      <w:tr>
        <w:trPr>
          <w:trHeight w:val="207"/>
        </w:trPr>
        <w:tc>
          <w:tcPr>
            <w:tcW w:w="9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assets acquired</w:t>
            </w:r>
          </w:p>
        </w:tc>
        <w:tc>
          <w:tcPr>
            <w:tcW w:w="20" w:type="dxa"/>
            <w:vAlign w:val="bottom"/>
            <w:tcBorders>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25,077</w:t>
            </w:r>
          </w:p>
        </w:tc>
        <w:tc>
          <w:tcPr>
            <w:tcW w:w="100" w:type="dxa"/>
            <w:vAlign w:val="bottom"/>
          </w:tcPr>
          <w:p>
            <w:pPr>
              <w:spacing w:after="0"/>
              <w:rPr>
                <w:sz w:val="17"/>
                <w:szCs w:val="17"/>
                <w:color w:val="auto"/>
              </w:rPr>
            </w:pPr>
          </w:p>
        </w:tc>
      </w:tr>
      <w:tr>
        <w:trPr>
          <w:trHeight w:val="20"/>
        </w:trPr>
        <w:tc>
          <w:tcPr>
            <w:tcW w:w="9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12529"/>
        </w:rPr>
        <w:t>The excess of preliminary purchase price over the preliminary fair values of net tangible and intangible assets is recorded as goodwill. The preliminary fair values of tangible and identifiable intangible assets and liabilities are based on management’s estimates and assumptions. The primary intangible assets acquired were developed technology and trade name. The fair value estimate for developed technology intangible asset included significant assumptions, including the estimate of employee hours that would be needed to recreate the technology. The fair value estimate for trade name intangible asset included significant assumptions in the prospective financial information, such as projected revenues, royalty rate, and the discount rate. Additionally, these assumptions are forward looking and could be affected by future economic and market conditions. The preliminary fair values of assets acquired and liabilities assumed continue to be subject to change during the measurement period (up to one year from the acquisition date) as the Company finalizes the valuation of these items. The primary areas of the preliminary purchase price allocation that are not finalized include the composition and valuation of income tax attributes. The goodwill balance is primarily attributed to the assembled workforce, future market opportunities to engage and support the NurseGrid Mobile user community, and expected synergies from integrating NurseGrid with other combined functional areas within the Company. The goodwill balance is not deductible for U.S. income tax purposes. The net tangible assets include deferred revenue, which was adjusted down from a book value at the acquisition date of $157,000 to an estimated fair value of $78,000. The $79,000 write-down of deferred revenue will result in lower revenues than would have otherwise been recognized for such services.</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12529"/>
        </w:rPr>
        <w:t>The following table sets forth the preliminary components of identifiable intangible assets and their estimated useful lives as of the acquisition date (in thousands):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3"/>
        </w:trPr>
        <w:tc>
          <w:tcPr>
            <w:tcW w:w="8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Preliminary Fair</w:t>
            </w: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5"/>
        </w:trPr>
        <w:tc>
          <w:tcPr>
            <w:tcW w:w="82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4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Useful life</w:t>
            </w:r>
          </w:p>
        </w:tc>
      </w:tr>
      <w:tr>
        <w:trPr>
          <w:trHeight w:val="212"/>
        </w:trPr>
        <w:tc>
          <w:tcPr>
            <w:tcW w:w="8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752"/>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 years</w:t>
            </w:r>
          </w:p>
        </w:tc>
      </w:tr>
      <w:tr>
        <w:trPr>
          <w:trHeight w:val="213"/>
        </w:trPr>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Developed technology</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years</w:t>
            </w:r>
          </w:p>
        </w:tc>
      </w:tr>
      <w:tr>
        <w:trPr>
          <w:trHeight w:val="219"/>
        </w:trPr>
        <w:tc>
          <w:tcPr>
            <w:tcW w:w="8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Trade name</w:t>
            </w:r>
          </w:p>
        </w:tc>
        <w:tc>
          <w:tcPr>
            <w:tcW w:w="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Indefinite</w:t>
            </w:r>
          </w:p>
        </w:tc>
      </w:tr>
      <w:tr>
        <w:trPr>
          <w:trHeight w:val="207"/>
        </w:trPr>
        <w:tc>
          <w:tcPr>
            <w:tcW w:w="8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intangible assets</w:t>
            </w:r>
          </w:p>
        </w:tc>
        <w:tc>
          <w:tcPr>
            <w:tcW w:w="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The amounts of revenue and operating loss of NurseGrid included in the Company’s Consolidated Statement of Income since the date of acquisition of March 9, 2020 for the three and nine months ended September 30, 2020 are as follows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7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Pr>
          <w:p>
            <w:pPr>
              <w:spacing w:after="0"/>
              <w:rPr>
                <w:sz w:val="15"/>
                <w:szCs w:val="15"/>
                <w:color w:val="auto"/>
              </w:rPr>
            </w:pPr>
          </w:p>
        </w:tc>
        <w:tc>
          <w:tcPr>
            <w:tcW w:w="18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247"/>
        </w:trPr>
        <w:tc>
          <w:tcPr>
            <w:tcW w:w="7020" w:type="dxa"/>
            <w:vAlign w:val="bottom"/>
            <w:tcBorders>
              <w:bottom w:val="single" w:sz="8" w:color="CFF0FC"/>
            </w:tcBorders>
            <w:vMerge w:val="continue"/>
          </w:tcPr>
          <w:p>
            <w:pPr>
              <w:spacing w:after="0"/>
              <w:rPr>
                <w:sz w:val="21"/>
                <w:szCs w:val="21"/>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The following unaudited pro forma financial information summarizes the results of operations of the Company and NurseGrid as though the companies were combined as of January 1, 2019 (in thousands, except per share data):</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gridSpan w:val="5"/>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7"/>
                <w:szCs w:val="17"/>
                <w:color w:val="auto"/>
              </w:rPr>
            </w:pPr>
          </w:p>
        </w:tc>
        <w:tc>
          <w:tcPr>
            <w:tcW w:w="218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4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5"/>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8"/>
                <w:szCs w:val="18"/>
                <w:color w:val="auto"/>
              </w:rPr>
            </w:pPr>
          </w:p>
        </w:tc>
        <w:tc>
          <w:tcPr>
            <w:tcW w:w="218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1"/>
        </w:trPr>
        <w:tc>
          <w:tcPr>
            <w:tcW w:w="4340" w:type="dxa"/>
            <w:vAlign w:val="bottom"/>
            <w:tcBorders>
              <w:bottom w:val="single" w:sz="8" w:color="CFF0FC"/>
            </w:tcBorders>
          </w:tcPr>
          <w:p>
            <w:pPr>
              <w:spacing w:after="0"/>
              <w:rPr>
                <w:sz w:val="18"/>
                <w:szCs w:val="18"/>
                <w:color w:val="auto"/>
              </w:rPr>
            </w:pPr>
          </w:p>
        </w:tc>
        <w:tc>
          <w:tcPr>
            <w:tcW w:w="206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Borders>
              <w:top w:val="single" w:sz="8" w:color="auto"/>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0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60,900</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63,239</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183,133</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192,750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40" w:type="dxa"/>
            <w:vAlign w:val="bottom"/>
            <w:tcBorders>
              <w:bottom w:val="single" w:sz="8" w:color="CFF0FC"/>
            </w:tcBorders>
            <w:vMerge w:val="continue"/>
          </w:tcPr>
          <w:p>
            <w:pPr>
              <w:spacing w:after="0"/>
              <w:rPr>
                <w:sz w:val="20"/>
                <w:szCs w:val="20"/>
                <w:color w:val="auto"/>
              </w:rPr>
            </w:pPr>
          </w:p>
        </w:tc>
        <w:tc>
          <w:tcPr>
            <w:tcW w:w="206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2,648</w:t>
            </w:r>
          </w:p>
        </w:tc>
        <w:tc>
          <w:tcPr>
            <w:tcW w:w="24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3,176</w:t>
            </w:r>
          </w:p>
        </w:tc>
        <w:tc>
          <w:tcPr>
            <w:tcW w:w="24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12,632</w:t>
            </w:r>
          </w:p>
        </w:tc>
        <w:tc>
          <w:tcPr>
            <w:tcW w:w="24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8,653</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20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2,648</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3,427</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12,632</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10,098</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income per share - basic</w:t>
            </w:r>
          </w:p>
        </w:tc>
        <w:tc>
          <w:tcPr>
            <w:tcW w:w="2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40" w:type="dxa"/>
            <w:vAlign w:val="bottom"/>
            <w:tcBorders>
              <w:bottom w:val="single" w:sz="8" w:color="CFF0FC"/>
            </w:tcBorders>
            <w:vMerge w:val="continue"/>
          </w:tcPr>
          <w:p>
            <w:pPr>
              <w:spacing w:after="0"/>
              <w:rPr>
                <w:sz w:val="20"/>
                <w:szCs w:val="20"/>
                <w:color w:val="auto"/>
              </w:rPr>
            </w:pPr>
          </w:p>
        </w:tc>
        <w:tc>
          <w:tcPr>
            <w:tcW w:w="206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24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24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24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per share - diluted</w:t>
            </w:r>
          </w:p>
        </w:tc>
        <w:tc>
          <w:tcPr>
            <w:tcW w:w="20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These unaudited pro forma combined results of operations include certain adjustments arising from the acquisition, such as amortization of intangible assets, depreciation of property and equipment, </w:t>
      </w:r>
      <w:r>
        <w:rPr>
          <w:rFonts w:ascii="Times New Roman" w:cs="Times New Roman" w:eastAsia="Times New Roman" w:hAnsi="Times New Roman"/>
          <w:sz w:val="18"/>
          <w:szCs w:val="18"/>
          <w:color w:val="000000"/>
        </w:rPr>
        <w:t>interest expense related to NurseGrid’s previously outstanding debt, and fair value adjustments of acquired deferred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revenue balances</w:t>
      </w:r>
      <w:r>
        <w:rPr>
          <w:rFonts w:ascii="Times New Roman" w:cs="Times New Roman" w:eastAsia="Times New Roman" w:hAnsi="Times New Roman"/>
          <w:sz w:val="18"/>
          <w:szCs w:val="18"/>
          <w:color w:val="212529"/>
        </w:rPr>
        <w:t>. The unaudited pro forma combined results of operations is for informational purposes only and is not indicative of what the Company’s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results of operations would have been had the transaction occurred at the beginning of the earliest period presented or to project the Company’s results of operations in any future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BUSINESS SEGMENTS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provides services to healthcare organizations and other members within the healthcare industry. The Company’s services are focused on the delivery of workforce development products and services (Workforce Solutions) and provider credentialing, privileging, and enrollment products and services (Provider Solutions).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measures segment performance based on operating income before income taxes and prior to the allocation of certain corporate overhead expenses, interest income, interest expense, and depreciation. The Unallocated component below includes corporate functions, such as accounting, human resources, legal, investor relations, administrative and executive personnel, depreciation, a portion of amortization, and certain other expenses, which are not currently allocated in measuring segment performance. The following is the Company’s business segment information for the three and nine months ended September 30, 2020 and 2019 and as of September 30, 2020 and December 31, 2019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8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42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Workforce Solutions</w:t>
            </w: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49,197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51,023</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147,909</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157,739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Provider Solutions</w:t>
            </w:r>
          </w:p>
        </w:tc>
        <w:tc>
          <w:tcPr>
            <w:tcW w:w="10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11,686</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11,427</w:t>
            </w:r>
          </w:p>
        </w:tc>
        <w:tc>
          <w:tcPr>
            <w:tcW w:w="2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35,099</w:t>
            </w:r>
          </w:p>
        </w:tc>
        <w:tc>
          <w:tcPr>
            <w:tcW w:w="2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33,678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revenues, net</w:t>
            </w:r>
          </w:p>
        </w:tc>
        <w:tc>
          <w:tcPr>
            <w:tcW w:w="10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60,883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62,450</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183,008</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191,417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Operating income from continuing operations:</w:t>
            </w: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Workforce Solutions</w:t>
            </w:r>
          </w:p>
        </w:tc>
        <w:tc>
          <w:tcPr>
            <w:tcW w:w="12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9,758</w:t>
            </w: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10,274</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33,575</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4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Provider Solutions</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Unallocated</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(7,537)</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(7,911)</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(22,276)</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(23,516)</w:t>
            </w:r>
          </w:p>
        </w:tc>
        <w:tc>
          <w:tcPr>
            <w:tcW w:w="0" w:type="dxa"/>
            <w:vAlign w:val="bottom"/>
          </w:tcPr>
          <w:p>
            <w:pPr>
              <w:spacing w:after="0"/>
              <w:rPr>
                <w:sz w:val="1"/>
                <w:szCs w:val="1"/>
                <w:color w:val="auto"/>
              </w:rPr>
            </w:pPr>
          </w:p>
        </w:tc>
      </w:tr>
      <w:tr>
        <w:trPr>
          <w:trHeight w:val="207"/>
        </w:trPr>
        <w:tc>
          <w:tcPr>
            <w:tcW w:w="4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operating income from continuing operations</w:t>
            </w:r>
          </w:p>
        </w:tc>
        <w:tc>
          <w:tcPr>
            <w:tcW w:w="10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3,748</w:t>
            </w:r>
          </w:p>
        </w:tc>
        <w:tc>
          <w:tcPr>
            <w:tcW w:w="2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14,681</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3"/>
        </w:trPr>
        <w:tc>
          <w:tcPr>
            <w:tcW w:w="7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Segment assets *</w:t>
            </w:r>
          </w:p>
        </w:tc>
        <w:tc>
          <w:tcPr>
            <w:tcW w:w="160" w:type="dxa"/>
            <w:vAlign w:val="bottom"/>
          </w:tcPr>
          <w:p>
            <w:pPr>
              <w:spacing w:after="0"/>
              <w:rPr>
                <w:sz w:val="15"/>
                <w:szCs w:val="15"/>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60" w:type="dxa"/>
            <w:vAlign w:val="bottom"/>
          </w:tcPr>
          <w:p>
            <w:pPr>
              <w:spacing w:after="0"/>
              <w:rPr>
                <w:sz w:val="15"/>
                <w:szCs w:val="15"/>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09"/>
        </w:trPr>
        <w:tc>
          <w:tcPr>
            <w:tcW w:w="744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Workforce Solutions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139,602</w:t>
            </w:r>
          </w:p>
        </w:tc>
        <w:tc>
          <w:tcPr>
            <w:tcW w:w="3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118,382</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7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Provider Solutions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140,655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148,398</w:t>
            </w:r>
          </w:p>
        </w:tc>
        <w:tc>
          <w:tcPr>
            <w:tcW w:w="100" w:type="dxa"/>
            <w:vAlign w:val="bottom"/>
          </w:tcPr>
          <w:p>
            <w:pPr>
              <w:spacing w:after="0"/>
              <w:rPr>
                <w:sz w:val="18"/>
                <w:szCs w:val="18"/>
                <w:color w:val="auto"/>
              </w:rPr>
            </w:pPr>
          </w:p>
        </w:tc>
      </w:tr>
      <w:tr>
        <w:trPr>
          <w:trHeight w:val="219"/>
        </w:trPr>
        <w:tc>
          <w:tcPr>
            <w:tcW w:w="7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Unallocated</w:t>
            </w:r>
          </w:p>
        </w:tc>
        <w:tc>
          <w:tcPr>
            <w:tcW w:w="1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196,300</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222,764</w:t>
            </w:r>
          </w:p>
        </w:tc>
        <w:tc>
          <w:tcPr>
            <w:tcW w:w="100" w:type="dxa"/>
            <w:vAlign w:val="bottom"/>
            <w:shd w:val="clear" w:color="auto" w:fill="CFF0FC"/>
          </w:tcPr>
          <w:p>
            <w:pPr>
              <w:spacing w:after="0"/>
              <w:rPr>
                <w:sz w:val="19"/>
                <w:szCs w:val="19"/>
                <w:color w:val="auto"/>
              </w:rPr>
            </w:pPr>
          </w:p>
        </w:tc>
      </w:tr>
      <w:tr>
        <w:trPr>
          <w:trHeight w:val="207"/>
        </w:trPr>
        <w:tc>
          <w:tcPr>
            <w:tcW w:w="74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476,557</w:t>
            </w:r>
          </w:p>
        </w:tc>
        <w:tc>
          <w:tcPr>
            <w:tcW w:w="3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489,544</w:t>
            </w:r>
          </w:p>
        </w:tc>
        <w:tc>
          <w:tcPr>
            <w:tcW w:w="100" w:type="dxa"/>
            <w:vAlign w:val="bottom"/>
          </w:tcPr>
          <w:p>
            <w:pPr>
              <w:spacing w:after="0"/>
              <w:rPr>
                <w:sz w:val="17"/>
                <w:szCs w:val="17"/>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jc w:val="both"/>
        <w:ind w:left="400" w:hanging="392"/>
        <w:spacing w:after="0" w:line="241" w:lineRule="auto"/>
        <w:tabs>
          <w:tab w:leader="none" w:pos="4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assets include accounts and unbilled receivables, prepaid and other current assets, other assets, capitalized software development, certain property and equipment, goodwill, and intangible assets. Cash and cash equivalents and marketable securities are not allocated to individual segments and are included within Unallocated. A significant portion of property and equipment assets are included within Unallocated.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DISCONTINUED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Patient Experience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12, 2018, the Company divested its PX business to Press Ganey for $65.2 million in cash (after giving effect to the post-closing working capital adjustment), resulting in a gain, net of tax, of $20.5 million, of which $19.0 million was recorded during the year ended December 31, 2018 and $1.5 million was recorded during the year ended December 31, 2019. This sale of the PX business resulted in the Company’s divestiture of the Company’s patient experience solutions business segment. The Company has classified this gain on the sale of the PX business as discontinued operations in its Condensed Consolidated Statement of Income for the three and nine months ended September 30, 2019. Our results for the three and nine months ended September 30, 2020 do not include any discontinued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Revolving Credit Facility</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On December 31, 2018, the Company entered into a Second Amendment to its Revolving Credit Agreement, dated as of November 24, 2014 (as amended, the “Revolving Credit Facility”), with SunTrust Bank (“SunTrust”), which extended the maturity date to November 24, 2020. Under the Revolving Credit Facility, the Company may borrow up to $50.0 million, which includes a $5.0 million swing 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 The obligations under the Revolving Credit Facility are guaranteed by each of the Company’s subsidiaries. At the Company’s election, the borrowings under the Revolving Credit Facility bear interest at either (1) a rate per annum equal to the highest of SunTrust’s prime rate or 0.5% in excess of the Federal Funds Rate or 1.0% in excess of one-month LIBOR (the “Base Rate”), plus an applicable margin, or</w:t>
      </w:r>
    </w:p>
    <w:p>
      <w:pPr>
        <w:spacing w:after="0" w:line="2" w:lineRule="exact"/>
        <w:rPr>
          <w:sz w:val="20"/>
          <w:szCs w:val="20"/>
          <w:color w:val="auto"/>
        </w:rPr>
      </w:pPr>
    </w:p>
    <w:p>
      <w:pPr>
        <w:jc w:val="both"/>
        <w:ind w:firstLine="8"/>
        <w:spacing w:after="0" w:line="252" w:lineRule="auto"/>
        <w:tabs>
          <w:tab w:leader="none" w:pos="25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 two, three, or six month per annum LIBOR for deposits in the applicable currency (the “Eurocurrency Rate”), as selected by the Company, plus an applicable margin. The applicable margin for Eurocurrency Rate loans depends on the Company’s funded debt leverage ratio and varies from 1.50% to 2.00%. The applicable margin for Base Rate loans depends on the Company’s funded debt leverage ratio and varies from 0.50% to 1.50%. Commitment fees and letter of credit fees are also payable under the Revolving Credit Facility. Principal is payable in full at maturity on November 24, 2020, and there are no scheduled principal payments prior to maturity. The Company is required to pay a commitment fee ranging between 20 and 30 basis points per annum of the average daily unused portion of the Revolving Credit Facility, depending on the Company’s funded debt leverage ratio.</w:t>
      </w:r>
    </w:p>
    <w:p>
      <w:pPr>
        <w:spacing w:after="0" w:line="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purpose of the Revolving Credit Facility is for general working capital needs, permitted acquisitions (as defined in the Revolving Credit Facility), and for stock repurchase and/or redemption transactions that the Company may authorize.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Revolving Credit Facility requires the Company to meet certain financial tests, including, without limitation:</w:t>
      </w:r>
    </w:p>
    <w:p>
      <w:pPr>
        <w:spacing w:after="0" w:line="117" w:lineRule="exact"/>
        <w:rPr>
          <w:sz w:val="20"/>
          <w:szCs w:val="20"/>
          <w:color w:val="auto"/>
        </w:rPr>
      </w:pPr>
    </w:p>
    <w:p>
      <w:pPr>
        <w:ind w:left="400" w:hanging="392"/>
        <w:spacing w:after="0"/>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funded debt leverage ratio (consolidated debt/consolidated EBITDA) of not greater than 3.0 to 1.0; and</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 coverage ratio (consolidated EBITDA/consolidated interest expense) of not less than 3.0 to 1.0.</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September 30, 2020, the Company was in compliance with all covenants. There were no balances outstanding on the Revolving Credit Facility as of or during the three and nine months ended September 30, 2020.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12. NON-MARKETABLE EQUITY INVESTMENTS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Non-marketable equity investments of preferred stock in corporations that do not result in a controlling financial interest are accounted for using the measurement alternative for equity investments that do not have readily determinable fair values. ASU 2016-01, </w:t>
      </w:r>
      <w:r>
        <w:rPr>
          <w:rFonts w:ascii="Times New Roman" w:cs="Times New Roman" w:eastAsia="Times New Roman" w:hAnsi="Times New Roman"/>
          <w:sz w:val="18"/>
          <w:szCs w:val="18"/>
          <w:i w:val="1"/>
          <w:iCs w:val="1"/>
          <w:color w:val="auto"/>
        </w:rPr>
        <w:t>Financial Instruments – Overall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825-10) </w:t>
      </w:r>
      <w:r>
        <w:rPr>
          <w:rFonts w:ascii="Times New Roman" w:cs="Times New Roman" w:eastAsia="Times New Roman" w:hAnsi="Times New Roman"/>
          <w:sz w:val="18"/>
          <w:szCs w:val="18"/>
          <w:color w:val="auto"/>
        </w:rPr>
        <w:t>requires equity investments (except those accounted for under the equity method of accounting or those that result in consolidation of the investee)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measured at fair value with changes in fair value recognized in net income. The aggregate carrying amount of all non-marketable equity investments accounted for using the measurement alternative was $3.9 million and $5.9 million as of September 30, 2020 and December 31, 2019, respectively, which carrying value we evaluate for impairment at each reporting period. During the nine months ended September 30, 2020, the Company recorded a $1.2 million upward adjustment to the carrying value of our non-marketable equity investment in NurseGrid due to a change in fair value based on the consideration paid upon the Company’s acquisition of NurseGrid on March 9, 2020 (see Note 8). Cumulatively, the Company has recorded $0.1 million in downward adjustments to the carrying value of non-marketable equity investments. Such is the combination of cumulative downward adjustments of $1.3 million offset by cumulative upward adjustments of $1.2 million. These adjustments are the result of changes in fair value based on observable prices from orderly transactions for similar investments made in investees. The fair value of non-marketable equity investments is not estimated if there are no identified events or changes in circumstances that may have a significant adverse effect on the fair value of the investment.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CONTRACTUAL ADJUSTMENT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In June 2018, a contract with one of our royalty partners expired and was not renewed. However, the contract required continued royalty payments for any subscriptions that extended beyond the contract termination date. Following the contract termination, there was a mutual disagreement related to various elements of this past partnership, and the Company accrued but did not pay royalties to the partner following the contract expiration. During the first quarter of 2020, the Company received a release of liability from the partner associated with this contract, resulting in no royalties to be paid to the partner. The de-recognition of this royalty liability and related expense was recorded as a $3.4 million reduction to cost of revenues in the first quarter of 2020.</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On October 12, 2020, the Company acquired all of the equity of ShiftWizard, Inc., a Raleigh, North Carolina-based company focused on providing a SaaS-based solution that integrates key workforce management capabilities, including scheduling, productivity, and forecasting, for $32.0 million in cash, subject to working capital and other purchase price adjustments. The acquisition will be accounted for using the acquisition method of business combination under ASC 805, Business Combinations. The initial accounting for the business combination is incomplete due to the timing of the acquisition. Therefore, we are unable disclose certain information required by ASC 805. We will provide preliminary purchase price allocation information in our Annual Report on Form 10-K for the year ending December 31, 2020.</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 xml:space="preserve">On October 28, 2020, the Company entered into </w:t>
      </w:r>
      <w:r>
        <w:rPr>
          <w:rFonts w:ascii="Times New Roman" w:cs="Times New Roman" w:eastAsia="Times New Roman" w:hAnsi="Times New Roman"/>
          <w:sz w:val="18"/>
          <w:szCs w:val="18"/>
          <w:color w:val="000000"/>
        </w:rPr>
        <w:t>a Third Amendment to its Revolving Credit Agreement, dated as of November 24, 2014 (as amended,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“Revolving Credit Facility”), with Truist Bank (“Truist”), which increased the capacity under the Revolving Credit Facility to $65.0 million and extended the maturity date to October 28, 2023.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8" w:name="page19"/>
    <w:bookmarkEnd w:id="18"/>
    <w:p>
      <w:pPr>
        <w:ind w:right="4140"/>
        <w:spacing w:after="0" w:line="291" w:lineRule="exact"/>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Special Cautionary Notice Regarding Forward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Looking Statements</w:t>
      </w:r>
    </w:p>
    <w:p>
      <w:pPr>
        <w:spacing w:after="0" w:line="7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2019, appearing in our Annual Report on Form 10-K that was filed with the Securities and Exchange Commission (“SEC”) on February 26, 2020 (the “2019 Form 10-K”). Statements contained in this Quarterly Report on Form 10-Q that are not historical facts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 projects,” “should,” “will,” “would,” and similar expressions are forward-looking statements.</w:t>
      </w:r>
    </w:p>
    <w:p>
      <w:pPr>
        <w:spacing w:after="0" w:line="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7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evaluating any forward-looking statement, you should specifically consider the information regarding forward-looking statements and the information set forth under the caption Part II, Item 1A. Risk Factors in this Quarterly Report and under the caption Part I, Item 1A. Risk Factors in our 2019 Form 10-K and the information regarding forward-looking statements and other disclosures in our 2019 Form 10-K, earnings releases, and other filings with the SEC from time to time, as well as other cautionary statements contained elsewhere in this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what we currently expect.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HealthStream provides workforce and provider solutions for healthcare organizations—all designed to assess and develop the people that deliver patient care, which, in turn, supports the improvement of business and clinical outcomes. Workforce Solutions products are used by healthcare organizations to meet a broad range of their clinical development, talent management, training, certification, competency assessment, and performance appraisal needs. Provider Solutions products are used by healthcare organizations for provider credentialing, privileging, and enrollment needs. HealthStream’s customers include healthcare organizations, pharmaceutical and medical device companies, and other participants in the healthcare industry. At September 30, 2020, we had approximately 3.82 million contracted subscriptions to hStream</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our Platform-as-a-Service technology. hStream technology enables healthcare organizations and their respective workforces to easily connect to and gain value from the growing HealthStream ecosystem of applications, tools, and content.</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12, 2018, the Company divested its Patient Experience (“PX”) business to Press Ganey for $65.2 million in cash (after giving effect to the post-closing adjustment). Prior to the disposition of the PX business, our Patient Experience Solutions products provided our customers information about patients’ experiences and how to improve them, workforce engagement, physician relations, and community perceptions of their services. The gain on sale of the PX business recorded in prior periods are reflected in the Company’s Consolidated Financial Statements as discontinued operations for the three and nine months ended September 30, 2019. Our results for the three and nine months ended September 30, 2020 do not include any discontinued operations. Except where otherwise noted herein, our results are presented on a continuing operations basis. This sale of the PX business resulted in the Company’s divestiture of the patient experience solutions business segment.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financial metrics for the third quarter of 2020 are set forth in the bullets below.</w:t>
      </w:r>
    </w:p>
    <w:p>
      <w:pPr>
        <w:ind w:left="400" w:hanging="392"/>
        <w:spacing w:after="0" w:line="183" w:lineRule="auto"/>
        <w:tabs>
          <w:tab w:leader="none" w:pos="400" w:val="left"/>
        </w:tabs>
        <w:numPr>
          <w:ilvl w:val="0"/>
          <w:numId w:val="8"/>
        </w:numPr>
        <w:rPr>
          <w:rFonts w:ascii="Times New Roman" w:cs="Times New Roman" w:eastAsia="Times New Roman" w:hAnsi="Times New Roman"/>
          <w:sz w:val="26"/>
          <w:szCs w:val="26"/>
          <w:color w:val="auto"/>
        </w:rPr>
      </w:pPr>
      <w:r>
        <w:rPr>
          <w:rFonts w:ascii="Times New Roman" w:cs="Times New Roman" w:eastAsia="Times New Roman" w:hAnsi="Times New Roman"/>
          <w:sz w:val="17"/>
          <w:szCs w:val="17"/>
          <w:color w:val="auto"/>
        </w:rPr>
        <w:t>Revenues of $60.9 million in the third quarter of 2020, down 3% from $62.5 million in the third quarter of 2019</w:t>
      </w:r>
    </w:p>
    <w:p>
      <w:pPr>
        <w:ind w:left="400" w:hanging="392"/>
        <w:spacing w:after="0" w:line="186" w:lineRule="auto"/>
        <w:tabs>
          <w:tab w:leader="none" w:pos="400" w:val="left"/>
        </w:tabs>
        <w:numPr>
          <w:ilvl w:val="0"/>
          <w:numId w:val="8"/>
        </w:numPr>
        <w:rPr>
          <w:rFonts w:ascii="Times New Roman" w:cs="Times New Roman" w:eastAsia="Times New Roman" w:hAnsi="Times New Roman"/>
          <w:sz w:val="24"/>
          <w:szCs w:val="24"/>
          <w:color w:val="auto"/>
        </w:rPr>
      </w:pPr>
      <w:r>
        <w:rPr>
          <w:rFonts w:ascii="Times New Roman" w:cs="Times New Roman" w:eastAsia="Times New Roman" w:hAnsi="Times New Roman"/>
          <w:sz w:val="16"/>
          <w:szCs w:val="16"/>
          <w:color w:val="auto"/>
        </w:rPr>
        <w:t>Operating income of $3.1 million in the third quarter of 2020, down 16% from $3.7 million in the third quarter of 2019</w:t>
      </w:r>
    </w:p>
    <w:p>
      <w:pPr>
        <w:spacing w:after="0" w:line="68" w:lineRule="exact"/>
        <w:rPr>
          <w:rFonts w:ascii="Times New Roman" w:cs="Times New Roman" w:eastAsia="Times New Roman" w:hAnsi="Times New Roman"/>
          <w:sz w:val="24"/>
          <w:szCs w:val="24"/>
          <w:color w:val="auto"/>
        </w:rPr>
      </w:pPr>
    </w:p>
    <w:p>
      <w:pPr>
        <w:ind w:left="400" w:hanging="392"/>
        <w:spacing w:after="0" w:line="183" w:lineRule="auto"/>
        <w:tabs>
          <w:tab w:leader="none" w:pos="400" w:val="left"/>
        </w:tabs>
        <w:numPr>
          <w:ilvl w:val="0"/>
          <w:numId w:val="8"/>
        </w:numPr>
        <w:rPr>
          <w:rFonts w:ascii="Times New Roman" w:cs="Times New Roman" w:eastAsia="Times New Roman" w:hAnsi="Times New Roman"/>
          <w:sz w:val="26"/>
          <w:szCs w:val="26"/>
          <w:color w:val="auto"/>
        </w:rPr>
      </w:pPr>
      <w:r>
        <w:rPr>
          <w:rFonts w:ascii="Times New Roman" w:cs="Times New Roman" w:eastAsia="Times New Roman" w:hAnsi="Times New Roman"/>
          <w:sz w:val="17"/>
          <w:szCs w:val="17"/>
          <w:color w:val="auto"/>
        </w:rPr>
        <w:t>Income from continuing operations of $2.6 million in the third quarter of 2020, down 24% from $3.5 million in the third quarter of 2019</w:t>
      </w:r>
    </w:p>
    <w:p>
      <w:pPr>
        <w:spacing w:after="0" w:line="69" w:lineRule="exact"/>
        <w:rPr>
          <w:rFonts w:ascii="Times New Roman" w:cs="Times New Roman" w:eastAsia="Times New Roman" w:hAnsi="Times New Roman"/>
          <w:sz w:val="26"/>
          <w:szCs w:val="26"/>
          <w:color w:val="auto"/>
        </w:rPr>
      </w:pPr>
    </w:p>
    <w:p>
      <w:pPr>
        <w:ind w:left="400" w:hanging="392"/>
        <w:spacing w:after="0" w:line="193" w:lineRule="auto"/>
        <w:tabs>
          <w:tab w:leader="none" w:pos="400" w:val="left"/>
        </w:tabs>
        <w:numPr>
          <w:ilvl w:val="0"/>
          <w:numId w:val="8"/>
        </w:numPr>
        <w:rPr>
          <w:rFonts w:ascii="Times New Roman" w:cs="Times New Roman" w:eastAsia="Times New Roman" w:hAnsi="Times New Roman"/>
          <w:sz w:val="27"/>
          <w:szCs w:val="27"/>
          <w:color w:val="auto"/>
        </w:rPr>
      </w:pPr>
      <w:r>
        <w:rPr>
          <w:rFonts w:ascii="Times New Roman" w:cs="Times New Roman" w:eastAsia="Times New Roman" w:hAnsi="Times New Roman"/>
          <w:sz w:val="18"/>
          <w:szCs w:val="18"/>
          <w:color w:val="auto"/>
        </w:rPr>
        <w:t>Earnings per share (EPS) from continuing operations of $0.08 per share (diluted) in the third quarter of 2020 down from $0.11 per share (diluted) in the third quarter of 2019</w:t>
      </w:r>
    </w:p>
    <w:p>
      <w:pPr>
        <w:spacing w:after="0" w:line="1" w:lineRule="exact"/>
        <w:rPr>
          <w:rFonts w:ascii="Times New Roman" w:cs="Times New Roman" w:eastAsia="Times New Roman" w:hAnsi="Times New Roman"/>
          <w:sz w:val="27"/>
          <w:szCs w:val="27"/>
          <w:color w:val="auto"/>
        </w:rPr>
      </w:pPr>
    </w:p>
    <w:p>
      <w:pPr>
        <w:ind w:left="400" w:hanging="392"/>
        <w:spacing w:after="0" w:line="229" w:lineRule="auto"/>
        <w:tabs>
          <w:tab w:leader="none" w:pos="400" w:val="left"/>
        </w:tabs>
        <w:numPr>
          <w:ilvl w:val="0"/>
          <w:numId w:val="8"/>
        </w:numPr>
        <w:rPr>
          <w:rFonts w:ascii="Times New Roman" w:cs="Times New Roman" w:eastAsia="Times New Roman" w:hAnsi="Times New Roman"/>
          <w:sz w:val="27"/>
          <w:szCs w:val="27"/>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3"/>
          <w:szCs w:val="13"/>
          <w:color w:val="auto"/>
        </w:rPr>
        <w:t>1</w:t>
      </w:r>
      <w:r>
        <w:rPr>
          <w:rFonts w:ascii="Times New Roman" w:cs="Times New Roman" w:eastAsia="Times New Roman" w:hAnsi="Times New Roman"/>
          <w:sz w:val="18"/>
          <w:szCs w:val="18"/>
          <w:color w:val="auto"/>
        </w:rPr>
        <w:t xml:space="preserve"> from continuing operations of $11.1 million in the third quarter of 2020, down 3% from $11.5 million in the third quarter of 2019</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 w:name="page20"/>
    <w:bookmarkEnd w:id="19"/>
    <w:p>
      <w:pPr>
        <w:ind w:left="400" w:hanging="392"/>
        <w:spacing w:after="0" w:line="180" w:lineRule="auto"/>
        <w:tabs>
          <w:tab w:leader="none" w:pos="400" w:val="left"/>
        </w:tabs>
        <w:numPr>
          <w:ilvl w:val="0"/>
          <w:numId w:val="9"/>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2"/>
          <w:szCs w:val="12"/>
          <w:color w:val="auto"/>
        </w:rPr>
        <w:t>Adjusted EBITDA from continuing operations is a non-GAAP financial measure. A reconciliation of adjusted EBITDA from continuing operations to income from continuing operations and disclosure regarding why we believe adjusted EBITDA from continuing operations provides useful information to investors is included later in this report.</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On March 9, 2020, the Company acquired all of the outstanding stock of HcT2 Co. dba NurseGrid (“NurseGrid”), a Portland, Oregon-based healthcare technology company offering NurseGrid Mobile and its corollary application for nurse managers, NurseGrid Enterprise, for net cash consideration of approximately $21.5 million, after giving effect to the post-closing working capital adjustment. The financial results of NurseGrid have been included in the Workforce Solutions segment from March 9, 2020.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and Response to COVID-19 Pandemic</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COVID-19 pandemic has resulted in authorities throughout the United States and the world implementing widespread measures attempting to contain the spread and impact of COVID-19, such as travel bans and restrictions, quarantines, shelter-in-place orders, the promotion of social distancing, and limitations on business activity. These measures and the pandemic have caused a significant economic downturn in the United States and globally, resulted in increased unemployment and underemployment levels, and have adversely impacted consumer confidence and spending. Moreover, differing approaches among governmental authorities in the United States regarding whether and how to begin lifting shelter-in-place and business restriction orders have caused additional uncertainty. Additionally, some governmental authorities have reinstated previously relaxed restrictions due to a recent rise in diagnosed cases of COVID-19 in many regions of the United States. This pandemic has also led to disruption and volatility in financial and capital markets.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focused on providing workforce and provider solutions to healthcare organizations, and as such the pandemic’s adverse impact on healthcare organizations has resulted in an adverse impact on our Company. Although we believe that COVID-19 did not have a significant negative impact on our revenues or net income during the first nine months of 2020, certain developments related to COVID-19 have negatively impacted, and are expected to continue to negatively impact, our business this year and potentially longer, as described below.</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operating income for the nine months ended September 30, 2020 benefited from a temporary reduction of operating expenses related to COVID-19 conditions, but the operating expense reduction itself—despite its positive impact on operating income—is indicative of the negative impact the pandemic is having on new bookings and renewals. We have experienced, and expect to continue to experience, delayed and reduced bookings and renewals due to the pandemic. Given that we sell multiple year subscriptions to our solutions, the revenue impact of lost or delayed sales in a given period generally does not manifest until future periods, just as the revenue we recognize in a given period is generally the result of sales from a prior period. Since mid-March, our sales team has been unable to travel and conduct onsite sales meetings with existing or prospective customers, and we have also cancelled tradeshows. As a result, operating income benefitted from a $2.2 million reduction in operating expense related to the discontinuance of travel and a $0.2 million reduction in operating expenses related to the cancellation of tradeshows during the first nine months of 2020 compared to the same period last year.</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extent, timing, and duration of the impacts of the COVID-19 pandemic on our business remain uncertain, and will depend upon, among other things, the length and severity of the pandemic, particularly with respect to the pandemic’s ongoing impact on healthcare organizations.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closely monitor developments related to COVID-19 that may have an adverse impact on our operational and financial performance. We also continue to take actions focused on the safety and well-being of our employees, assisting our customers in this time of need, and mitigating operational and financial impacts to our business. We intend to continue serving our customers both in their battle to defeat the coronavirus and across the continuum of their other workforce and provider solution needs.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of this year, our customers began using our proprietary technology platform to author and deliver COVID-19 training and education courses to their staff as they began to prepare for caring for COVID-19 patients. In March, we made available to all caregivers, free of charge, a curated library of proprietary content and to our customers, a bundle of cross-training courses to further their staff’s preparation to deliver safe and effective care to COVID-19 patients. This has resulted in approximately 3.0 million course completions related to COVID-19 through September 30, 2020, including courses self-authored by customers and proprietary courses, over our technology platform. Additionally, as previously announced, HealthStream, in partnership with the State of Tennessee Office of the Governor, is providing its COVID-19 Rapid Response Program, which includes training bundles and its workforce platform, along with other workforce resources to support the state’s efforts to rapidly train new, returning, and current caregivers who are volunteering to work in Alternate Healthcare Facilities being set-up across the state. This COVID-19 Rapid Response Program continues to be provided free of charge.</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to promote the safety and well-being of our employees, we required our entire workforce to begin working remotely from home beginning March 16, 2020, and the entire workforce continues to work remotely to date. We have not established a date to return to non-remote working conditions.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0" w:name="page21"/>
    <w:bookmarkEnd w:id="20"/>
    <w:p>
      <w:pPr>
        <w:jc w:val="both"/>
        <w:spacing w:after="0" w:line="255" w:lineRule="auto"/>
        <w:rPr>
          <w:sz w:val="20"/>
          <w:szCs w:val="20"/>
          <w:color w:val="auto"/>
        </w:rPr>
      </w:pPr>
      <w:r>
        <w:rPr>
          <w:rFonts w:ascii="Times New Roman" w:cs="Times New Roman" w:eastAsia="Times New Roman" w:hAnsi="Times New Roman"/>
          <w:sz w:val="18"/>
          <w:szCs w:val="18"/>
          <w:color w:val="auto"/>
        </w:rPr>
        <w:t>Many healthcare organizations have been, and will likely continue to be, substantially adversely impacted by the COVID-19 pandemic. The period of time over which this adverse impact continues, the extent to which certain healthcare organizations continue to receive and/or are eligible to utilize governmental funds as the result of federal stimulus and relief measures, and whether conditions related to the pandemic continue to deteriorate are important factors that may impact our business. The pandemic has resulted in a significant reduction of revenue generating services for many healthcare organizations, such as elective surgeries and other elective procedures, while, in some cases, their cost of providing emergency care as the result of treating COVID-19 patients has increased. Adverse COVID-19 impacts such as these have resulted, and may continue to result, in significant adverse impacts to many healthcare organizations.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light of adverse developments with respect to healthcare organizations as noted above, we are continuing to monitor the ability or willingness of our customers to:</w:t>
      </w:r>
    </w:p>
    <w:p>
      <w:pPr>
        <w:spacing w:after="0" w:line="54" w:lineRule="exact"/>
        <w:rPr>
          <w:sz w:val="20"/>
          <w:szCs w:val="20"/>
          <w:color w:val="auto"/>
        </w:rPr>
      </w:pPr>
    </w:p>
    <w:p>
      <w:pPr>
        <w:ind w:left="800" w:hanging="401"/>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for our solutions in a timely manner, in full, or at all;</w:t>
      </w:r>
    </w:p>
    <w:p>
      <w:pPr>
        <w:spacing w:after="0" w:line="27"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solutions they have purchased from us; and</w:t>
      </w:r>
    </w:p>
    <w:p>
      <w:pPr>
        <w:spacing w:after="0" w:line="9"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 existing or purchase new products or services from us.</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monitor our cash position and credit exposure by evaluating, among other things, weekly cash receipts, days sales outstanding (“DSO”), customer requests to modify payment or contract terms, and bankruptcy notices. We experienced a decrease in cash receipts from customers in the first nine months of 2020 compared to the same period of the previous year and an increase in DSO from 40 days in the third quarter of 2019 to 43 days for the third quarter of 2020. While our cash balances increased by $5.2 million during the quarter, our cash flows from operations were $30.8 million this year compared to $52.5 million in the prior year, which was due primarily to the decline in legacy resuscitation sales and the impact of COVID-19. We are unable to know whether or to what extent such trends arising from the pandemic may continue or increase over time. Any continued deterioration in the collectability (or the timing of payments) of our accounts receivable will adversely impact our financial results.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timing of implementation of our services is also relevant to our business because our software solutions do not result in revenue recognition until they are implemented. To the extent our customers delay or fail to implement products they have previously purchased, our financial results will be adversely impacted. While we have experienced a negative impact from certain implementation delays related to COVID-19, these delays have not been consistent across products or across customers. Our Provider Solutions business segment has, in some instances, been more sensitive to implementation delays than our Workforce Solutions segment as the result of complexities associated with implementing certain of the solutions offered through that business segment.</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Conditions related to the pandemic may also adversely impact the ability or willingness of our customers to renew their contracts with us, to renew contracts on comparable terms, or to expand the quantity and type of solutions they purchase from us, particularly to the extent such customers have reduced their staff numbers or scope of operations due to COVID-19. Pandemic-related conditions have also been delaying or otherwise adversely impacting our ability to enter into contracts with new potential customers, as some potential customers have been focused on dealing with the impact and demands COVID-19 is having on their businesses. In addition, many of our customers are not currently allowing vendors, including representatives of the Company, on their premises, which has been reducing the ability of our sales team to make sales they otherwise would likely make but for the impact of COVID-19. In addition, our customer’s uncertainties due to COVID-19, combined with the inability to travel and conduct tradeshows, has had, and is likely to continue to have, a negative impact on our sales volumes. We continue to pursue new sales strategies, including those that do not require in-person meetings, tradeshows, or travel.</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also relies on a network of partners whose solutions we resell or whose solutions are sold and delivered over our platform. At least one of our partners has declared bankruptcy since the pandemic began, though such partner continues operations. To the extent COVID-19 results in business disruption or adverse impacts to our partners, such disruptions and adverse impacts could adversely impact our business.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uncertainty surrounding the adverse impact that COVID-19 may have on our business, we have taken certain expense management measures, which have included:</w:t>
      </w:r>
    </w:p>
    <w:p>
      <w:pPr>
        <w:spacing w:after="0" w:line="54" w:lineRule="exact"/>
        <w:rPr>
          <w:sz w:val="20"/>
          <w:szCs w:val="20"/>
          <w:color w:val="auto"/>
        </w:rPr>
      </w:pPr>
    </w:p>
    <w:p>
      <w:pPr>
        <w:ind w:left="800" w:hanging="401"/>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Foregoing increases to base salaries in 2020, including executive base salaries. Normally, base salary increases become effective May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hiring to critical positions.</w:t>
      </w:r>
    </w:p>
    <w:p>
      <w:pPr>
        <w:spacing w:after="0" w:line="9" w:lineRule="exact"/>
        <w:rPr>
          <w:rFonts w:ascii="Times New Roman" w:cs="Times New Roman" w:eastAsia="Times New Roman" w:hAnsi="Times New Roman"/>
          <w:sz w:val="18"/>
          <w:szCs w:val="18"/>
          <w:color w:val="auto"/>
        </w:rPr>
      </w:pPr>
    </w:p>
    <w:p>
      <w:pPr>
        <w:ind w:left="800" w:hanging="401"/>
        <w:spacing w:after="0" w:line="250" w:lineRule="auto"/>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Company’s match to the 401(k) Plan to the previously approved 1% level, rather than providing a greater match as we have in the previous two years.</w:t>
      </w:r>
    </w:p>
    <w:p>
      <w:pPr>
        <w:ind w:left="800" w:hanging="401"/>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employee business travel.</w:t>
      </w:r>
    </w:p>
    <w:p>
      <w:pPr>
        <w:spacing w:after="0" w:line="9"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tradeshows and other events where large gatherings may occur.</w:t>
      </w:r>
    </w:p>
    <w:p>
      <w:pPr>
        <w:spacing w:after="0" w:line="9"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Requesting key vendors of ours to allow payment term extension without penalty.</w:t>
      </w:r>
    </w:p>
    <w:p>
      <w:pPr>
        <w:spacing w:after="0" w:line="9"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iterative reductions to our capital expenditures to be deployed on an as-needed basis.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These expense management measures contributed to the decrease in our operating expenses, which compared to the prior year period declined by approximately $1.7 million and $3.4 million during the three and nine months ended September 30, 2020, respectively. Additionally, we are continuing to monitor developments regarding the COVID-19 pandemic and may undertake further expense management initiatives if we deem necessary.</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financial performance during the pandemic has remained solid, partly due to the above expense control measures. While we believe these expense control measures are prudent in light of current conditions, we also intend to strike a balance to ensure that our operations are financially stable for the future and that we continue to achieve our growth objectives. Our employees are vitally important to our success, and they have made numerous contributions during these unprecedented times. Although we have forgone salary increases for 2020 and previously limited the 401k match to one percent as noted above, during the third quarter we elected to provide our employees, excluding executive officers, with a supplemental payroll payment and an increase of the 401k match from one percent to two percent for all employees. The supplemental payroll payment approximates the dollar amount of salary increases that were foregone in 2020 as noted above. The impact of these two items reduced operating income by approximately $1.9 million during the third quarter.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management utilizes the following financial and non-financial metrics in connection with managing our business. These performance indicators include measurements of gross margin, adjusted EBITDA, and hStream subscriptions.</w:t>
      </w:r>
    </w:p>
    <w:p>
      <w:pPr>
        <w:spacing w:after="0" w:line="52" w:lineRule="exact"/>
        <w:rPr>
          <w:sz w:val="20"/>
          <w:szCs w:val="20"/>
          <w:color w:val="auto"/>
        </w:rPr>
      </w:pPr>
    </w:p>
    <w:p>
      <w:pPr>
        <w:jc w:val="both"/>
        <w:ind w:left="800" w:hanging="401"/>
        <w:spacing w:after="0" w:line="256" w:lineRule="auto"/>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Operating Income</w:t>
      </w:r>
      <w:r>
        <w:rPr>
          <w:rFonts w:ascii="Times New Roman" w:cs="Times New Roman" w:eastAsia="Times New Roman" w:hAnsi="Times New Roman"/>
          <w:sz w:val="18"/>
          <w:szCs w:val="18"/>
          <w:color w:val="auto"/>
        </w:rPr>
        <w:t>. Operating income represents the amount of profit realized from our operations and is calculated as the difference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net and operating costs and expenses. Operating income was $3.1 million and $14.7 million for the three and nine months ended September 30, 2020 compared to $3.7 million and $11.4 million for the three and nine months ended September 30, 2019. Management utilizes operating income in connection with managing our business as a key indicator of profitability. We also believe that operating income is useful to investors as a key measure of our profitability, which is among the reasons we have included such measure as among the metrics for which we have historically provided forward-looking guidance. For 2020, and for several previous years, executive bonuses have been based on the achievement of operating income targets as well.</w:t>
      </w:r>
    </w:p>
    <w:p>
      <w:pPr>
        <w:spacing w:after="0" w:line="74" w:lineRule="exact"/>
        <w:rPr>
          <w:rFonts w:ascii="Times New Roman" w:cs="Times New Roman" w:eastAsia="Times New Roman" w:hAnsi="Times New Roman"/>
          <w:sz w:val="18"/>
          <w:szCs w:val="18"/>
          <w:color w:val="auto"/>
        </w:rPr>
      </w:pPr>
    </w:p>
    <w:p>
      <w:pPr>
        <w:jc w:val="both"/>
        <w:ind w:left="800" w:hanging="401"/>
        <w:spacing w:after="0" w:line="254" w:lineRule="auto"/>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Adjusted EBITDA, calculated as set forth below under “Reconciliation of Non-GAAP Financial Measures,” is utilized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in connection with managing our business and provides useful information to investors because adjusted EBITDA reflects net income adjusted for certain non-cash and non-operating items, as more specifically set forth below. Management further believes that adjusted EBITDA from continuing operations is a useful measure for evaluating the operating performance of the Company because such measure excludes the gain on sale in connection with the sale of the PX business in February 2018 included in our results of operations during the three and nine months ended September 30, 2019, and thus reflects the Company’s ongoing business operations and assists in comparing the Company’s results of operations between periods. We believe that adjusted EBITDA and adjusted EBITDA from continuing operations are useful to many investors to assess the Company’s ongoing results from current operations. Adjusted EBITDA from continuing operations was $11.1 million and $34.9 million for the three and nine months ended September 30, 2020 compared to $11.5 million and $35.7 million for the three and nine months ended September 30, 2019.</w:t>
      </w:r>
    </w:p>
    <w:p>
      <w:pPr>
        <w:spacing w:after="0" w:line="77" w:lineRule="exact"/>
        <w:rPr>
          <w:rFonts w:ascii="Times New Roman" w:cs="Times New Roman" w:eastAsia="Times New Roman" w:hAnsi="Times New Roman"/>
          <w:sz w:val="18"/>
          <w:szCs w:val="18"/>
          <w:color w:val="auto"/>
        </w:rPr>
      </w:pPr>
    </w:p>
    <w:p>
      <w:pPr>
        <w:jc w:val="both"/>
        <w:ind w:left="800" w:hanging="401"/>
        <w:spacing w:after="0" w:line="277" w:lineRule="auto"/>
        <w:tabs>
          <w:tab w:leader="none" w:pos="8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hStream Subscriptions</w:t>
      </w:r>
      <w:r>
        <w:rPr>
          <w:rFonts w:ascii="Times New Roman" w:cs="Times New Roman" w:eastAsia="Times New Roman" w:hAnsi="Times New Roman"/>
          <w:sz w:val="17"/>
          <w:szCs w:val="17"/>
          <w:color w:val="auto"/>
        </w:rPr>
        <w:t>. hStream subscriptions are determined as the number of subscriptions under contract for hStream, our Platform-as-a-Service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technology that enables healthcare organizations and their respective workforces to easily connect to and gain value from the growing HealthStream ecosystem of applications, tools, and content. Our management utilizes hStream subscriptions in connection with managing our business and believes this metric provides useful information to investors as a measure of our progress in growing the value of our customer base. At September 30, 2020, we had approximately 3.82 million contracted subscriptions to hStream compared to 2.78 million as of September 30, 2019.</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Condensed Consolidated Financial Statements are prepared in accordance with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2" w:name="page23"/>
    <w:bookmarkEnd w:id="22"/>
    <w:p>
      <w:pPr>
        <w:ind w:right="20"/>
        <w:spacing w:after="0" w:line="276" w:lineRule="auto"/>
        <w:rPr>
          <w:sz w:val="20"/>
          <w:szCs w:val="20"/>
          <w:color w:val="auto"/>
        </w:rPr>
      </w:pPr>
      <w:r>
        <w:rPr>
          <w:rFonts w:ascii="Times New Roman" w:cs="Times New Roman" w:eastAsia="Times New Roman" w:hAnsi="Times New Roman"/>
          <w:sz w:val="18"/>
          <w:szCs w:val="18"/>
          <w:color w:val="auto"/>
        </w:rPr>
        <w:t>The accounting policies and estimates that we believe are the most critical in fully understanding and evaluating our reported financial results include the following:</w:t>
      </w:r>
    </w:p>
    <w:p>
      <w:pPr>
        <w:sectPr>
          <w:pgSz w:w="11900" w:h="16838" w:orient="portrait"/>
          <w:cols w:equalWidth="0" w:num="1">
            <w:col w:w="11240"/>
          </w:cols>
          <w:pgMar w:left="320" w:top="459" w:right="339" w:bottom="1440" w:gutter="0" w:footer="0" w:header="0"/>
        </w:sectPr>
      </w:pP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7"/>
          <w:szCs w:val="27"/>
          <w:color w:val="auto"/>
        </w:rPr>
        <w:t>•</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7"/>
          <w:szCs w:val="27"/>
          <w:color w:val="auto"/>
        </w:rPr>
        <w:t>•</w:t>
      </w:r>
    </w:p>
    <w:p>
      <w:pPr>
        <w:ind w:left="400"/>
        <w:spacing w:after="0" w:line="229" w:lineRule="auto"/>
        <w:rPr>
          <w:sz w:val="20"/>
          <w:szCs w:val="20"/>
          <w:color w:val="auto"/>
        </w:rPr>
      </w:pPr>
      <w:r>
        <w:rPr>
          <w:rFonts w:ascii="Times New Roman" w:cs="Times New Roman" w:eastAsia="Times New Roman" w:hAnsi="Times New Roman"/>
          <w:sz w:val="27"/>
          <w:szCs w:val="27"/>
          <w:color w:val="auto"/>
        </w:rPr>
        <w:t>•</w:t>
      </w:r>
    </w:p>
    <w:p>
      <w:pPr>
        <w:ind w:left="400"/>
        <w:spacing w:after="0" w:line="230" w:lineRule="auto"/>
        <w:rPr>
          <w:sz w:val="20"/>
          <w:szCs w:val="20"/>
          <w:color w:val="auto"/>
        </w:rPr>
      </w:pPr>
      <w:r>
        <w:rPr>
          <w:rFonts w:ascii="Times New Roman" w:cs="Times New Roman" w:eastAsia="Times New Roman" w:hAnsi="Times New Roman"/>
          <w:sz w:val="27"/>
          <w:szCs w:val="27"/>
          <w:color w:val="auto"/>
        </w:rPr>
        <w:t>•</w:t>
      </w:r>
    </w:p>
    <w:p>
      <w:pPr>
        <w:ind w:left="400"/>
        <w:spacing w:after="0"/>
        <w:rPr>
          <w:sz w:val="20"/>
          <w:szCs w:val="20"/>
          <w:color w:val="auto"/>
        </w:rPr>
      </w:pPr>
      <w:r>
        <w:rPr>
          <w:rFonts w:ascii="Times New Roman" w:cs="Times New Roman" w:eastAsia="Times New Roman" w:hAnsi="Times New Roman"/>
          <w:sz w:val="27"/>
          <w:szCs w:val="27"/>
          <w:color w:val="auto"/>
        </w:rPr>
        <w:t>•</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for income taxes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Software development costs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Goodwill, intangibles, and other long-lived assets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doubtful accounts</w:t>
      </w:r>
    </w:p>
    <w:p>
      <w:pPr>
        <w:spacing w:after="0" w:line="103" w:lineRule="exact"/>
        <w:rPr>
          <w:sz w:val="20"/>
          <w:szCs w:val="20"/>
          <w:color w:val="auto"/>
        </w:rPr>
      </w:pPr>
    </w:p>
    <w:p>
      <w:pPr>
        <w:sectPr>
          <w:pgSz w:w="11900" w:h="16838" w:orient="portrait"/>
          <w:cols w:equalWidth="0" w:num="2">
            <w:col w:w="500" w:space="300"/>
            <w:col w:w="10440"/>
          </w:cols>
          <w:pgMar w:left="320" w:top="459" w:right="339" w:bottom="1440" w:gutter="0" w:footer="0" w:header="0"/>
          <w:type w:val="continuous"/>
        </w:sect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Consolidated Financial Statements in our 2019 Form 10-K and the Notes to the Condensed Consolidated Financial Statements herein, which contain additional information regarding our accounting policies and other disclosures required by US GAAP. There have been no material changes in our critical accounting policies and estimates from those reported in our 2019 Form 10-K.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2020 Compared to Three Months Ended September 30, 2019</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net. </w:t>
      </w:r>
      <w:r>
        <w:rPr>
          <w:rFonts w:ascii="Times New Roman" w:cs="Times New Roman" w:eastAsia="Times New Roman" w:hAnsi="Times New Roman"/>
          <w:sz w:val="18"/>
          <w:szCs w:val="18"/>
          <w:color w:val="auto"/>
        </w:rPr>
        <w:t>Revenues decreased $1.6 million, or 3%, to $60.9 million for the three months ended September 30, 2020 from $62.5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September 30, 2019.</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comparison of revenues by business segment is as follows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6"/>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6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 by Business Segment:</w:t>
            </w:r>
          </w:p>
        </w:tc>
        <w:tc>
          <w:tcPr>
            <w:tcW w:w="300" w:type="dxa"/>
            <w:vAlign w:val="bottom"/>
          </w:tcPr>
          <w:p>
            <w:pPr>
              <w:spacing w:after="0"/>
              <w:rPr>
                <w:sz w:val="11"/>
                <w:szCs w:val="11"/>
                <w:color w:val="auto"/>
              </w:rPr>
            </w:pPr>
          </w:p>
        </w:tc>
        <w:tc>
          <w:tcPr>
            <w:tcW w:w="1020" w:type="dxa"/>
            <w:vAlign w:val="bottom"/>
            <w:vMerge w:val="restart"/>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63"/>
              <w:spacing w:after="0" w:line="131"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540" w:type="dxa"/>
            <w:vAlign w:val="bottom"/>
            <w:tcBorders>
              <w:bottom w:val="single" w:sz="8" w:color="CFF0FC"/>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Workforce Solutions</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49,197</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51,023</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65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Provider Solutions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11,686</w:t>
            </w:r>
          </w:p>
        </w:tc>
        <w:tc>
          <w:tcPr>
            <w:tcW w:w="3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11,427</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24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9"/>
        </w:trPr>
        <w:tc>
          <w:tcPr>
            <w:tcW w:w="654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revenues, net</w:t>
            </w: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60,883</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62,450</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 of Revenues</w:t>
            </w:r>
          </w:p>
        </w:tc>
        <w:tc>
          <w:tcPr>
            <w:tcW w:w="4000" w:type="dxa"/>
            <w:vAlign w:val="bottom"/>
            <w:shd w:val="clear" w:color="auto" w:fill="CFF0FC"/>
          </w:tcPr>
          <w:p>
            <w:pPr>
              <w:spacing w:after="0"/>
              <w:rPr>
                <w:sz w:val="18"/>
                <w:szCs w:val="18"/>
                <w:color w:val="auto"/>
              </w:rPr>
            </w:pPr>
          </w:p>
        </w:tc>
        <w:tc>
          <w:tcPr>
            <w:tcW w:w="2600" w:type="dxa"/>
            <w:vAlign w:val="bottom"/>
            <w:shd w:val="clear" w:color="auto" w:fill="CFF0FC"/>
          </w:tcPr>
          <w:p>
            <w:pPr>
              <w:spacing w:after="0"/>
              <w:rPr>
                <w:sz w:val="18"/>
                <w:szCs w:val="18"/>
                <w:color w:val="auto"/>
              </w:rPr>
            </w:pPr>
          </w:p>
        </w:tc>
      </w:tr>
      <w:tr>
        <w:trPr>
          <w:trHeight w:val="213"/>
        </w:trPr>
        <w:tc>
          <w:tcPr>
            <w:tcW w:w="4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Workforce Solutions</w:t>
            </w:r>
          </w:p>
        </w:tc>
        <w:tc>
          <w:tcPr>
            <w:tcW w:w="400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81%</w:t>
            </w:r>
          </w:p>
        </w:tc>
        <w:tc>
          <w:tcPr>
            <w:tcW w:w="2600" w:type="dxa"/>
            <w:vAlign w:val="bottom"/>
          </w:tcPr>
          <w:p>
            <w:pPr>
              <w:jc w:val="right"/>
              <w:ind w:right="1559"/>
              <w:spacing w:after="0"/>
              <w:rPr>
                <w:sz w:val="20"/>
                <w:szCs w:val="20"/>
                <w:color w:val="auto"/>
              </w:rPr>
            </w:pPr>
            <w:r>
              <w:rPr>
                <w:rFonts w:ascii="Times New Roman" w:cs="Times New Roman" w:eastAsia="Times New Roman" w:hAnsi="Times New Roman"/>
                <w:sz w:val="16"/>
                <w:szCs w:val="16"/>
                <w:color w:val="auto"/>
              </w:rPr>
              <w:t>82%</w:t>
            </w:r>
          </w:p>
        </w:tc>
      </w:tr>
      <w:tr>
        <w:trPr>
          <w:trHeight w:val="219"/>
        </w:trPr>
        <w:tc>
          <w:tcPr>
            <w:tcW w:w="4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Provider Solutions</w:t>
            </w:r>
          </w:p>
        </w:tc>
        <w:tc>
          <w:tcPr>
            <w:tcW w:w="400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19%</w:t>
            </w:r>
          </w:p>
        </w:tc>
        <w:tc>
          <w:tcPr>
            <w:tcW w:w="2600" w:type="dxa"/>
            <w:vAlign w:val="bottom"/>
            <w:shd w:val="clear" w:color="auto" w:fill="CFF0FC"/>
          </w:tcPr>
          <w:p>
            <w:pPr>
              <w:jc w:val="right"/>
              <w:ind w:right="1559"/>
              <w:spacing w:after="0"/>
              <w:rPr>
                <w:sz w:val="20"/>
                <w:szCs w:val="20"/>
                <w:color w:val="auto"/>
              </w:rPr>
            </w:pPr>
            <w:r>
              <w:rPr>
                <w:rFonts w:ascii="Times New Roman" w:cs="Times New Roman" w:eastAsia="Times New Roman" w:hAnsi="Times New Roman"/>
                <w:sz w:val="16"/>
                <w:szCs w:val="16"/>
                <w:color w:val="auto"/>
              </w:rPr>
              <w:t>18%</w:t>
            </w: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for Workforce Solutions decreased $1.8 million, or 4%, to $49.2 million for the three months ended September 30, 2020 from $51.0 million for the three months ended September 30, 2019. Revenues from legacy resuscitation products decreased by $3.7 million and were $9.7 million in the third quarter of 2020 compared to $13.4 million in the third quarter of 2019. Other workforce revenues increased by $1.9 million, or 5%, and included growth in platform and content subscriptions of $2.6 million, or 7%, partially offset by a decline in professional services revenues of $0.7 million, or 43%, due to fewer projects than the prior year.</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for Provider Solutions increased $0.3 million, or 2%, to $11.7 million for the three months ended September 30, 2020 from $11.4 million for the three months ended September 30, 2019. Revenue growth of $0.3 million was primarily attributable to $0.4 million in revenues from the CredentialMyDoc acquisition, which was completed in December 2019, partially offset by a decline in professional services $0.1 million.</w:t>
      </w:r>
    </w:p>
    <w:p>
      <w:pPr>
        <w:spacing w:after="0" w:line="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Revenues (excluding depreciation and amortization). </w:t>
      </w:r>
      <w:r>
        <w:rPr>
          <w:rFonts w:ascii="Times New Roman" w:cs="Times New Roman" w:eastAsia="Times New Roman" w:hAnsi="Times New Roman"/>
          <w:sz w:val="18"/>
          <w:szCs w:val="18"/>
          <w:color w:val="auto"/>
        </w:rPr>
        <w:t>Cost of revenues decreased $2.0 million, or 8%, to $23.3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2020 from $25.3 million for the three months ended September 30, 2019. Cost of revenues as a percentage of revenues was 38% and 41% for the three months ended September 30, 2020 and 2019, respectively.</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revenues for Workforce Solutions decreased $2.2 million to $19.3 million and approximated 39% and 42% of revenues for Workforce Solutions for the three months ended September 30, 2020 and 2019, respectively. The decrease is primarily associated with decreased royalties paid by us resulting from a decline in revenues and lower travel expense. Cost of revenues for Provider Solutions increased $0.2 million to $4.0 million and approximated 34% and 33% of Provider Solutions revenues for the three months ended September 30, 2020 and 2019, respectively. The increase is primarily associated with the supplemental payroll payment recorded during the three months ended September 30, 2020 as noted above.</w:t>
      </w:r>
    </w:p>
    <w:p>
      <w:pPr>
        <w:spacing w:after="0" w:line="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$1.0 million, or 14%, to $8.2 million for the three months ended September 30, 2020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$7.2 million for the three months ended September 30, 2019. Product development expenses as a percentage of revenues were 13% and 12% for the three months ended September 30, 2020 and 2019, respectively.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type w:val="continuous"/>
        </w:sectPr>
      </w:pPr>
    </w:p>
    <w:bookmarkStart w:id="23" w:name="page24"/>
    <w:bookmarkEnd w:id="23"/>
    <w:p>
      <w:pPr>
        <w:jc w:val="both"/>
        <w:spacing w:after="0" w:line="277" w:lineRule="auto"/>
        <w:rPr>
          <w:sz w:val="20"/>
          <w:szCs w:val="20"/>
          <w:color w:val="auto"/>
        </w:rPr>
      </w:pPr>
      <w:r>
        <w:rPr>
          <w:rFonts w:ascii="Times New Roman" w:cs="Times New Roman" w:eastAsia="Times New Roman" w:hAnsi="Times New Roman"/>
          <w:sz w:val="17"/>
          <w:szCs w:val="17"/>
          <w:color w:val="auto"/>
        </w:rPr>
        <w:t>Product development expenses for Workforce Solutions increased $0.6 million to $6.5 million and approximated 13% and 11% of revenues for Workforce Solutions for the three months ended September 30, 2020 and 2019, respectively. The increase in amount is primarily due to additions to personnel resulting from the NurseGrid acquisition and the supplemental payroll payment to employees as noted above. Product development expenses for Provider Solutions increased $0.4 million to $1.7 million and approximated 15% and 12% of revenues for Provider Solutions for the three months ended September 30, 2020 and 2019, respectively. The increase is primarily due to an increase in contract labor and additions to personnel resulting from the CredentialMyDoc acquisition.</w:t>
      </w:r>
    </w:p>
    <w:p>
      <w:pPr>
        <w:spacing w:after="0" w:line="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including personnel costs, decreased $0.1 million, or 2%, to $8.9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2020 from $9.0 million for the three months ended September 30, 2019. Sales and marketing expenses were 15% and 14% of revenues for the three months ended September 30, 2020 and 2019, respectively.</w:t>
      </w:r>
    </w:p>
    <w:p>
      <w:pPr>
        <w:spacing w:after="0" w:line="6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Sales and marketing expenses for Workforce Solutions decreased $0.2 million to $7.0 million and approximated 14% of revenues for Workforce Solutions for both the three months ended September 30, 2020 and 2019. The decrease is primarily due to lower travel and entertainment expenses as a result of COVID-19 and lower sales commissions consistent with the decreases in revenues. Sales and marketing expenses for Provider Solutions increased $0.1 million to $1.6 million and approximated 14% and 13% of revenues for Provider Solutions for the three months ended September 30, 2020 and 2019, respectively. The increase is primarily due to additions to personnel resulting from the CredentialMyDoc acquisition and the supplemental payroll payment to employees as noted above. The unallocated portion of sales and marketing expenses decreased $26,000 to $0.3 million compared to the prior year period.</w:t>
      </w:r>
    </w:p>
    <w:p>
      <w:pPr>
        <w:spacing w:after="0" w:line="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General and Administrative Expenses. </w:t>
      </w:r>
      <w:r>
        <w:rPr>
          <w:rFonts w:ascii="Times New Roman" w:cs="Times New Roman" w:eastAsia="Times New Roman" w:hAnsi="Times New Roman"/>
          <w:sz w:val="18"/>
          <w:szCs w:val="18"/>
          <w:color w:val="auto"/>
        </w:rPr>
        <w:t>Other general and administrative expenses approximated $10.0 million for both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2020 and 2019. Other general and administrative expenses as a percentage of revenues were 16% of revenues for both the three months ended September 30, 2020 and 2019.</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general and administrative expenses for Workforce Solutions increased $71,000 to $3.4 million and approximated 7% of Workforce Solutions revenues for both the three months ended September 30, 2020 and 2019. Other general and administrative expenses for Provider Solutions decreased $95,000 to $0.9 million and approximated 7% and 8% of Provider Solutions revenues for the three months ended September 30, 2020 and 2019, respectively. The unallocated corporate portion of other general and administrative expenses approximated $5.7 million for both the current and prior year period. Higher expenses associated with due diligence costs, including costs related to our acquisition of ShiftWizard which was completed in October 2020, incurred in the quarter were mostly offset by reductions in other expense categories.</w:t>
      </w:r>
    </w:p>
    <w:p>
      <w:pPr>
        <w:spacing w:after="0" w:line="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increased $0.3 million, or 4%, to $7.4 million for the three months ended September 30,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$7.1 million for the three months ended September 30, 2019. The increase resulted from an increase in amortization of capitalized software and intangible assets.</w:t>
      </w:r>
    </w:p>
    <w:p>
      <w:pPr>
        <w:spacing w:after="0" w:line="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was $0.1 million for the three months ended September 30, 2020 compared to $0.9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2019. The decrease is a result of lower interest income from cash and investments in marketable securities due to reductions in bond yields and bank deposit interest rates.</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The Company recorded a provision for income taxes of $0.6 million for the three months ended September 30, 2020 compared to $1.1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September 30, 2019. The Company’s effective tax rate was 19% and 25% for the three months ended September 30, 2020 and 2019, respectively. The decrease in the effective tax rate is primarily due to the recognition of tax benefits resulting from higher research and development tax credits than previously estimated.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from Continuing Operations. </w:t>
      </w:r>
      <w:r>
        <w:rPr>
          <w:rFonts w:ascii="Times New Roman" w:cs="Times New Roman" w:eastAsia="Times New Roman" w:hAnsi="Times New Roman"/>
          <w:sz w:val="18"/>
          <w:szCs w:val="18"/>
          <w:color w:val="auto"/>
        </w:rPr>
        <w:t>Income from continuing operations was $2.6 million in the third quarter of 2020, down 24% from $3.5 million in the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2019, which decrease was driven by the $1.5 million expense, net of tax, associated with the supplemental payroll payment to employees and the additional 401k match as noted above. Earnings per diluted share from continuing operations were $0.08 and $0.11 for the three months ended September 30, 2020 and 2019, respectively.</w:t>
      </w:r>
    </w:p>
    <w:p>
      <w:pPr>
        <w:spacing w:after="0" w:line="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from Discontinued Operations. </w:t>
      </w:r>
      <w:r>
        <w:rPr>
          <w:rFonts w:ascii="Times New Roman" w:cs="Times New Roman" w:eastAsia="Times New Roman" w:hAnsi="Times New Roman"/>
          <w:sz w:val="18"/>
          <w:szCs w:val="18"/>
          <w:color w:val="auto"/>
        </w:rPr>
        <w:t>Income from discontinued operations was zero for the three months ended September 30, 2020 compared to $0.3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September 30, 2019.</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was $2.6 million in the third quarter of 2020 compared to $3.7 million in the third quarter of 2019. Earnings per diluted share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$0.08 and $0.11 for the three months ended September 30, 2020 and 2019, respectively.</w:t>
      </w:r>
    </w:p>
    <w:p>
      <w:pPr>
        <w:spacing w:after="0" w:line="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(a non-GAAP financial measure which we define as net income before interest, income taxes, stock based compensation, depreciation and amortization, changes in fair value of non-marketable equity investments, and the de-recognition of non-cash royalty expense resulting from our resolution of a mutual disagreement related to various elements of a past partnership which resulted in a reduction to costs of revenues in the first quarter of 2020) from continuing operations decreased 3% to $11.1 million for the three months ended September 30, 2020 compared to $11.5 million for the three months ended September 30, 2019.</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decreased to $11.1 million for the three months ended September 30, 2020 compared to $11.8 million for the three months ended September 30, 2019. See “Reconciliation of Non-GAAP Financial Measures” below for our reconciliation of Adjusted EBITDA from continuing operations and Adjusted EBITDA to the most directly comparable measures under US GAAP.</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2020 Compared to Nine Months Ended September 30, 2019</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net. </w:t>
      </w:r>
      <w:r>
        <w:rPr>
          <w:rFonts w:ascii="Times New Roman" w:cs="Times New Roman" w:eastAsia="Times New Roman" w:hAnsi="Times New Roman"/>
          <w:sz w:val="18"/>
          <w:szCs w:val="18"/>
          <w:color w:val="auto"/>
        </w:rPr>
        <w:t>Revenues decreased $8.4 million, or 4%, to $183.0 million for the nine months ended September 30, 2020 from $191.4 million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2019.</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comparison of revenues by business segment is as follows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6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 by Business Segment:</w:t>
            </w:r>
          </w:p>
        </w:tc>
        <w:tc>
          <w:tcPr>
            <w:tcW w:w="300" w:type="dxa"/>
            <w:vAlign w:val="bottom"/>
          </w:tcPr>
          <w:p>
            <w:pPr>
              <w:spacing w:after="0"/>
              <w:rPr>
                <w:sz w:val="11"/>
                <w:szCs w:val="11"/>
                <w:color w:val="auto"/>
              </w:rPr>
            </w:pPr>
          </w:p>
        </w:tc>
        <w:tc>
          <w:tcPr>
            <w:tcW w:w="1020" w:type="dxa"/>
            <w:vAlign w:val="bottom"/>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vMerge w:val="restart"/>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11"/>
                <w:szCs w:val="11"/>
                <w:color w:val="auto"/>
              </w:rPr>
            </w:pPr>
          </w:p>
        </w:tc>
        <w:tc>
          <w:tcPr>
            <w:tcW w:w="13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540" w:type="dxa"/>
            <w:vAlign w:val="bottom"/>
            <w:tcBorders>
              <w:bottom w:val="single" w:sz="8" w:color="CFF0FC"/>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CFF0FC"/>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Workforce Solutions</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147,909</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157,739</w:t>
            </w:r>
          </w:p>
        </w:tc>
        <w:tc>
          <w:tcPr>
            <w:tcW w:w="3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65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Provider Solutions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35,099</w:t>
            </w:r>
          </w:p>
        </w:tc>
        <w:tc>
          <w:tcPr>
            <w:tcW w:w="3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33,678</w:t>
            </w:r>
          </w:p>
        </w:tc>
        <w:tc>
          <w:tcPr>
            <w:tcW w:w="1760" w:type="dxa"/>
            <w:vAlign w:val="bottom"/>
            <w:tcBorders>
              <w:bottom w:val="single" w:sz="8" w:color="CFF0FC"/>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9"/>
        </w:trPr>
        <w:tc>
          <w:tcPr>
            <w:tcW w:w="654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revenues, net</w:t>
            </w: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183,008</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191,417</w:t>
            </w:r>
          </w:p>
        </w:tc>
        <w:tc>
          <w:tcPr>
            <w:tcW w:w="176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 of Revenues</w:t>
            </w:r>
          </w:p>
        </w:tc>
        <w:tc>
          <w:tcPr>
            <w:tcW w:w="4000" w:type="dxa"/>
            <w:vAlign w:val="bottom"/>
            <w:shd w:val="clear" w:color="auto" w:fill="CFF0FC"/>
          </w:tcPr>
          <w:p>
            <w:pPr>
              <w:spacing w:after="0"/>
              <w:rPr>
                <w:sz w:val="18"/>
                <w:szCs w:val="18"/>
                <w:color w:val="auto"/>
              </w:rPr>
            </w:pPr>
          </w:p>
        </w:tc>
        <w:tc>
          <w:tcPr>
            <w:tcW w:w="2600" w:type="dxa"/>
            <w:vAlign w:val="bottom"/>
            <w:shd w:val="clear" w:color="auto" w:fill="CFF0FC"/>
          </w:tcPr>
          <w:p>
            <w:pPr>
              <w:spacing w:after="0"/>
              <w:rPr>
                <w:sz w:val="18"/>
                <w:szCs w:val="18"/>
                <w:color w:val="auto"/>
              </w:rPr>
            </w:pPr>
          </w:p>
        </w:tc>
      </w:tr>
      <w:tr>
        <w:trPr>
          <w:trHeight w:val="213"/>
        </w:trPr>
        <w:tc>
          <w:tcPr>
            <w:tcW w:w="4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Workforce Solutions</w:t>
            </w:r>
          </w:p>
        </w:tc>
        <w:tc>
          <w:tcPr>
            <w:tcW w:w="400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81%</w:t>
            </w:r>
          </w:p>
        </w:tc>
        <w:tc>
          <w:tcPr>
            <w:tcW w:w="2600" w:type="dxa"/>
            <w:vAlign w:val="bottom"/>
          </w:tcPr>
          <w:p>
            <w:pPr>
              <w:jc w:val="right"/>
              <w:ind w:right="1559"/>
              <w:spacing w:after="0"/>
              <w:rPr>
                <w:sz w:val="20"/>
                <w:szCs w:val="20"/>
                <w:color w:val="auto"/>
              </w:rPr>
            </w:pPr>
            <w:r>
              <w:rPr>
                <w:rFonts w:ascii="Times New Roman" w:cs="Times New Roman" w:eastAsia="Times New Roman" w:hAnsi="Times New Roman"/>
                <w:sz w:val="16"/>
                <w:szCs w:val="16"/>
                <w:color w:val="auto"/>
              </w:rPr>
              <w:t>82%</w:t>
            </w:r>
          </w:p>
        </w:tc>
      </w:tr>
      <w:tr>
        <w:trPr>
          <w:trHeight w:val="219"/>
        </w:trPr>
        <w:tc>
          <w:tcPr>
            <w:tcW w:w="4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Provider Solutions</w:t>
            </w:r>
          </w:p>
        </w:tc>
        <w:tc>
          <w:tcPr>
            <w:tcW w:w="400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19%</w:t>
            </w:r>
          </w:p>
        </w:tc>
        <w:tc>
          <w:tcPr>
            <w:tcW w:w="2600" w:type="dxa"/>
            <w:vAlign w:val="bottom"/>
            <w:shd w:val="clear" w:color="auto" w:fill="CFF0FC"/>
          </w:tcPr>
          <w:p>
            <w:pPr>
              <w:jc w:val="right"/>
              <w:ind w:right="1559"/>
              <w:spacing w:after="0"/>
              <w:rPr>
                <w:sz w:val="20"/>
                <w:szCs w:val="20"/>
                <w:color w:val="auto"/>
              </w:rPr>
            </w:pPr>
            <w:r>
              <w:rPr>
                <w:rFonts w:ascii="Times New Roman" w:cs="Times New Roman" w:eastAsia="Times New Roman" w:hAnsi="Times New Roman"/>
                <w:sz w:val="16"/>
                <w:szCs w:val="16"/>
                <w:color w:val="auto"/>
              </w:rPr>
              <w:t>18%</w:t>
            </w:r>
          </w:p>
        </w:tc>
      </w:tr>
    </w:tbl>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for Workforce Solutions decreased $9.8 million, or 6%, over the first nine months of 2019. Revenue from our legacy resuscitation products declined by $14.7 million and were $31.6 million in the first nine months of 2020 down from $46.3 million in the first nine months of 2019. Other workforce revenues increased by $4.9 million, representing an increase in platform and content subscriptions of $6.2 million, or 6%, partially offset by a decline in professional services revenues of $1.3 million, or 30%.</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for Provider Solutions increased $1.4 million, or 4%, over the first nine months of 2019. Revenue growth was primarily attributable to the CredentialMyDoc acquisition, which was completed in December 2019, contributing $1.2 million in revenues, along with new VerityStream platform subscriptions and professional services for implementation of new customers.</w:t>
      </w:r>
    </w:p>
    <w:p>
      <w:pPr>
        <w:spacing w:after="0" w:line="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Revenues (excluding depreciation and amortization). </w:t>
      </w:r>
      <w:r>
        <w:rPr>
          <w:rFonts w:ascii="Times New Roman" w:cs="Times New Roman" w:eastAsia="Times New Roman" w:hAnsi="Times New Roman"/>
          <w:sz w:val="18"/>
          <w:szCs w:val="18"/>
          <w:color w:val="auto"/>
        </w:rPr>
        <w:t>Cost of revenues decreased $12.4 million, or 16%, to $66.6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2020 from $79.0 million for the nine months ended September 30, 2019. Cost of revenues as a percentage of revenues was 36% and 41% for the nine months ended September 30, 2020 and 2019, respectively.</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revenues for Workforce Solutions decreased $12.8 million to $54.8 million and approximated 37% and 43% of revenues for Workforce Solutions for the nine months ended September 30, 2020 and 2019, respectively. The decrease is primarily associated with the lower royalty expense associated with the decline in the legacy resuscitation revenues along with the favorable $3.4 million contractual adjustment that resulted in a decrease to royalty expense upon the resolution of a mutual disagreement relating to various elements of a past partnership recorded in the first quarter of 2020. Cost of revenues for Provider Solutions increased $0.4 million to $11.8 million and approximated 34% of Provider Solutions revenues for both the nine months ended September 30, 2020 and 2019. The increase in amount is primarily due to increased personnel over the prior year period, including the addition of personnel from the CredentialMyDoc acquisition, and the supplemental payroll payment to employees as noted above.</w:t>
      </w:r>
    </w:p>
    <w:p>
      <w:pPr>
        <w:spacing w:after="0" w:line="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$1.7 million, or 8%, to $23.5 million for the nine months ended September 30, 2020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$21.8 million for the nine months ended September 30, 2019. Product development expenses as a percentage of revenues were 13% and 11% for the nine months ended September 30, 2020 and 2019, respectively.</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development expenses for Workforce Solutions increased $0.5 million to $18.5 million and approximated 13% and 11% of revenues for Workforce Solutions for the nine months ended September 30, 2020 and 2019, respectively. The increase is primarily due to increased personnel as a result of the NurseGrid acquisition in March 2020. Product development expenses for Provider Solutions increased $1.2 million to $5.0 million and approximated 14% and 11% of revenues for HealthStream Solutions for the nine months ended September 30, 2020 and 2019, respectively. The increase is primarily due to increased contract labor and increased personnel over the prior year period as a result of the CredentialMyDoc acquisition.</w:t>
      </w:r>
    </w:p>
    <w:p>
      <w:pPr>
        <w:spacing w:after="0" w:line="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including personnel costs, decreased $2.1 million, or 7%, to $26.3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2020 from $28.3 million for the nine months ended September 30, 2019. Sales and marketing expenses were 14% and 15% of revenues for the nine months ended September 30, 2020 and 2019, respectively.</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for Workforce Solutions decreased $2.4 million to $20.8 million and approximated 14% and 15% of revenues for Workforce Solutions for the nine months ended September 30, 2020 and 2019, respectively. The decrease is primarily due to lower sales commissions, consistent with the decreases in revenues, decreases in travel and entertainment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expenses as well as tradeshow expenses as a result of COVID-19 conditions as set forth above, and declines in general marketing expenses. Sales and marketing expenses for Provider Solutions increased $0.3 million to $4.7 million and approximated 13% of revenues for Provider Solutions for both the nine months ended September 30, 2020 and 2019. The increase in amount is primarily due to higher sales commissions, consistent with the increases in revenues. The unallocated portion of sales and marketing expenses approximated $0.8 million for both the current and prior year period.</w:t>
      </w:r>
    </w:p>
    <w:p>
      <w:pPr>
        <w:spacing w:after="0" w:line="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General and Administrative Expenses. </w:t>
      </w:r>
      <w:r>
        <w:rPr>
          <w:rFonts w:ascii="Times New Roman" w:cs="Times New Roman" w:eastAsia="Times New Roman" w:hAnsi="Times New Roman"/>
          <w:sz w:val="18"/>
          <w:szCs w:val="18"/>
          <w:color w:val="auto"/>
        </w:rPr>
        <w:t>Other general and administrative expenses decreased $0.3 million, or 1%, to $29.9 million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2020 from $30.3 million for the nine months ended September 30, 2019. Other general and administrative expenses as a percentage of revenues were 16% of revenues for both the nine months ended September 30, 2020 and 2019.</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general and administrative expenses for Workforce Solutions increased $1.0 million to $11.3 million and approximated 8% and 6% of revenues for Workforce Solutions for the nine months ended September 30, 2020 and 2019, respectively. The increase is primarily due to increases in infrastructure expenses and the acquisition of NurseGrid. Other general and administrative expenses for Provider Solutions decreased $0.2 million to $2.4 million and approximated 7% and 8% of revenues for Provider Solutions for the nine months ended September 30, 2020 and 2019, respectively. The decrease is primarily associated with lower professional services expenses compared to the prior year period. The unallocated corporate portion of other general and administrative expenses decreased $1.1 million to $16.2 million compared to the first nine months of 2019 primarily due to decreases in contract labor over the prior year period and lower stock based compensation resulting from the impact of the stock awards granted the Company’s chief executive officer to employees during the three months ended June 30, 2019, but was partially offset by increased due diligence costs.</w:t>
      </w:r>
    </w:p>
    <w:p>
      <w:pPr>
        <w:spacing w:after="0" w:line="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increased $1.4 million, or 7%, to $22.0 million for the nine months ended September 30,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$20.6 million for the nine months ended September 30, 2019. The increase resulted from an increase in amortization of capitalized software and intangible assets.</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was $2.0 million for the nine months ended September 30, 2020 compared to $2.5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2019. This decrease is related to the $1.2 million gain associated with the change in fair value of the non-marketable equity investment in NurseGrid prior to the acquisition of NurseGrid on March 9, 2020, offset by lower interest income due to reductions in bond yields and bank deposit interest rates.</w:t>
      </w:r>
    </w:p>
    <w:p>
      <w:pPr>
        <w:spacing w:after="0" w:line="7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Income Tax Provision. </w:t>
      </w:r>
      <w:r>
        <w:rPr>
          <w:rFonts w:ascii="Times New Roman" w:cs="Times New Roman" w:eastAsia="Times New Roman" w:hAnsi="Times New Roman"/>
          <w:sz w:val="17"/>
          <w:szCs w:val="17"/>
          <w:color w:val="auto"/>
        </w:rPr>
        <w:t>The Company recorded a provision for income taxes of $3.5 million and $3.3 million for the nine months ended September 30, 2020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2019, respectively. The Company’s effective tax rate was 21% for the nine months ended September 30, 2020 compared to 24% for the nine months ended September 30, 2019. The Company recorded additional income tax expense associated with tax deficiencies of $30,000 during the nine months ended September 30, 2020 and recorded a reduction to income tax expense for excess tax benefits of $0.1 million during the nine months ended September 30, 2019.</w:t>
      </w:r>
    </w:p>
    <w:p>
      <w:pPr>
        <w:spacing w:after="0" w:line="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from Continuing Operations. </w:t>
      </w:r>
      <w:r>
        <w:rPr>
          <w:rFonts w:ascii="Times New Roman" w:cs="Times New Roman" w:eastAsia="Times New Roman" w:hAnsi="Times New Roman"/>
          <w:sz w:val="18"/>
          <w:szCs w:val="18"/>
          <w:color w:val="auto"/>
        </w:rPr>
        <w:t>Income from continuing operations was $13.2 million for the nine months ended September 30, 2020, up 24% from $10.6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September 30, 2019. Earnings per diluted share from continuing operations were $0.41 and $0.33 for the nine months ended September 30, 2020 and 2019, respectively.</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from Discontinued Operations. </w:t>
      </w:r>
      <w:r>
        <w:rPr>
          <w:rFonts w:ascii="Times New Roman" w:cs="Times New Roman" w:eastAsia="Times New Roman" w:hAnsi="Times New Roman"/>
          <w:sz w:val="18"/>
          <w:szCs w:val="18"/>
          <w:color w:val="auto"/>
        </w:rPr>
        <w:t>Income from discontinued operations was zero for the nine months ended September 30, 2020 compared to $1.4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September 30, 2019. The $1.4 million gain, net of tax, recorded during the nine months ended September 30, 2019 was the result of a release of escrow funds to us in connection with the PX disposition. Refer to Note 10 in the Notes to the Condensed Consolidated Financial Statements for further information.</w:t>
      </w:r>
    </w:p>
    <w:p>
      <w:pPr>
        <w:spacing w:after="0" w:line="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was $13.2 million for the nine months ended September 30, 2020 compared to $12.1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2019. Earnings per diluted share were $0.41 and $0.37 for the nine months ended September 30, 2020 and 2019, respectively.</w:t>
      </w:r>
    </w:p>
    <w:p>
      <w:pPr>
        <w:spacing w:after="0" w:line="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from continuing operations decreased 2% to $34.9 million for the nine months ended September 30, 2020 compared to $35.7 million for the nine months ended September 30, 2019.</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(from continuing and discontinued operations) decreased $2.8 million to $34.9 million for the nine months ended September 30, 2020 compared to $37.7 million for the nine months ended September 30, 2019. This decrease resulted from the factors mentioned above. See “Reconciliation of Non-GAAP Financial Measures” below for our reconciliation of Adjusted EBITDA and Adjusted EBITDA from continuing operations to the most directly comparable measures under US GAAP.</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12, 2018, the Company divested its PX business to Press Ganey for $65.2 million in cash (after giving effect to the post-closing working capital adjustment). This sale of the PX business resulted in the divestiture of our patient experience solutions business segment. We recorded a gain on sale, net of tax, of $20.5 million, of which $19.0 million was recorded during the year ended December 31, 2018 and $1.5 million was recorded during the year ended December 31, 2019. With the proceeds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of this sale, our Board of Directors declared a $1.00 per common share special cash dividend, which was paid on April 3, 2018 to shareholders of record on March 6, 2018.</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classified the gain on sale of our PX business segment as discontinued operations in our Condensed Consolidated Statements of Income for all applicable periods. See Note 10 to our Condensed Consolidated Financial Statements included in this report for additional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Developments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legacy agreements with Laerdal (the “Legacy Agreements”) for the HeartCode and Resuscitation Quality Improvement (“RQI”) products expired pursuant to their terms on December 31, 2018. Revenues associated with sales of HeartCode and RQI products pursuant to the Legacy Agreements have been significant in recent years, although margins on such products have been lower than HealthStream’s average margin. Revenue generated by HeartCode and RQI products pursuant to the Legacy Agreements was $58.9 million and $54.6 million in 2019 and 2018, respectively. During the nine months ended September 30, 2020, as noted above, we recorded revenue of $31.6 million related to HeartCode and RQI products under the Legacy Agreements compared to $46.3 million for the nine months ended September 30, 2019. During the three months ended September 30, 2020, we recorded revenue of $9.7 million related to HeartCode and RQI products under the Legacy Agreements compared to $13.4 million for the three months ended September 30, 2019. We expect revenue from these products generated pursuant to the Legacy Agreements to approximate $6.0 million in the fourth quarter of 2020 and to be zero in the first quarter of 2021.</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6, 2018, we announced a new agreement with RQI Partners, a joint venture between Laerdal and the American Heart Association. This agreement with RQI Partners was not an extension or renewal of the expired Legacy Agreements with Laerdal and should not be construed as such. Under our agreement with RQI Partners, HealthStream will neither market nor sell HeartCode or RQI. Our RQI Partners agreement provides for continuity of service for customers that desire to purchase HeartCode or RQI from RQI Partners after December 31, 2018 and receive it via the HealthStream Learning Center. RQI Partners will remit a fee to us when new sales of HeartCode and RQI are delivered via the HealthStream Learning Center. This fee will not be sufficient to supplant the revenue runout associated with the Legacy Agreements, and no material revenues have been recognized under this agreement through September 30, 2020.</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remain actively engaged in efforts to broaden the scope and utilization of our simulation-related offerings to include a range of clinical competencies that extend beyond resuscitation, and we intend to bring to market a broadened scope of simulation-based offerings, including resuscitation programs. On January 17, 2019, as part of a seven-year collaboration agreement with the American Red Cross, which spans to 2026, we announced the launch of the American Red Cross Resuscitation Suite. We are actively engaged in efforts to market, sell, and deliver our new resuscitation offering, which includes the American Red Cross Resuscitation Suite and validation of skills through a technology enabled Innosonian manikin. A growing number of customers have been implemented on our new resuscitation offering and we believe that the solution is gaining acceptance in the market. We believe our efforts to market, sell, and deliver the American Red Cross Resuscitation Suite, along with efforts to bring additional simulation-related offerings to market, have the potential to give rise to additional and higher margin opportunities than those that existed under the Legacy Agreements. However, there is no assurance that we will be successful in these efforts, and to the extent that new simulation-based or other solutions do not generate revenue and/or earnings in a manner that supplants the impact of the Legacy Agreements, our revenue and results of operations may be adversely affected.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report presents adjusted EBITDA from continuing operations and adjusted EBITDA, both of which are non-GAAP financial measures used by management in analyzing our financial results and ongoing operational performance.</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to better assess the Company’s financial results, management believes that net income before interest, income taxes, stock based compensation, depreciation and amortization, changes in fair value of non-marketable equity investments, and the de-recognition of non-cash royalty expense resulting from our resolution of a mutual disagreement related to various elements of a past partnership which resulted in a reduction to costs of revenues in the first quarter of 2020 (“adjusted EBITDA”) is a useful measure for evaluating the operating performance of the Company because adjusted EBITDA reflects net income adjusted for certain non-cash and non-operating items. Management also believes that adjusted EBITDA from continuing operations is a useful measure for evaluating the operating performance of the Company because such measure excludes the gain on sale in connection with the sale of the PX business in February 2018 and thus reflects the Company’s ongoing business operations and assists in comparing the Company’s results of operations between periods. We also believe that adjusted EBITDA and adjusted EBITDA from continuing operations are useful to many investors to assess the Company’s ongoing results from current operations. Adjusted EBITDA and adjusted EBITDA from continuing operations are non-GAAP financial measures and should not be considered as measures of financial performance under GAAP. Because adjusted EBITDA and adjusted EBITDA from continuing operations are not measurements determined in accordance with GAAP, such non-GAAP</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7" w:name="page28"/>
    <w:bookmarkEnd w:id="27"/>
    <w:p>
      <w:pPr>
        <w:jc w:val="both"/>
        <w:spacing w:after="0" w:line="282" w:lineRule="auto"/>
        <w:rPr>
          <w:sz w:val="20"/>
          <w:szCs w:val="20"/>
          <w:color w:val="auto"/>
        </w:rPr>
      </w:pPr>
      <w:r>
        <w:rPr>
          <w:rFonts w:ascii="Times New Roman" w:cs="Times New Roman" w:eastAsia="Times New Roman" w:hAnsi="Times New Roman"/>
          <w:sz w:val="18"/>
          <w:szCs w:val="18"/>
          <w:color w:val="auto"/>
        </w:rPr>
        <w:t>financial measures are susceptible to varying calculations. Accordingly, adjusted EBITDA and adjusted EBITDA from continuing operations, as presented, may not be comparable to other similarly titled measures of other companies.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non-GAAP financial measures should not be considered as a substitute for, or superior to, measures of financial performance which are prepared in accordance with US GAAP and may be different from non-GAAP financial measures used by other companies and have limitations as analytical tools.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adjusted EBITDA and adjusted EBITDA from continuing operations to the most directly comparable GAAP measures is set forth below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8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240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8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GAAP income from continuing operations</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2,634</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3,461</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13,168</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10,642</w:t>
            </w:r>
          </w:p>
        </w:tc>
        <w:tc>
          <w:tcPr>
            <w:tcW w:w="120" w:type="dxa"/>
            <w:vAlign w:val="bottom"/>
            <w:shd w:val="clear" w:color="auto" w:fill="CFF0FC"/>
          </w:tcPr>
          <w:p>
            <w:pPr>
              <w:spacing w:after="0"/>
              <w:rPr>
                <w:sz w:val="18"/>
                <w:szCs w:val="18"/>
                <w:color w:val="auto"/>
              </w:rPr>
            </w:pPr>
          </w:p>
        </w:tc>
      </w:tr>
      <w:tr>
        <w:trPr>
          <w:trHeight w:val="21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(88)</w:t>
            </w:r>
          </w:p>
        </w:tc>
        <w:tc>
          <w:tcPr>
            <w:tcW w:w="5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(864)</w:t>
            </w:r>
          </w:p>
        </w:tc>
        <w:tc>
          <w:tcPr>
            <w:tcW w:w="4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(919)</w:t>
            </w:r>
          </w:p>
        </w:tc>
        <w:tc>
          <w:tcPr>
            <w:tcW w:w="5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(2,538)</w:t>
            </w:r>
          </w:p>
        </w:tc>
      </w:tr>
      <w:tr>
        <w:trPr>
          <w:trHeight w:val="21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shd w:val="clear" w:color="auto" w:fill="CFF0FC"/>
          </w:tcPr>
          <w:p>
            <w:pPr>
              <w:spacing w:after="0"/>
              <w:rPr>
                <w:sz w:val="19"/>
                <w:szCs w:val="19"/>
                <w:color w:val="auto"/>
              </w:rPr>
            </w:pPr>
          </w:p>
        </w:tc>
      </w:tr>
      <w:tr>
        <w:trPr>
          <w:trHeight w:val="21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3,270</w:t>
            </w:r>
          </w:p>
        </w:tc>
        <w:tc>
          <w:tcPr>
            <w:tcW w:w="120" w:type="dxa"/>
            <w:vAlign w:val="bottom"/>
          </w:tcPr>
          <w:p>
            <w:pPr>
              <w:spacing w:after="0"/>
              <w:rPr>
                <w:sz w:val="18"/>
                <w:szCs w:val="18"/>
                <w:color w:val="auto"/>
              </w:rPr>
            </w:pPr>
          </w:p>
        </w:tc>
      </w:tr>
      <w:tr>
        <w:trPr>
          <w:trHeight w:val="21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based compensation expense</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3,643</w:t>
            </w:r>
          </w:p>
        </w:tc>
        <w:tc>
          <w:tcPr>
            <w:tcW w:w="120" w:type="dxa"/>
            <w:vAlign w:val="bottom"/>
            <w:shd w:val="clear" w:color="auto" w:fill="CFF0FC"/>
          </w:tcPr>
          <w:p>
            <w:pPr>
              <w:spacing w:after="0"/>
              <w:rPr>
                <w:sz w:val="19"/>
                <w:szCs w:val="19"/>
                <w:color w:val="auto"/>
              </w:rPr>
            </w:pPr>
          </w:p>
        </w:tc>
      </w:tr>
      <w:tr>
        <w:trPr>
          <w:trHeight w:val="21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20,629</w:t>
            </w:r>
          </w:p>
        </w:tc>
        <w:tc>
          <w:tcPr>
            <w:tcW w:w="120" w:type="dxa"/>
            <w:vAlign w:val="bottom"/>
          </w:tcPr>
          <w:p>
            <w:pPr>
              <w:spacing w:after="0"/>
              <w:rPr>
                <w:sz w:val="18"/>
                <w:szCs w:val="18"/>
                <w:color w:val="auto"/>
              </w:rPr>
            </w:pPr>
          </w:p>
        </w:tc>
      </w:tr>
      <w:tr>
        <w:trPr>
          <w:trHeight w:val="21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fair value of non-marketable equity investments</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(1,181)</w:t>
            </w:r>
          </w:p>
        </w:tc>
        <w:tc>
          <w:tcPr>
            <w:tcW w:w="5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Non-cash royalty expense</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(3,440)</w:t>
            </w:r>
          </w:p>
        </w:tc>
        <w:tc>
          <w:tcPr>
            <w:tcW w:w="5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58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Adjusted EBITDA from continuing operations</w:t>
            </w:r>
          </w:p>
        </w:tc>
        <w:tc>
          <w:tcPr>
            <w:tcW w:w="2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11,135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11,481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34,893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35,723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5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GAAP net income</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2,634</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3,712</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13,168</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12,087</w:t>
            </w:r>
          </w:p>
        </w:tc>
        <w:tc>
          <w:tcPr>
            <w:tcW w:w="120" w:type="dxa"/>
            <w:vAlign w:val="bottom"/>
            <w:shd w:val="clear" w:color="auto" w:fill="CFF0FC"/>
          </w:tcPr>
          <w:p>
            <w:pPr>
              <w:spacing w:after="0"/>
              <w:rPr>
                <w:sz w:val="18"/>
                <w:szCs w:val="18"/>
                <w:color w:val="auto"/>
              </w:rPr>
            </w:pPr>
          </w:p>
        </w:tc>
      </w:tr>
      <w:tr>
        <w:trPr>
          <w:trHeight w:val="21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(88)</w:t>
            </w:r>
          </w:p>
        </w:tc>
        <w:tc>
          <w:tcPr>
            <w:tcW w:w="5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(864)</w:t>
            </w:r>
          </w:p>
        </w:tc>
        <w:tc>
          <w:tcPr>
            <w:tcW w:w="4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(919)</w:t>
            </w:r>
          </w:p>
        </w:tc>
        <w:tc>
          <w:tcPr>
            <w:tcW w:w="5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(2,538)</w:t>
            </w:r>
          </w:p>
        </w:tc>
      </w:tr>
      <w:tr>
        <w:trPr>
          <w:trHeight w:val="21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shd w:val="clear" w:color="auto" w:fill="CFF0FC"/>
          </w:tcPr>
          <w:p>
            <w:pPr>
              <w:spacing w:after="0"/>
              <w:rPr>
                <w:sz w:val="19"/>
                <w:szCs w:val="19"/>
                <w:color w:val="auto"/>
              </w:rPr>
            </w:pPr>
          </w:p>
        </w:tc>
      </w:tr>
      <w:tr>
        <w:trPr>
          <w:trHeight w:val="21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3,785</w:t>
            </w:r>
          </w:p>
        </w:tc>
        <w:tc>
          <w:tcPr>
            <w:tcW w:w="120" w:type="dxa"/>
            <w:vAlign w:val="bottom"/>
          </w:tcPr>
          <w:p>
            <w:pPr>
              <w:spacing w:after="0"/>
              <w:rPr>
                <w:sz w:val="18"/>
                <w:szCs w:val="18"/>
                <w:color w:val="auto"/>
              </w:rPr>
            </w:pPr>
          </w:p>
        </w:tc>
      </w:tr>
      <w:tr>
        <w:trPr>
          <w:trHeight w:val="21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based compensation expense</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3,643</w:t>
            </w:r>
          </w:p>
        </w:tc>
        <w:tc>
          <w:tcPr>
            <w:tcW w:w="120" w:type="dxa"/>
            <w:vAlign w:val="bottom"/>
            <w:shd w:val="clear" w:color="auto" w:fill="CFF0FC"/>
          </w:tcPr>
          <w:p>
            <w:pPr>
              <w:spacing w:after="0"/>
              <w:rPr>
                <w:sz w:val="19"/>
                <w:szCs w:val="19"/>
                <w:color w:val="auto"/>
              </w:rPr>
            </w:pPr>
          </w:p>
        </w:tc>
      </w:tr>
      <w:tr>
        <w:trPr>
          <w:trHeight w:val="21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20,629</w:t>
            </w:r>
          </w:p>
        </w:tc>
        <w:tc>
          <w:tcPr>
            <w:tcW w:w="120" w:type="dxa"/>
            <w:vAlign w:val="bottom"/>
          </w:tcPr>
          <w:p>
            <w:pPr>
              <w:spacing w:after="0"/>
              <w:rPr>
                <w:sz w:val="18"/>
                <w:szCs w:val="18"/>
                <w:color w:val="auto"/>
              </w:rPr>
            </w:pPr>
          </w:p>
        </w:tc>
      </w:tr>
      <w:tr>
        <w:trPr>
          <w:trHeight w:val="21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fair value of non-marketable equity investments</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(1,181)</w:t>
            </w:r>
          </w:p>
        </w:tc>
        <w:tc>
          <w:tcPr>
            <w:tcW w:w="5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Non-cash royalty expense</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(3,440)</w:t>
            </w:r>
          </w:p>
        </w:tc>
        <w:tc>
          <w:tcPr>
            <w:tcW w:w="5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58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11,135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11,821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34,893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37,683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decreased by $21.8 million to $30.8 million during the nine months ended September 30, 2020 from $52.5 million during the nine months ended September 30, 2019. Such decrease was largely driven by a decline in cash receipts primarily resulting from the decline in legacy resuscitation sales noted above and lower new sales relative to the prior year period. Our DSO was 43 days for the third quarter of 2020, compared to 47 days for the second quarter of 2020 and 40 days for the third quarter of 2019. The Company calculates DSO by dividing the average accounts receivable balance for the quarter by average daily revenues for the quarter. We believe that developments related to the COVID-19 pandemic have contributed to higher DSO during 2020 compared to the prior year, the reduction in cash receipts, and lower bookings of new contracts and renewal of existing contracts in the first nine months of 2020 compared to the same period in 2019, and this trend may continue if negative economic conditions arising from the pandemic persist or continue to deteriorate.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used in investing activities was $38.5 million for the nine months ended September 30, 2020 compared to $52.0 million for the nine months ended September 30, 2019. During the nine months ended September 30, 2020, the Company spent $21.4 million on business combinations, primarily the acquisition of NurseGrid, invested in marketable securities of $61.2 million, made payments for capitalized software development of $12.4 million, purchased property and equipment of $1.7 million, and invested $1.3 million in non-marketable equity investments. These uses of cash were partially offset by $59.5 million in maturities of marketable securities. During the nine months ended September 30, 2019, the Company acquired Providigm for $18.0 million, invested in marketable securities of $58.6 million, purchased property and equipment of $21.5 million, made payments for capitalized software development of $11.2 million, and invested $3.3 million in non-marketable equity investments. These uses of cash were partially offset by $58.6 million in maturities of marketable securities and $6.0 million in proceeds from the sale of its PX business segment.</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from continuing operations was $16.8 million for the nine months ended September 30, 2020 compared to $0.9 million for the nine months ended September 30, 2019. The uses of cash for the nine months ended September 30, 2020 primarily included $16.4 million for common stock repurchases, $0.4 million for the payment of employee payroll taxes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8"/>
          <w:szCs w:val="18"/>
          <w:color w:val="auto"/>
        </w:rPr>
        <w:t>in relation to the vesting of restricted share units, and $40,000 of cash dividend payments. The uses of cash for the nine months ended September 30, 2019 included $1.0 million for the payment of employee payroll taxes in relation to the vesting of restricted share units, $53,000 of cash dividends payments, and $38,000 of earn-out payments related to prior acquisitions. The source of cash from financing activities for the nine months ended September 30, 2019 was $0.2 million from the exercise of stock options.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balance sheet reflects positive working capital of $104.1 million at September 30, 2020 compared to $119.4 million at December 31, 2019. The decrease in working capital is primarily a result of the reduction in cash to fund the acquisition of NurseGrid and share repurchases. The Company’s primary source of liquidity as of September 30, 2020 was $107.0 million of cash and cash equivalents and $42.7 million of marketable securities comprised of corporate debt securities and time deposits. As of September 30, 2020, the Company also had a $50.0 million revolving credit facility, all of which was available for additional borrowing on such date. On October 28, 2020, the Company entered into an amendment to this revolving credit facility, which increased the capacity under this facility to $65.0 million and extended the maturity date to October 28, 2023.</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13, 2020, we announced a share repurchase program authorized by our Board of Directors under which we may purchase up to $30.0 million of our common stock. Pursuant to this authorization, repurchases have been made, and may continue to be made from time to time, in the open market through privately negotiated transactions or otherwise, including under a Rule 10b5-1 plan, which permits shares to be repurchased when the Company might otherwise be precluded from doing so under insider trading laws in accordance with specific prearranged terms related to timing, price, and volume (among others), without further direction from the Company. Under this program, during the first nine months of 2020, we repurchased 762,843 shares at an aggregate fair value of $16.3 million, reflecting an average price per share of $21.42 (excluding the cost of broker commissions). We may continue to make repurchases under this share repurchase program based on prevailing market conditions, liquidity, and cash flow considerations, applicable securities laws requirements (including under Rule 10b-18 and Rule 10b5-1 of the Securities Exchange Act of 1934, as applicable), and other factors. The share repurchase program will terminate on the earlier of March 12, 2021 or when the maximum dollar amount has been expended.</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and cash equivalents, marketable securities (including time deposits and corporate bond securities), cash generated from operations, and available borrowings under our revolving credit facility will be sufficient to meet anticipated working capital needs, new product development, any additional repurchases under our share repurchase program, and capital expenditures for at least the next 12 months. If the impact of COVID-19 persists longer than expected or causes economic conditions to further deteriorate, we are prepared to curtail or discontinue new product development and/or repurchases under the share repurchase authorization as we deem in the best interest of shareholders and the Company.</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Company’s growth strategy includes acquiring businesses or making strategic investments in businesses that complement or enhance our business. It is anticipated that future acquisitions or strategic investments, if any, would be effected through cash consideration, stock consideration, or a combination of both.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adjusted EBITDA and an interest coverage ratio of adjusted EBITDA to interest expense. Therefore, the maximum borrowings against our revolving credit facility would be dependent on the covenant calculations at the time of borrowing. As of September 30, 2020, we were in compliance with all covenants. There can be no assurance that amounts available for borrowing under our revolving credit facility will be sufficient to consummate any possible acquisitions, and we cannot assure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 Moreover, the COVID-19 pandemic has resulted in, and may continue to result in, disruptions of financial and capital markets, which could impair our ability to access additional capital if needed.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exposed to market risk from changes in interest rates. We do not have any material foreign currency exchange rate risk or commodity price risk. As of September 30, 2020 and during the nine months then ended,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which approximated $149.7 million at September 30, 2020. Assuming a hypothetical 10% decrease in interest rates for invested balances, interest income from cash and investments would decrease on an annualized basis by $41,000.</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9" w:name="page30"/>
    <w:bookmarkEnd w:id="29"/>
    <w:p>
      <w:pPr>
        <w:jc w:val="both"/>
        <w:spacing w:after="0" w:line="239" w:lineRule="exact"/>
        <w:rPr>
          <w:sz w:val="20"/>
          <w:szCs w:val="20"/>
          <w:color w:val="auto"/>
        </w:rPr>
      </w:pPr>
      <w:r>
        <w:rPr>
          <w:rFonts w:ascii="Times New Roman" w:cs="Times New Roman" w:eastAsia="Times New Roman" w:hAnsi="Times New Roman"/>
          <w:sz w:val="18"/>
          <w:szCs w:val="18"/>
          <w:color w:val="auto"/>
        </w:rPr>
        <w:t>The above market risk discussion and the estimated amounts presented are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of market risk assuming the occurrence of certain adverse market conditions. Actual results in the future may differ materially from those projected as a result of actual developments in the market.</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Controls and Procedures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officer and principal financial officer, or persons performing similar functions, as appropriate to allow timely decisions regarding required disclosure.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HealthStream’s internal control over financial reporting that occurred during the third quarter of 2020 that has materially affected, or that is reasonably likely to materially affect, HealthStream’s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30" w:name="page31"/>
    <w:bookmarkEnd w:id="30"/>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OTHER INFORMATION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risk factor updates the risk factor included in Part II, Item 1A. Risk Factors in the Company’s Quarterly Report on Form 10-Q for the six months ended June 30, 2020 filed by the Company on July 30, 2020. Except as set forth below, there have been no material changes with regard to the risk factors previously disclosed in the 2019 Form 10-K.</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coronavirus pandemic has adversely impacted our business, and may have material adverse impacts on our business, financial condition, results of operations, and/or cash flows.</w:t>
      </w:r>
    </w:p>
    <w:p>
      <w:pPr>
        <w:spacing w:after="0" w:line="5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COVID-19 pandemic has resulted in authorities throughout the United States and the world implementing widespread measures attempting to contain the spread and impact of COVID-19, such as travel bans and restrictions, quarantines, shelter-in-place orders, the promotion of social distancing, and limitations on business activity. These measures and the pandemic have caused a significant economic downturn in the United States and globally, resulted in increased unemployment and underemployment levels, and adversely impacted consumer confidence and spending. This pandemic has also led to disruption and volatility in financial and capital markets. Amid these efforts and occurrences, diagnosed cases of COVID-19 have continued to grow, particularly in the United States, which has caused some governmental authorities to reinstate previously relaxed restrictions on business and other activities.</w:t>
      </w:r>
    </w:p>
    <w:p>
      <w:pPr>
        <w:spacing w:after="0" w:line="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is focused on providing workforce and provider solutions to healthcare organizations. Many healthcare organizations have been, and will likely continue to be, substantially adversely impacted by the COVID-19 pandemic, which has resulted in a substantial reduction in the number of elective surgeries, physician office visits, and other healthcare procedures due to restrictive measures, including quarantines and shelter-in-place orders, as well as general concerns related to the risk of contracting COVID-19 from interacting with the healthcare system. Moreover, some healthcare organizations, such as ambulatory surgery centers, have been forced to reduce or temporarily close their operations due to the impact of the pandemic. Additionally, adverse conditions related to the pandemic have caused, and could continue to cause, certain of our customers to be unable to pay for our products and services in a timely and fulsome manner, or unable to pay at all, which has had, and will likely continue to have, an adverse impact on our financial results. To the extent these trends continue, or our customers are unable to pay due to the deterioration of their businesses as the result of COVID-19, our bad debt may continue to increase and future revenue generating opportunities with those customers may be limited.</w:t>
      </w:r>
    </w:p>
    <w:p>
      <w:pPr>
        <w:spacing w:after="0" w:line="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Conditions related to the pandemic may also adversely impact the ability or willingness of our customers to renew their contracts with us (or to renew contracts on comparable terms) and have adversely impacted the willingness of some customers to expand the quantity and type of solutions they purchase from us. For example, renewing customers that have reduced or expect to reduce the number of their staff due to COVID-19 may not have a need to renew their contracts for as many user subscriptions as purchased under their previous contracts. The COVID-19 pandemic has adversely impacted, and will likely continue to adversely impact, our ability to enter into contracts with new potential customers. Customers may also be unwilling or unable to pay the same prices for our products and solutions than they have paid in the past, which could negatively impact our results and growth. Many of our customers are not currently allowing vendors, including ourselves, on their premises, which has reduced, and will likely continue to reduce, the ability of our sales team to make sales they otherwise would likely make but for the impact of COVID-19. Our sales opportunities generated from in-person marketing initiatives, such as tradeshows, have also been negatively impacted due to the cancellation of such in-person events, and this has led to, and will likely continue to lead to, lost or delayed sales opportunities. Additionally, we do not recognize revenue until a software product is implemented and “live” for a customer to use. In this regard, to the extent our customers delay or fail to implement products they have previously purchased, as we have experienced with certain customers in recent months, or to the extent we are unable to fulfill our own implementation backlogs due to COVID-19, our financial results will likely suffer, as may our future prospects.</w:t>
      </w:r>
    </w:p>
    <w:p>
      <w:pPr>
        <w:spacing w:after="0" w:line="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also relies on a network of partners whose solutions we resell or whose solutions are sold and delivered over our platform. At least one of our partners has declared bankruptcy since the pandemic began, though such partner continues operations. To the extent COVID-19 results in business disruption or adverse impacts to our partners, such disruptions and adverse impacts could adversely impact our business as well.</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COVID-19, our entire workforce is continuing to work remotely from home, even if and to the extent that phased re-opening orders provided by local and state governments would allow for a limited return to office work. While we have not observed a negative disruption to productivity to date, operating on a prolonged basis as a remote workforce could result in decreases in productivity, increased security risks, impair our ability to manage our business, and harm our ability to attract, retain, and onboard employees.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continue to be significant uncertainties associated with the COVID-19 pandemic, including with respect to the severity and duration of the pandemic, the timing and availability of medical treatments and vaccines with respect to COVID-19, actions that may be taken by governmental authorities and private businesses to mitigate against the impact of the pandemic,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31" w:name="page32"/>
    <w:bookmarkEnd w:id="3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and the ongoing impact of COVID-19 on economic activity and unemployment and underemployment levels. Moreover, COVID-19 developments continue to evolve quickly, and additional developments may occur which we are unable to predict.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Developments related to COVID-19 have adversely impacted our business, and could have a material adverse effect on our business, financial condition, results of operations, and/or cash flows, particularly if negative conditions impacting healthcare organizations persist for a significant period of time or continue to deteriorate. In addition, the impact of COVID-19 may exacerbate other risks discussed in Part I, Item 1A. Risk Factors in our Annual Report on Form 10-K, any of which could have a material effect on us.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March 13, 2020, the Company announced a share repurchase program authorized by the Company’s Board of Directors under which the Company may purchase up to $30.0 million of its common stock. Pursuant to this authorization, repurchases have been made, and may continue to be made from time to time, in the open market through privately negotiated transactions or otherwise, including under a Rule 105b-1 plan, which permits shares to be repurchased when the Company might otherwise be precluded from doing so under insider trading laws in accordance with specific prearranged terms related to timing, price, and volume (among others), without further direction from the Company. Under this program, during the first nine months of 2020 the Company repurchased 762,843 shares at an aggregate fair value of $16.3 million, reflecting an average price per share of $21.42 (excluding the cost of broker commissions). In addition, any future repurchases under the authorization will be subject to prevailing market conditions, liquidity and cash flow considerations, applicable securities laws requirements (including under Rule 10b-18 and Rule 10b5-1 of the Securities Exchange Act of 1934, as applicable), and other factors. The share repurchase program will terminate on the earlier of March 12, 2021 or when the maximum dollar amount has been expended. The table below sets forth activity under the stock repurchase plan for the three months ended September 30, 2020.</w:t>
      </w:r>
    </w:p>
    <w:tbl>
      <w:tblPr>
        <w:tblLayout w:type="fixed"/>
        <w:tblInd w:w="0" w:type="dxa"/>
        <w:tblCellMar>
          <w:top w:w="0" w:type="dxa"/>
          <w:left w:w="0" w:type="dxa"/>
          <w:bottom w:w="0" w:type="dxa"/>
          <w:right w:w="0" w:type="dxa"/>
        </w:tblCellMar>
      </w:tblPr>
      <w:tr>
        <w:trPr>
          <w:trHeight w:val="142"/>
        </w:trPr>
        <w:tc>
          <w:tcPr>
            <w:tcW w:w="39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w:t>
            </w:r>
          </w:p>
        </w:tc>
        <w:tc>
          <w:tcPr>
            <w:tcW w:w="80" w:type="dxa"/>
            <w:vAlign w:val="bottom"/>
          </w:tcPr>
          <w:p>
            <w:pPr>
              <w:spacing w:after="0"/>
              <w:rPr>
                <w:sz w:val="12"/>
                <w:szCs w:val="12"/>
                <w:color w:val="auto"/>
              </w:rPr>
            </w:pPr>
          </w:p>
        </w:tc>
        <w:tc>
          <w:tcPr>
            <w:tcW w:w="162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3"/>
              </w:rPr>
              <w:t>(d)</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Maximum number (or</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 shares</w:t>
            </w:r>
          </w:p>
        </w:tc>
        <w:tc>
          <w:tcPr>
            <w:tcW w:w="80" w:type="dxa"/>
            <w:vAlign w:val="bottom"/>
          </w:tcPr>
          <w:p>
            <w:pPr>
              <w:spacing w:after="0"/>
              <w:rPr>
                <w:sz w:val="12"/>
                <w:szCs w:val="12"/>
                <w:color w:val="auto"/>
              </w:rPr>
            </w:pPr>
          </w:p>
        </w:tc>
        <w:tc>
          <w:tcPr>
            <w:tcW w:w="16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8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w:t>
            </w:r>
          </w:p>
        </w:tc>
        <w:tc>
          <w:tcPr>
            <w:tcW w:w="160" w:type="dxa"/>
            <w:vAlign w:val="bottom"/>
          </w:tcPr>
          <w:p>
            <w:pPr>
              <w:spacing w:after="0"/>
              <w:rPr>
                <w:sz w:val="12"/>
                <w:szCs w:val="12"/>
                <w:color w:val="auto"/>
              </w:rPr>
            </w:pPr>
          </w:p>
        </w:tc>
        <w:tc>
          <w:tcPr>
            <w:tcW w:w="17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(b)</w:t>
            </w:r>
          </w:p>
        </w:tc>
        <w:tc>
          <w:tcPr>
            <w:tcW w:w="18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(or units) purchased as</w:t>
            </w:r>
          </w:p>
        </w:tc>
        <w:tc>
          <w:tcPr>
            <w:tcW w:w="17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(or units)</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8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80" w:type="dxa"/>
            <w:vAlign w:val="bottom"/>
          </w:tcPr>
          <w:p>
            <w:pPr>
              <w:spacing w:after="0"/>
              <w:rPr>
                <w:sz w:val="12"/>
                <w:szCs w:val="12"/>
                <w:color w:val="auto"/>
              </w:rPr>
            </w:pPr>
          </w:p>
        </w:tc>
        <w:tc>
          <w:tcPr>
            <w:tcW w:w="16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8"/>
        </w:trPr>
        <w:tc>
          <w:tcPr>
            <w:tcW w:w="3940" w:type="dxa"/>
            <w:vAlign w:val="bottom"/>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8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8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80" w:type="dxa"/>
            <w:vAlign w:val="bottom"/>
          </w:tcPr>
          <w:p>
            <w:pPr>
              <w:spacing w:after="0"/>
              <w:rPr>
                <w:sz w:val="12"/>
                <w:szCs w:val="12"/>
                <w:color w:val="auto"/>
              </w:rPr>
            </w:pPr>
          </w:p>
        </w:tc>
        <w:tc>
          <w:tcPr>
            <w:tcW w:w="16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73"/>
        </w:trPr>
        <w:tc>
          <w:tcPr>
            <w:tcW w:w="3940" w:type="dxa"/>
            <w:vAlign w:val="bottom"/>
            <w:vMerge w:val="continue"/>
          </w:tcPr>
          <w:p>
            <w:pPr>
              <w:spacing w:after="0"/>
              <w:rPr>
                <w:sz w:val="15"/>
                <w:szCs w:val="15"/>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(or units) purchased</w:t>
            </w:r>
          </w:p>
        </w:tc>
        <w:tc>
          <w:tcPr>
            <w:tcW w:w="160" w:type="dxa"/>
            <w:vAlign w:val="bottom"/>
          </w:tcPr>
          <w:p>
            <w:pPr>
              <w:spacing w:after="0"/>
              <w:rPr>
                <w:sz w:val="15"/>
                <w:szCs w:val="15"/>
                <w:color w:val="auto"/>
              </w:rPr>
            </w:pPr>
          </w:p>
        </w:tc>
        <w:tc>
          <w:tcPr>
            <w:tcW w:w="17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share (or unit)</w:t>
            </w:r>
            <w:r>
              <w:rPr>
                <w:rFonts w:ascii="Times New Roman" w:cs="Times New Roman" w:eastAsia="Times New Roman" w:hAnsi="Times New Roman"/>
                <w:sz w:val="12"/>
                <w:szCs w:val="12"/>
                <w:b w:val="1"/>
                <w:bCs w:val="1"/>
                <w:color w:val="auto"/>
              </w:rPr>
              <w:t>(1)</w:t>
            </w: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80" w:type="dxa"/>
            <w:vAlign w:val="bottom"/>
          </w:tcPr>
          <w:p>
            <w:pPr>
              <w:spacing w:after="0"/>
              <w:rPr>
                <w:sz w:val="15"/>
                <w:szCs w:val="15"/>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0" w:type="dxa"/>
            <w:vAlign w:val="bottom"/>
          </w:tcPr>
          <w:p>
            <w:pPr>
              <w:spacing w:after="0"/>
              <w:rPr>
                <w:sz w:val="1"/>
                <w:szCs w:val="1"/>
                <w:color w:val="auto"/>
              </w:rPr>
            </w:pPr>
          </w:p>
        </w:tc>
      </w:tr>
      <w:tr>
        <w:trPr>
          <w:trHeight w:val="207"/>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Month #1 (July 1 - July 31)</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Month #2 (August 1 - August 31)</w:t>
            </w:r>
          </w:p>
        </w:tc>
        <w:tc>
          <w:tcPr>
            <w:tcW w:w="1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Month #3 (September 1 - September 30)</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318,902</w:t>
            </w:r>
          </w:p>
        </w:tc>
        <w:tc>
          <w:tcPr>
            <w:tcW w:w="3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300" w:type="dxa"/>
            <w:vAlign w:val="bottom"/>
            <w:tcBorders>
              <w:bottom w:val="single" w:sz="8" w:color="CFF0FC"/>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318,902</w:t>
            </w:r>
          </w:p>
        </w:tc>
        <w:tc>
          <w:tcPr>
            <w:tcW w:w="3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13,663,393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318,902</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30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318,902</w:t>
            </w:r>
          </w:p>
        </w:tc>
        <w:tc>
          <w:tcPr>
            <w:tcW w:w="3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13,663,393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80"/>
        <w:spacing w:after="0"/>
        <w:rPr>
          <w:sz w:val="20"/>
          <w:szCs w:val="20"/>
          <w:color w:val="auto"/>
        </w:rPr>
      </w:pPr>
      <w:r>
        <w:rPr>
          <w:rFonts w:ascii="Times New Roman" w:cs="Times New Roman" w:eastAsia="Times New Roman" w:hAnsi="Times New Roman"/>
          <w:sz w:val="14"/>
          <w:szCs w:val="14"/>
          <w:color w:val="auto"/>
        </w:rPr>
        <w:t>(1) The weighted average price paid per share of common stock does not include the cost of broker commissions.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10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Exhibits</w:t>
            </w:r>
          </w:p>
        </w:tc>
      </w:tr>
      <w:tr>
        <w:trPr>
          <w:trHeight w:val="426"/>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400" w:type="dxa"/>
            <w:vAlign w:val="bottom"/>
          </w:tcPr>
          <w:p>
            <w:pPr>
              <w:spacing w:after="0"/>
              <w:rPr>
                <w:sz w:val="24"/>
                <w:szCs w:val="24"/>
                <w:color w:val="auto"/>
              </w:rPr>
            </w:pPr>
          </w:p>
        </w:tc>
        <w:tc>
          <w:tcPr>
            <w:tcW w:w="10440" w:type="dxa"/>
            <w:vAlign w:val="bottom"/>
          </w:tcPr>
          <w:p>
            <w:pPr>
              <w:ind w:left="360"/>
              <w:spacing w:after="0"/>
              <w:rPr>
                <w:rFonts w:ascii="Times New Roman" w:cs="Times New Roman" w:eastAsia="Times New Roman" w:hAnsi="Times New Roman"/>
                <w:sz w:val="16"/>
                <w:szCs w:val="16"/>
                <w:u w:val="single" w:color="auto"/>
                <w:color w:val="0000EE"/>
              </w:rPr>
            </w:pPr>
            <w:hyperlink w:anchor="page35">
              <w:r>
                <w:rPr>
                  <w:rFonts w:ascii="Times New Roman" w:cs="Times New Roman" w:eastAsia="Times New Roman" w:hAnsi="Times New Roman"/>
                  <w:sz w:val="16"/>
                  <w:szCs w:val="16"/>
                  <w:u w:val="single" w:color="auto"/>
                  <w:color w:val="0000EE"/>
                </w:rPr>
                <w:t>Certification of the Chief Executive Officer Pursuant to Section 302 of the Sarbanes-Oxley Act of 2002</w:t>
              </w:r>
            </w:hyperlink>
          </w:p>
        </w:tc>
      </w:tr>
      <w:tr>
        <w:trPr>
          <w:trHeight w:val="338"/>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400" w:type="dxa"/>
            <w:vAlign w:val="bottom"/>
          </w:tcPr>
          <w:p>
            <w:pPr>
              <w:spacing w:after="0"/>
              <w:rPr>
                <w:sz w:val="24"/>
                <w:szCs w:val="24"/>
                <w:color w:val="auto"/>
              </w:rPr>
            </w:pPr>
          </w:p>
        </w:tc>
        <w:tc>
          <w:tcPr>
            <w:tcW w:w="10440" w:type="dxa"/>
            <w:vAlign w:val="bottom"/>
          </w:tcPr>
          <w:p>
            <w:pPr>
              <w:ind w:left="360"/>
              <w:spacing w:after="0"/>
              <w:rPr>
                <w:rFonts w:ascii="Times New Roman" w:cs="Times New Roman" w:eastAsia="Times New Roman" w:hAnsi="Times New Roman"/>
                <w:sz w:val="16"/>
                <w:szCs w:val="16"/>
                <w:u w:val="single" w:color="auto"/>
                <w:color w:val="0000EE"/>
              </w:rPr>
            </w:pPr>
            <w:hyperlink w:anchor="page36">
              <w:r>
                <w:rPr>
                  <w:rFonts w:ascii="Times New Roman" w:cs="Times New Roman" w:eastAsia="Times New Roman" w:hAnsi="Times New Roman"/>
                  <w:sz w:val="16"/>
                  <w:szCs w:val="16"/>
                  <w:u w:val="single" w:color="auto"/>
                  <w:color w:val="0000EE"/>
                </w:rPr>
                <w:t>Certification of the Principal Financial Officer Pursuant to Section 302 of the Sarbanes-Oxley Act of 2002</w:t>
              </w:r>
            </w:hyperlink>
          </w:p>
        </w:tc>
      </w:tr>
      <w:tr>
        <w:trPr>
          <w:trHeight w:val="338"/>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400" w:type="dxa"/>
            <w:vAlign w:val="bottom"/>
          </w:tcPr>
          <w:p>
            <w:pPr>
              <w:spacing w:after="0"/>
              <w:rPr>
                <w:sz w:val="24"/>
                <w:szCs w:val="24"/>
                <w:color w:val="auto"/>
              </w:rPr>
            </w:pPr>
          </w:p>
        </w:tc>
        <w:tc>
          <w:tcPr>
            <w:tcW w:w="10440" w:type="dxa"/>
            <w:vAlign w:val="bottom"/>
          </w:tcPr>
          <w:p>
            <w:pPr>
              <w:ind w:left="360"/>
              <w:spacing w:after="0"/>
              <w:rPr>
                <w:rFonts w:ascii="Times New Roman" w:cs="Times New Roman" w:eastAsia="Times New Roman" w:hAnsi="Times New Roman"/>
                <w:sz w:val="16"/>
                <w:szCs w:val="16"/>
                <w:u w:val="single" w:color="auto"/>
                <w:color w:val="0000EE"/>
              </w:rPr>
            </w:pPr>
            <w:hyperlink w:anchor="page37">
              <w:r>
                <w:rPr>
                  <w:rFonts w:ascii="Times New Roman" w:cs="Times New Roman" w:eastAsia="Times New Roman" w:hAnsi="Times New Roman"/>
                  <w:sz w:val="16"/>
                  <w:szCs w:val="16"/>
                  <w:u w:val="single" w:color="auto"/>
                  <w:color w:val="0000EE"/>
                </w:rPr>
                <w:t>Certification Pursuant to 18 U.S.C. Section 1350, as Adopted Pursuant to Section 906 of the Sarbanes-Oxley Act of 2002</w:t>
              </w:r>
            </w:hyperlink>
          </w:p>
        </w:tc>
      </w:tr>
      <w:tr>
        <w:trPr>
          <w:trHeight w:val="338"/>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400" w:type="dxa"/>
            <w:vAlign w:val="bottom"/>
          </w:tcPr>
          <w:p>
            <w:pPr>
              <w:spacing w:after="0"/>
              <w:rPr>
                <w:sz w:val="24"/>
                <w:szCs w:val="24"/>
                <w:color w:val="auto"/>
              </w:rPr>
            </w:pPr>
          </w:p>
        </w:tc>
        <w:tc>
          <w:tcPr>
            <w:tcW w:w="10440" w:type="dxa"/>
            <w:vAlign w:val="bottom"/>
          </w:tcPr>
          <w:p>
            <w:pPr>
              <w:ind w:left="360"/>
              <w:spacing w:after="0"/>
              <w:rPr>
                <w:rFonts w:ascii="Times New Roman" w:cs="Times New Roman" w:eastAsia="Times New Roman" w:hAnsi="Times New Roman"/>
                <w:sz w:val="16"/>
                <w:szCs w:val="16"/>
                <w:u w:val="single" w:color="auto"/>
                <w:color w:val="0000EE"/>
              </w:rPr>
            </w:pPr>
            <w:hyperlink w:anchor="page38">
              <w:r>
                <w:rPr>
                  <w:rFonts w:ascii="Times New Roman" w:cs="Times New Roman" w:eastAsia="Times New Roman" w:hAnsi="Times New Roman"/>
                  <w:sz w:val="16"/>
                  <w:szCs w:val="16"/>
                  <w:u w:val="single" w:color="auto"/>
                  <w:color w:val="0000EE"/>
                </w:rPr>
                <w:t>Certification Pursuant to 18 U.S.C. Section 1350, as Adopted Pursuant to Section 906 of the Sarbanes-Oxley Act of 2002</w:t>
              </w:r>
            </w:hyperlink>
          </w:p>
        </w:tc>
      </w:tr>
      <w:tr>
        <w:trPr>
          <w:trHeight w:val="330"/>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101.1</w:t>
            </w:r>
          </w:p>
        </w:tc>
        <w:tc>
          <w:tcPr>
            <w:tcW w:w="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INS</w:t>
            </w:r>
          </w:p>
        </w:tc>
        <w:tc>
          <w:tcPr>
            <w:tcW w:w="10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 are embedded within the</w:t>
            </w:r>
          </w:p>
        </w:tc>
      </w:tr>
      <w:tr>
        <w:trPr>
          <w:trHeight w:val="210"/>
        </w:trPr>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Inline XBRL document.</w:t>
            </w:r>
          </w:p>
        </w:tc>
      </w:tr>
      <w:tr>
        <w:trPr>
          <w:trHeight w:val="324"/>
        </w:trPr>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101.1 SCH</w:t>
            </w:r>
          </w:p>
        </w:tc>
        <w:tc>
          <w:tcPr>
            <w:tcW w:w="10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338"/>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101.1</w:t>
            </w:r>
          </w:p>
        </w:tc>
        <w:tc>
          <w:tcPr>
            <w:tcW w:w="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CAL</w:t>
            </w:r>
          </w:p>
        </w:tc>
        <w:tc>
          <w:tcPr>
            <w:tcW w:w="10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r>
      <w:tr>
        <w:trPr>
          <w:trHeight w:val="338"/>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101.1</w:t>
            </w:r>
          </w:p>
        </w:tc>
        <w:tc>
          <w:tcPr>
            <w:tcW w:w="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w:t>
            </w:r>
          </w:p>
        </w:tc>
        <w:tc>
          <w:tcPr>
            <w:tcW w:w="10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338"/>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101.1</w:t>
            </w:r>
          </w:p>
        </w:tc>
        <w:tc>
          <w:tcPr>
            <w:tcW w:w="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LAB</w:t>
            </w:r>
          </w:p>
        </w:tc>
        <w:tc>
          <w:tcPr>
            <w:tcW w:w="10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357"/>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101.1 PRE</w:t>
            </w:r>
          </w:p>
        </w:tc>
        <w:tc>
          <w:tcPr>
            <w:tcW w:w="10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bl>
    <w:p>
      <w:pPr>
        <w:spacing w:after="0" w:line="108" w:lineRule="exact"/>
        <w:rPr>
          <w:sz w:val="20"/>
          <w:szCs w:val="20"/>
          <w:color w:val="auto"/>
        </w:rPr>
      </w:pPr>
    </w:p>
    <w:p>
      <w:pPr>
        <w:ind w:left="1140" w:hanging="1132"/>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212529"/>
        </w:rPr>
        <w:t>The cover page from the Company’s Quarterly Report on Form 10-Q for the quarter ended September 30, 2020, has been formatted in Inline XBRL</w:t>
      </w:r>
    </w:p>
    <w:p>
      <w:pPr>
        <w:spacing w:after="0" w:line="200" w:lineRule="exact"/>
        <w:rPr>
          <w:rFonts w:ascii="Times New Roman" w:cs="Times New Roman" w:eastAsia="Times New Roman" w:hAnsi="Times New Roman"/>
          <w:sz w:val="18"/>
          <w:szCs w:val="18"/>
          <w:color w:val="auto"/>
        </w:rPr>
      </w:pPr>
    </w:p>
    <w:p>
      <w:pPr>
        <w:spacing w:after="0" w:line="37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HEALTHSTREAM, INC.</w:t>
            </w:r>
          </w:p>
        </w:tc>
      </w:tr>
      <w:tr>
        <w:trPr>
          <w:trHeight w:val="45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October 29, 2020</w:t>
            </w:r>
          </w:p>
        </w:tc>
        <w:tc>
          <w:tcPr>
            <w:tcW w:w="758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By:  /s/ S</w:t>
            </w:r>
            <w:r>
              <w:rPr>
                <w:rFonts w:ascii="Times New Roman" w:cs="Times New Roman" w:eastAsia="Times New Roman" w:hAnsi="Times New Roman"/>
                <w:sz w:val="12"/>
                <w:szCs w:val="12"/>
                <w:color w:val="auto"/>
              </w:rPr>
              <w:t>COTT</w:t>
            </w:r>
            <w:r>
              <w:rPr>
                <w:rFonts w:ascii="Times New Roman" w:cs="Times New Roman" w:eastAsia="Times New Roman" w:hAnsi="Times New Roman"/>
                <w:sz w:val="18"/>
                <w:szCs w:val="18"/>
                <w:color w:val="auto"/>
              </w:rPr>
              <w:t xml:space="preserve"> A. R</w:t>
            </w:r>
            <w:r>
              <w:rPr>
                <w:rFonts w:ascii="Times New Roman" w:cs="Times New Roman" w:eastAsia="Times New Roman" w:hAnsi="Times New Roman"/>
                <w:sz w:val="12"/>
                <w:szCs w:val="12"/>
                <w:color w:val="auto"/>
              </w:rPr>
              <w:t>OBERTS</w:t>
            </w:r>
          </w:p>
        </w:tc>
      </w:tr>
      <w:tr>
        <w:trPr>
          <w:trHeight w:val="191"/>
        </w:trPr>
        <w:tc>
          <w:tcPr>
            <w:tcW w:w="36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7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Scott A. Roberts</w:t>
            </w:r>
          </w:p>
        </w:tc>
      </w:tr>
      <w:tr>
        <w:trPr>
          <w:trHeight w:val="234"/>
        </w:trPr>
        <w:tc>
          <w:tcPr>
            <w:tcW w:w="36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34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Frist, Jr., certify that:</w:t>
      </w:r>
    </w:p>
    <w:p>
      <w:pPr>
        <w:spacing w:after="0" w:line="225"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HealthStream,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60" w:firstLine="8"/>
        <w:spacing w:after="0" w:line="266" w:lineRule="auto"/>
        <w:tabs>
          <w:tab w:leader="none" w:pos="75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60" w:firstLine="8"/>
        <w:spacing w:after="0" w:line="266" w:lineRule="auto"/>
        <w:tabs>
          <w:tab w:leader="none" w:pos="78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60" w:firstLine="8"/>
        <w:spacing w:after="0" w:line="282" w:lineRule="auto"/>
        <w:tabs>
          <w:tab w:leader="none" w:pos="78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60" w:firstLine="8"/>
        <w:spacing w:after="0" w:line="266" w:lineRule="auto"/>
        <w:tabs>
          <w:tab w:leader="none" w:pos="76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60" w:firstLine="8"/>
        <w:spacing w:after="0" w:line="282" w:lineRule="auto"/>
        <w:tabs>
          <w:tab w:leader="none" w:pos="7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60" w:right="20" w:firstLine="8"/>
        <w:spacing w:after="0" w:line="282" w:lineRule="auto"/>
        <w:tabs>
          <w:tab w:leader="none" w:pos="76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2020</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A. F</w:t>
            </w:r>
            <w:r>
              <w:rPr>
                <w:rFonts w:ascii="Times New Roman" w:cs="Times New Roman" w:eastAsia="Times New Roman" w:hAnsi="Times New Roman"/>
                <w:sz w:val="12"/>
                <w:szCs w:val="12"/>
                <w:color w:val="auto"/>
              </w:rPr>
              <w:t>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tc>
      </w:tr>
      <w:tr>
        <w:trPr>
          <w:trHeight w:val="211"/>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Robert A. Frist, Jr.</w:t>
            </w:r>
          </w:p>
        </w:tc>
      </w:tr>
      <w:tr>
        <w:trPr>
          <w:trHeight w:val="234"/>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34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A. Roberts, certify that:</w:t>
      </w:r>
    </w:p>
    <w:p>
      <w:pPr>
        <w:spacing w:after="0" w:line="225" w:lineRule="exact"/>
        <w:rPr>
          <w:sz w:val="20"/>
          <w:szCs w:val="20"/>
          <w:color w:val="auto"/>
        </w:rPr>
      </w:pPr>
    </w:p>
    <w:p>
      <w:pPr>
        <w:ind w:left="180" w:hanging="172"/>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HealthStream,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60" w:firstLine="8"/>
        <w:spacing w:after="0" w:line="266" w:lineRule="auto"/>
        <w:tabs>
          <w:tab w:leader="none" w:pos="75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60" w:firstLine="8"/>
        <w:spacing w:after="0" w:line="266" w:lineRule="auto"/>
        <w:tabs>
          <w:tab w:leader="none" w:pos="78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60" w:firstLine="8"/>
        <w:spacing w:after="0" w:line="282" w:lineRule="auto"/>
        <w:tabs>
          <w:tab w:leader="none" w:pos="78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60" w:firstLine="8"/>
        <w:spacing w:after="0" w:line="266" w:lineRule="auto"/>
        <w:tabs>
          <w:tab w:leader="none" w:pos="76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60" w:firstLine="8"/>
        <w:spacing w:after="0" w:line="282" w:lineRule="auto"/>
        <w:tabs>
          <w:tab w:leader="none" w:pos="7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60" w:right="20" w:firstLine="8"/>
        <w:spacing w:after="0" w:line="282" w:lineRule="auto"/>
        <w:tabs>
          <w:tab w:leader="none" w:pos="76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2020</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COTT</w:t>
            </w:r>
            <w:r>
              <w:rPr>
                <w:rFonts w:ascii="Times New Roman" w:cs="Times New Roman" w:eastAsia="Times New Roman" w:hAnsi="Times New Roman"/>
                <w:sz w:val="18"/>
                <w:szCs w:val="18"/>
                <w:color w:val="auto"/>
              </w:rPr>
              <w:t xml:space="preserve"> A. R</w:t>
            </w:r>
            <w:r>
              <w:rPr>
                <w:rFonts w:ascii="Times New Roman" w:cs="Times New Roman" w:eastAsia="Times New Roman" w:hAnsi="Times New Roman"/>
                <w:sz w:val="12"/>
                <w:szCs w:val="12"/>
                <w:color w:val="auto"/>
              </w:rPr>
              <w:t>OBERTS</w:t>
            </w:r>
          </w:p>
        </w:tc>
      </w:tr>
      <w:tr>
        <w:trPr>
          <w:trHeight w:val="211"/>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Scott A. Roberts</w:t>
            </w:r>
          </w:p>
        </w:tc>
      </w:tr>
      <w:tr>
        <w:trPr>
          <w:trHeight w:val="234"/>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34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HealthStream, Inc. (the “Company”) on Form 10-Q for the period ending September 30, 2020,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176" w:lineRule="exact"/>
        <w:rPr>
          <w:sz w:val="20"/>
          <w:szCs w:val="20"/>
          <w:color w:val="auto"/>
        </w:rPr>
      </w:pPr>
    </w:p>
    <w:p>
      <w:pPr>
        <w:ind w:left="1700" w:hanging="842"/>
        <w:spacing w:after="0"/>
        <w:tabs>
          <w:tab w:leader="none" w:pos="1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700" w:right="140" w:hanging="842"/>
        <w:spacing w:after="0" w:line="282" w:lineRule="auto"/>
        <w:tabs>
          <w:tab w:leader="none" w:pos="1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A. F</w:t>
      </w:r>
      <w:r>
        <w:rPr>
          <w:rFonts w:ascii="Times New Roman" w:cs="Times New Roman" w:eastAsia="Times New Roman" w:hAnsi="Times New Roman"/>
          <w:sz w:val="12"/>
          <w:szCs w:val="12"/>
          <w:color w:val="auto"/>
        </w:rPr>
        <w:t>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Frist, Jr.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2020</w:t>
      </w:r>
    </w:p>
    <w:p>
      <w:pPr>
        <w:sectPr>
          <w:pgSz w:w="11900" w:h="16838" w:orient="portrait"/>
          <w:cols w:equalWidth="0" w:num="1">
            <w:col w:w="11240"/>
          </w:cols>
          <w:pgMar w:left="320" w:top="34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HealthStream, Inc. (the “Company”) on Form 10-Q for the period ending September 30, 2020, as filed with the Securities and Exchange Commission on the date hereof (the “Report”), Scott A. Roberts, Chief Financial Officer of the Company, certifies, pursuant to 18 U.S.C. Section 1350, as adopted pursuant to Section 906 of the Sarbanes-Oxley Act of 2002, that:</w:t>
      </w:r>
    </w:p>
    <w:p>
      <w:pPr>
        <w:spacing w:after="0" w:line="176" w:lineRule="exact"/>
        <w:rPr>
          <w:sz w:val="20"/>
          <w:szCs w:val="20"/>
          <w:color w:val="auto"/>
        </w:rPr>
      </w:pPr>
    </w:p>
    <w:p>
      <w:pPr>
        <w:ind w:left="1700" w:hanging="842"/>
        <w:spacing w:after="0"/>
        <w:tabs>
          <w:tab w:leader="none" w:pos="1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700" w:right="140" w:hanging="842"/>
        <w:spacing w:after="0" w:line="282" w:lineRule="auto"/>
        <w:tabs>
          <w:tab w:leader="none" w:pos="1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COTT</w:t>
      </w:r>
      <w:r>
        <w:rPr>
          <w:rFonts w:ascii="Times New Roman" w:cs="Times New Roman" w:eastAsia="Times New Roman" w:hAnsi="Times New Roman"/>
          <w:sz w:val="18"/>
          <w:szCs w:val="18"/>
          <w:color w:val="auto"/>
        </w:rPr>
        <w:t xml:space="preserve"> A. R</w:t>
      </w:r>
      <w:r>
        <w:rPr>
          <w:rFonts w:ascii="Times New Roman" w:cs="Times New Roman" w:eastAsia="Times New Roman" w:hAnsi="Times New Roman"/>
          <w:sz w:val="12"/>
          <w:szCs w:val="12"/>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A. Roberts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2020</w:t>
      </w: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2"/>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04"/>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2020-10-29T15:50:52Z</dcterms:created>
  <dcterms:modified xsi:type="dcterms:W3CDTF">2020-10-29T15:50:52Z</dcterms:modified>
</cp:coreProperties>
</file>