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3"/>
              </w:rPr>
              <w:t>Tennessee</w:t>
            </w:r>
          </w:p>
        </w:tc>
        <w:tc>
          <w:tcPr>
            <w:tcW w:w="4440" w:type="dxa"/>
            <w:vAlign w:val="bottom"/>
            <w:gridSpan w:val="4"/>
          </w:tcPr>
          <w:p>
            <w:pPr>
              <w:spacing w:after="0"/>
              <w:rPr>
                <w:sz w:val="18"/>
                <w:szCs w:val="18"/>
                <w:color w:val="auto"/>
              </w:rPr>
            </w:pPr>
          </w:p>
        </w:tc>
        <w:tc>
          <w:tcPr>
            <w:tcW w:w="15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62-1443555</w:t>
            </w: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6"/>
        </w:trPr>
        <w:tc>
          <w:tcPr>
            <w:tcW w:w="6100" w:type="dxa"/>
            <w:vAlign w:val="bottom"/>
            <w:gridSpan w:val="7"/>
          </w:tcPr>
          <w:p>
            <w:pPr>
              <w:jc w:val="center"/>
              <w:ind w:right="3540"/>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gridSpan w:val="5"/>
          </w:tcPr>
          <w:p>
            <w:pPr>
              <w:jc w:val="center"/>
              <w:ind w:left="30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gridSpan w:val="7"/>
          </w:tcPr>
          <w:p>
            <w:pPr>
              <w:jc w:val="center"/>
              <w:ind w:right="354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gridSpan w:val="5"/>
          </w:tcPr>
          <w:p>
            <w:pPr>
              <w:jc w:val="center"/>
              <w:ind w:left="282"/>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00" w:type="dxa"/>
            <w:vAlign w:val="bottom"/>
            <w:gridSpan w:val="7"/>
          </w:tcPr>
          <w:p>
            <w:pPr>
              <w:jc w:val="center"/>
              <w:ind w:right="3560"/>
              <w:spacing w:after="0"/>
              <w:rPr>
                <w:sz w:val="20"/>
                <w:szCs w:val="20"/>
                <w:color w:val="auto"/>
              </w:rPr>
            </w:pPr>
            <w:r>
              <w:rPr>
                <w:rFonts w:ascii="Arial" w:cs="Arial" w:eastAsia="Arial" w:hAnsi="Arial"/>
                <w:sz w:val="18"/>
                <w:szCs w:val="18"/>
                <w:b w:val="1"/>
                <w:bCs w:val="1"/>
                <w:color w:val="auto"/>
                <w:w w:val="88"/>
              </w:rPr>
              <w:t>209 10th Avenue South, Suite 450</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4"/>
        </w:trPr>
        <w:tc>
          <w:tcPr>
            <w:tcW w:w="480" w:type="dxa"/>
            <w:vAlign w:val="bottom"/>
          </w:tcPr>
          <w:p>
            <w:pPr>
              <w:spacing w:after="0"/>
              <w:rPr>
                <w:sz w:val="18"/>
                <w:szCs w:val="18"/>
                <w:color w:val="auto"/>
              </w:rPr>
            </w:pPr>
          </w:p>
        </w:tc>
        <w:tc>
          <w:tcPr>
            <w:tcW w:w="15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Nashville, Tennessee</w:t>
            </w:r>
          </w:p>
        </w:tc>
        <w:tc>
          <w:tcPr>
            <w:tcW w:w="4040" w:type="dxa"/>
            <w:vAlign w:val="bottom"/>
            <w:gridSpan w:val="3"/>
          </w:tcPr>
          <w:p>
            <w:pPr>
              <w:spacing w:after="0"/>
              <w:rPr>
                <w:sz w:val="18"/>
                <w:szCs w:val="18"/>
                <w:color w:val="auto"/>
              </w:rPr>
            </w:pPr>
          </w:p>
        </w:tc>
        <w:tc>
          <w:tcPr>
            <w:tcW w:w="700" w:type="dxa"/>
            <w:vAlign w:val="bottom"/>
            <w:gridSpan w:val="2"/>
          </w:tcPr>
          <w:p>
            <w:pPr>
              <w:spacing w:after="0"/>
              <w:rPr>
                <w:sz w:val="18"/>
                <w:szCs w:val="18"/>
                <w:color w:val="auto"/>
              </w:rPr>
            </w:pPr>
          </w:p>
        </w:tc>
        <w:tc>
          <w:tcPr>
            <w:tcW w:w="4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8"/>
                <w:szCs w:val="18"/>
                <w:b w:val="1"/>
                <w:bCs w:val="1"/>
                <w:color w:val="auto"/>
                <w:w w:val="87"/>
              </w:rPr>
              <w:t>37203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78"/>
        </w:trPr>
        <w:tc>
          <w:tcPr>
            <w:tcW w:w="6100" w:type="dxa"/>
            <w:vAlign w:val="bottom"/>
            <w:gridSpan w:val="7"/>
          </w:tcPr>
          <w:p>
            <w:pPr>
              <w:jc w:val="center"/>
              <w:ind w:right="3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0" w:type="dxa"/>
            <w:vAlign w:val="bottom"/>
          </w:tcPr>
          <w:p>
            <w:pPr>
              <w:spacing w:after="0"/>
              <w:rPr>
                <w:sz w:val="15"/>
                <w:szCs w:val="15"/>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(Zip Code)</w:t>
            </w:r>
          </w:p>
        </w:tc>
      </w:tr>
      <w:tr>
        <w:trPr>
          <w:trHeight w:val="377"/>
        </w:trPr>
        <w:tc>
          <w:tcPr>
            <w:tcW w:w="4660" w:type="dxa"/>
            <w:vAlign w:val="bottom"/>
            <w:gridSpan w:val="6"/>
          </w:tcPr>
          <w:p>
            <w:pPr>
              <w:jc w:val="right"/>
              <w:spacing w:after="0"/>
              <w:rPr>
                <w:sz w:val="20"/>
                <w:szCs w:val="20"/>
                <w:color w:val="auto"/>
              </w:rPr>
            </w:pPr>
            <w:r>
              <w:rPr>
                <w:rFonts w:ascii="Arial" w:cs="Arial" w:eastAsia="Arial" w:hAnsi="Arial"/>
                <w:sz w:val="18"/>
                <w:szCs w:val="18"/>
                <w:b w:val="1"/>
                <w:bCs w:val="1"/>
                <w:color w:val="auto"/>
              </w:rPr>
              <w:t>(615) 301-3100</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July 27, 2015, there were 31,639,938 shares of the registrant’s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94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9940" w:type="dxa"/>
            <w:vAlign w:val="bottom"/>
            <w:gridSpan w:val="1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0" w:type="dxa"/>
            <w:vAlign w:val="bottom"/>
            <w:tcBorders>
              <w:top w:val="single" w:sz="8" w:color="0000EE"/>
            </w:tcBorders>
          </w:tcPr>
          <w:p>
            <w:pPr>
              <w:spacing w:after="0"/>
              <w:rPr>
                <w:sz w:val="24"/>
                <w:szCs w:val="24"/>
                <w:color w:val="auto"/>
              </w:rPr>
            </w:pPr>
          </w:p>
        </w:tc>
        <w:tc>
          <w:tcPr>
            <w:tcW w:w="836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Sheets—June 30, 2015 (Unaudited) and December 31, 2014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(Unaudited)—Three and Six Months ended June 30, 2015 and 2014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(Unaudited)—Three and Six Months ended June 30, 2015 and 2014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(Unaudited)—Six Months ended June 30, 2015</w:t>
              </w:r>
            </w:hyperlink>
          </w:p>
        </w:tc>
        <w:tc>
          <w:tcPr>
            <w:tcW w:w="4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(Unaudited)—Six Months ended June 30, 2015 and 2014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2960" w:type="dxa"/>
            <w:vAlign w:val="bottom"/>
            <w:tcBorders>
              <w:top w:val="single" w:sz="8" w:color="0000EE"/>
            </w:tcBorders>
            <w:gridSpan w:val="4"/>
          </w:tcPr>
          <w:p>
            <w:pPr>
              <w:spacing w:after="0"/>
              <w:rPr>
                <w:sz w:val="17"/>
                <w:szCs w:val="17"/>
                <w:color w:val="auto"/>
              </w:rPr>
            </w:pPr>
          </w:p>
        </w:tc>
        <w:tc>
          <w:tcPr>
            <w:tcW w:w="206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8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816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994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558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94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4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Signature</w:t>
              </w:r>
            </w:hyperlink>
          </w:p>
        </w:tc>
        <w:tc>
          <w:tcPr>
            <w:tcW w:w="924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1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81,995</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85,408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38,973</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$301 and $331 at June 30, 2015 and December 31,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2014, 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33,405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33,167</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receivable—unbilled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royalties, net of amortization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prepaid expenses and other current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6,511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91"/>
        </w:trPr>
        <w:tc>
          <w:tcPr>
            <w:tcW w:w="92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198,868</w:t>
            </w: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29,051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25,133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75"/>
        </w:trPr>
        <w:tc>
          <w:tcPr>
            <w:tcW w:w="9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39,764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35,547</w:t>
            </w: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(28,482)</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(26,105)</w:t>
            </w:r>
          </w:p>
        </w:tc>
        <w:tc>
          <w:tcPr>
            <w:tcW w:w="0" w:type="dxa"/>
            <w:vAlign w:val="bottom"/>
          </w:tcPr>
          <w:p>
            <w:pPr>
              <w:spacing w:after="0"/>
              <w:rPr>
                <w:sz w:val="1"/>
                <w:szCs w:val="1"/>
                <w:color w:val="auto"/>
              </w:rPr>
            </w:pPr>
          </w:p>
        </w:tc>
      </w:tr>
      <w:tr>
        <w:trPr>
          <w:trHeight w:val="75"/>
        </w:trPr>
        <w:tc>
          <w:tcPr>
            <w:tcW w:w="9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02"/>
        </w:trPr>
        <w:tc>
          <w:tcPr>
            <w:tcW w:w="9280" w:type="dxa"/>
            <w:vAlign w:val="bottom"/>
          </w:tcPr>
          <w:p>
            <w:pPr>
              <w:spacing w:after="0" w:line="201" w:lineRule="exact"/>
              <w:rPr>
                <w:sz w:val="20"/>
                <w:szCs w:val="20"/>
                <w:color w:val="auto"/>
              </w:rPr>
            </w:pPr>
            <w:r>
              <w:rPr>
                <w:rFonts w:ascii="Arial" w:cs="Arial" w:eastAsia="Arial" w:hAnsi="Arial"/>
                <w:sz w:val="18"/>
                <w:szCs w:val="18"/>
                <w:color w:val="auto"/>
              </w:rPr>
              <w:t>Capitalized software development, net of accumulated amortization of $20,752 and $18,114 at June 30, 2015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180"/>
              <w:spacing w:after="0"/>
              <w:rPr>
                <w:sz w:val="20"/>
                <w:szCs w:val="20"/>
                <w:color w:val="auto"/>
              </w:rPr>
            </w:pPr>
            <w:r>
              <w:rPr>
                <w:rFonts w:ascii="Arial" w:cs="Arial" w:eastAsia="Arial" w:hAnsi="Arial"/>
                <w:sz w:val="18"/>
                <w:szCs w:val="18"/>
                <w:color w:val="auto"/>
              </w:rPr>
              <w:t>December 31, 2014, respectively</w:t>
            </w: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13,634</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83,990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41,914</w:t>
            </w:r>
          </w:p>
        </w:tc>
        <w:tc>
          <w:tcPr>
            <w:tcW w:w="0" w:type="dxa"/>
            <w:vAlign w:val="bottom"/>
          </w:tcPr>
          <w:p>
            <w:pPr>
              <w:spacing w:after="0"/>
              <w:rPr>
                <w:sz w:val="1"/>
                <w:szCs w:val="1"/>
                <w:color w:val="auto"/>
              </w:rPr>
            </w:pPr>
          </w:p>
        </w:tc>
      </w:tr>
      <w:tr>
        <w:trPr>
          <w:trHeight w:val="202"/>
        </w:trPr>
        <w:tc>
          <w:tcPr>
            <w:tcW w:w="9280" w:type="dxa"/>
            <w:vAlign w:val="bottom"/>
          </w:tcPr>
          <w:p>
            <w:pPr>
              <w:spacing w:after="0" w:line="201" w:lineRule="exact"/>
              <w:rPr>
                <w:sz w:val="20"/>
                <w:szCs w:val="20"/>
                <w:color w:val="auto"/>
              </w:rPr>
            </w:pPr>
            <w:r>
              <w:rPr>
                <w:rFonts w:ascii="Arial" w:cs="Arial" w:eastAsia="Arial" w:hAnsi="Arial"/>
                <w:sz w:val="18"/>
                <w:szCs w:val="18"/>
                <w:color w:val="auto"/>
                <w:w w:val="98"/>
              </w:rPr>
              <w:t>Intangible assets, net of accumulated amortization of $16,226 and $13,834 at June 30, 2015 and December 31, 2014,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59,603</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14,795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Non-marketable equity investments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75"/>
        </w:trPr>
        <w:tc>
          <w:tcPr>
            <w:tcW w:w="9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371,350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257,262</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3,049</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royalties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9,255</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9,658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64,945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53,716</w:t>
            </w:r>
          </w:p>
        </w:tc>
        <w:tc>
          <w:tcPr>
            <w:tcW w:w="0" w:type="dxa"/>
            <w:vAlign w:val="bottom"/>
          </w:tcPr>
          <w:p>
            <w:pPr>
              <w:spacing w:after="0"/>
              <w:rPr>
                <w:sz w:val="1"/>
                <w:szCs w:val="1"/>
                <w:color w:val="auto"/>
              </w:rPr>
            </w:pPr>
          </w:p>
        </w:tc>
      </w:tr>
      <w:tr>
        <w:trPr>
          <w:trHeight w:val="75"/>
        </w:trPr>
        <w:tc>
          <w:tcPr>
            <w:tcW w:w="9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86,963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77,259</w:t>
            </w:r>
          </w:p>
        </w:tc>
        <w:tc>
          <w:tcPr>
            <w:tcW w:w="0" w:type="dxa"/>
            <w:vAlign w:val="bottom"/>
          </w:tcPr>
          <w:p>
            <w:pPr>
              <w:spacing w:after="0"/>
              <w:rPr>
                <w:sz w:val="1"/>
                <w:szCs w:val="1"/>
                <w:color w:val="auto"/>
              </w:rPr>
            </w:pPr>
          </w:p>
        </w:tc>
      </w:tr>
      <w:tr>
        <w:trPr>
          <w:trHeight w:val="324"/>
        </w:trPr>
        <w:tc>
          <w:tcPr>
            <w:tcW w:w="928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5,654</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2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no par value, 75,000 shares authorized; 31,640 and 27,677 shares issued and outstanding at June 30,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2015 and December 31, 2014, respectively</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274,816</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174,926</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(2,835)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91"/>
        </w:trPr>
        <w:tc>
          <w:tcPr>
            <w:tcW w:w="928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271,903</w:t>
            </w:r>
          </w:p>
        </w:tc>
        <w:tc>
          <w:tcPr>
            <w:tcW w:w="4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371,350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257,262</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420"/>
          </w:cols>
          <w:pgMar w:left="240" w:top="459" w:right="239" w:bottom="1111"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9" w:right="239" w:bottom="1111"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June 30,</w:t>
            </w: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52,145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42,476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99,301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22,432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18,738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42,625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5,815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10,460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10,328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17,675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13,678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49,581</w:t>
            </w:r>
          </w:p>
        </w:tc>
        <w:tc>
          <w:tcPr>
            <w:tcW w:w="1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38,366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91,947</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73,417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3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3,124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32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3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Basic</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29,234</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27,567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28,469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29,617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28,043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28,843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5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44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5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70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2"/>
              </w:rPr>
              <w:t>June 30,</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2"/>
              </w:rPr>
              <w:t>June 30,</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6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66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6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$4,195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2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3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$ 1,411</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2,378</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4,154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18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27,677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$174,926</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w w:val="72"/>
              </w:rPr>
              <w:t>(37)</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3,870</w:t>
            </w:r>
          </w:p>
        </w:tc>
        <w:tc>
          <w:tcPr>
            <w:tcW w:w="260" w:type="dxa"/>
            <w:vAlign w:val="bottom"/>
          </w:tcPr>
          <w:p>
            <w:pPr>
              <w:spacing w:after="0"/>
              <w:rPr>
                <w:sz w:val="18"/>
                <w:szCs w:val="18"/>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98,014</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98,014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2,347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 donated to Company</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 withheld for</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taxes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4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31,640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274,816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(2,835)</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271,903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4,195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7,509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Stock based compensation expense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2,347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Accounts and unbilled receivables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3,055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royalties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Other prepaid expenses and other current assets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(1,703)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royalties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580" w:type="dxa"/>
            <w:vAlign w:val="bottom"/>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19,131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Business combinations, net of cash acquired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(88,075)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29,915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(76,768)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Payments to acquire equity method investments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(3,566)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5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(143,548)</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(20,826)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98,014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borrowings under revolving line of credit facility</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28,000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revolving line of credit facility</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Payment of earn-outs related to business combinations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58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96,915</w:t>
            </w:r>
          </w:p>
        </w:tc>
        <w:tc>
          <w:tcPr>
            <w:tcW w:w="4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81,995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59,537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60,862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in connection with business combination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2015 are not necessarily indicative of the results that may be expected for the year ending December 31, 2015.</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balance sheet at December 31, 2014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2014 included in the Company’s Annual Report on Form 10-K (the “Form 10-K”), filed with the Securities and Exchange Commission on February 27, 2015, and our Current Report on Form 8-K filed on May 18, 2015 (the “Form 8-K”) to retrospectively reflect for the periods included in the Form 10-K the addition of HealthStream Provider Solutions as a new reporting segment of the Company which occurred during the first quarter of 2015. The Form 8-K did not modify our previously reported financial statements for the periods included in the Form 10-K other than the change in business segment presentation.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which supersedes the revenue recognition requirements in Topic 605,</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and most industry-specific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early adoption is permitted for the first interim period within annual reporting periods beginning after December 15, 2016. The Company is currently reviewing this standard to assess the impact on its future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During the six months ended June 30, 2015 and 2014, the Company recorded a provision for income taxes of approximately $3.1 million and $3.2 million, respectively. The Company’s effective tax rate for the six months ended June 30, 2015 and 2014 was 42.7% and 42.3%, respectively. The Company’s effective tax rate primarily reflects the statutory corporate income tax rate, the net effect of state taxes, and the effect of various permanent tax differences.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two stock incentive plans. The Company accounts for its stock based compensation plans using the fair-value based method for costs related to share-based payments, including stock options, restricted share units (RSUs), and other stock awards. During the six months ended June 30, 2015, the Company issued 76,855 RSUs with a weighted average grant date fair value of $25.64 per share, and the Company issued 49,310 stock awards, with weighted average grant date fair value of $30.42 per share. Both measurements were based on the closing fair market value of the Company’s stock on the date of grant. During the six months ended June 30, 2014, the Company issued 70,080 RSUs with a weighted average grant date fair value of $28.71 per share. This measurement was based on the closing fair market value of the Company’s stock on the date of grant.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 (continued)</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2015 and 2014, which is recorded in the condensed consolidated statements of income, is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center"/>
              <w:ind w:right="300"/>
              <w:spacing w:after="0"/>
              <w:rPr>
                <w:sz w:val="20"/>
                <w:szCs w:val="20"/>
                <w:color w:val="auto"/>
              </w:rPr>
            </w:pPr>
            <w:r>
              <w:rPr>
                <w:rFonts w:ascii="Arial" w:cs="Arial" w:eastAsia="Arial" w:hAnsi="Arial"/>
                <w:sz w:val="14"/>
                <w:szCs w:val="14"/>
                <w:color w:val="auto"/>
                <w:w w:val="94"/>
              </w:rPr>
              <w:t>Three Months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left="178"/>
              <w:spacing w:after="0" w:line="149" w:lineRule="exact"/>
              <w:rPr>
                <w:sz w:val="20"/>
                <w:szCs w:val="20"/>
                <w:color w:val="auto"/>
              </w:rPr>
            </w:pPr>
            <w:r>
              <w:rPr>
                <w:rFonts w:ascii="Arial" w:cs="Arial" w:eastAsia="Arial" w:hAnsi="Arial"/>
                <w:sz w:val="14"/>
                <w:szCs w:val="14"/>
                <w:color w:val="auto"/>
                <w:w w:val="93"/>
              </w:rPr>
              <w:t>Ended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6"/>
          </w:tcPr>
          <w:p>
            <w:pPr>
              <w:spacing w:after="0" w:line="149" w:lineRule="exact"/>
              <w:rPr>
                <w:sz w:val="20"/>
                <w:szCs w:val="20"/>
                <w:color w:val="auto"/>
              </w:rPr>
            </w:pPr>
            <w:r>
              <w:rPr>
                <w:rFonts w:ascii="Arial" w:cs="Arial" w:eastAsia="Arial" w:hAnsi="Arial"/>
                <w:sz w:val="14"/>
                <w:szCs w:val="14"/>
                <w:color w:val="auto"/>
              </w:rPr>
              <w:t>Six Months Ended</w:t>
            </w:r>
          </w:p>
        </w:tc>
      </w:tr>
      <w:tr>
        <w:trPr>
          <w:trHeight w:val="167"/>
        </w:trPr>
        <w:tc>
          <w:tcPr>
            <w:tcW w:w="5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4"/>
                <w:szCs w:val="14"/>
                <w:color w:val="auto"/>
                <w:w w:val="89"/>
              </w:rPr>
              <w:t>June 30,</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8"/>
              <w:spacing w:after="0" w:line="142" w:lineRule="exact"/>
              <w:rPr>
                <w:sz w:val="20"/>
                <w:szCs w:val="20"/>
                <w:color w:val="auto"/>
              </w:rPr>
            </w:pPr>
            <w:r>
              <w:rPr>
                <w:rFonts w:ascii="Arial" w:cs="Arial" w:eastAsia="Arial" w:hAnsi="Arial"/>
                <w:sz w:val="14"/>
                <w:szCs w:val="14"/>
                <w:color w:val="auto"/>
                <w:w w:val="89"/>
              </w:rPr>
              <w:t>2015</w:t>
            </w:r>
          </w:p>
        </w:tc>
        <w:tc>
          <w:tcPr>
            <w:tcW w:w="4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2014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color w:val="auto"/>
              </w:rPr>
              <w:t>2015</w:t>
            </w:r>
          </w:p>
        </w:tc>
        <w:tc>
          <w:tcPr>
            <w:tcW w:w="380" w:type="dxa"/>
            <w:vAlign w:val="bottom"/>
          </w:tcPr>
          <w:p>
            <w:pPr>
              <w:spacing w:after="0"/>
              <w:rPr>
                <w:sz w:val="12"/>
                <w:szCs w:val="12"/>
                <w:color w:val="auto"/>
              </w:rPr>
            </w:pPr>
          </w:p>
        </w:tc>
        <w:tc>
          <w:tcPr>
            <w:tcW w:w="3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Product development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103</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594</w:t>
            </w:r>
          </w:p>
        </w:tc>
      </w:tr>
      <w:tr>
        <w:trPr>
          <w:trHeight w:val="75"/>
        </w:trPr>
        <w:tc>
          <w:tcPr>
            <w:tcW w:w="59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1,938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2,347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834</w:t>
            </w:r>
          </w:p>
        </w:tc>
      </w:tr>
      <w:tr>
        <w:trPr>
          <w:trHeight w:val="20"/>
        </w:trPr>
        <w:tc>
          <w:tcPr>
            <w:tcW w:w="5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Awards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June 2015, the Company’s Chief Executive Officer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HealthStream, Inc. common stock to over 600 employees who were not otherwise eligible to receive equity awards and had at least one year of service with the Company. The Company recognized approximately $1.5 million of stock based compensation expense for these stock awards based on the closing fair market value of the Company’s stock on the date of the Company’s approval of these grants. In connection with these equity awards, effective in the second quarter of 2015, the Company withheld shares with value equivalent to the employees’ minimum statutory obligation for the applicable income and other employment taxes, and remitted the cash to the appropriate taxing authorities. The total shares withheld were 17,279, and were based on the value of the stock awards on the date of the Company’s approval of these grants, as determined by the Company’s closing stock price on that date. Total payments related to the employees’ tax obligations to taxing authorities for these stock awards were approximately $526,000, and are reflected as a financing activity within the Condensed Consolidated Statements of Cash Flows. These share withholdings had the effect of share repurchases by the Company as they reduced and retired the number of shares otherwise issuable as a result of the stock awards and did not represent an expense to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potentially dilutive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was approximately -0- and 70,000 for the three months ended June 30, 2015 and 2014, respectively, and approximately 7,000 and 119,000 for the six months ended June 30, 2015 and 2014, respectively.</w:t>
      </w:r>
    </w:p>
    <w:p>
      <w:pPr>
        <w:spacing w:after="0" w:line="16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six months ended June 30, 2015 and 2014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ind w:left="1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2015</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2014</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1,473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2,364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4,195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29,234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27,567</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28,469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Effect of dilutive shares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Weighted-average diluted shares</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29,617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28,043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28,843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6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59" w:right="259"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June 30, 2015 and December 31, 2014,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June 30, 2015</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95"/>
              </w:rPr>
              <w:t>Adjusted</w:t>
            </w:r>
          </w:p>
        </w:tc>
        <w:tc>
          <w:tcPr>
            <w:tcW w:w="280" w:type="dxa"/>
            <w:vAlign w:val="bottom"/>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4"/>
                <w:szCs w:val="14"/>
                <w:color w:val="auto"/>
                <w:w w:val="89"/>
              </w:rPr>
              <w:t>Unrealized</w:t>
            </w:r>
          </w:p>
        </w:tc>
        <w:tc>
          <w:tcPr>
            <w:tcW w:w="560" w:type="dxa"/>
            <w:vAlign w:val="bottom"/>
          </w:tcPr>
          <w:p>
            <w:pPr>
              <w:spacing w:after="0"/>
              <w:rPr>
                <w:sz w:val="10"/>
                <w:szCs w:val="10"/>
                <w:color w:val="auto"/>
              </w:rPr>
            </w:pP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Gains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Losses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6,291</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79,195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220" w:type="dxa"/>
            <w:vAlign w:val="bottom"/>
          </w:tcPr>
          <w:p>
            <w:pPr>
              <w:ind w:left="700"/>
              <w:spacing w:after="0"/>
              <w:rPr>
                <w:sz w:val="20"/>
                <w:szCs w:val="20"/>
                <w:color w:val="auto"/>
              </w:rPr>
            </w:pPr>
            <w:r>
              <w:rPr>
                <w:rFonts w:ascii="Arial" w:cs="Arial" w:eastAsia="Arial" w:hAnsi="Arial"/>
                <w:sz w:val="18"/>
                <w:szCs w:val="18"/>
                <w:color w:val="auto"/>
              </w:rPr>
              <w:t>Subtotal</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85,486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85,408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85,486</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85,408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color w:val="auto"/>
              </w:rPr>
              <w:t>December 31, 2014</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95"/>
              </w:rPr>
              <w:t>Adjusted</w:t>
            </w:r>
          </w:p>
        </w:tc>
        <w:tc>
          <w:tcPr>
            <w:tcW w:w="280" w:type="dxa"/>
            <w:vAlign w:val="bottom"/>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4"/>
                <w:szCs w:val="14"/>
                <w:color w:val="auto"/>
                <w:w w:val="89"/>
              </w:rPr>
              <w:t>Unrealized</w:t>
            </w:r>
          </w:p>
        </w:tc>
        <w:tc>
          <w:tcPr>
            <w:tcW w:w="560" w:type="dxa"/>
            <w:vAlign w:val="bottom"/>
          </w:tcPr>
          <w:p>
            <w:pPr>
              <w:spacing w:after="0"/>
              <w:rPr>
                <w:sz w:val="10"/>
                <w:szCs w:val="10"/>
                <w:color w:val="auto"/>
              </w:rPr>
            </w:pP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Gains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Losses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6,278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32,732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220" w:type="dxa"/>
            <w:vAlign w:val="bottom"/>
          </w:tcPr>
          <w:p>
            <w:pPr>
              <w:ind w:left="700"/>
              <w:spacing w:after="0"/>
              <w:rPr>
                <w:sz w:val="20"/>
                <w:szCs w:val="20"/>
                <w:color w:val="auto"/>
              </w:rPr>
            </w:pPr>
            <w:r>
              <w:rPr>
                <w:rFonts w:ascii="Arial" w:cs="Arial" w:eastAsia="Arial" w:hAnsi="Arial"/>
                <w:sz w:val="18"/>
                <w:szCs w:val="18"/>
                <w:color w:val="auto"/>
              </w:rPr>
              <w:t>Subtotal</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39,010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38,973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39,010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38,973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June 30, 2015, the Company does not consider any of its marketable securities to be other than temporarily impaired. During the six months ended June 30, 2015 and 2014,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HealthLine Systems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16, 2015, the Company acquired all of the membership interests of HealthLine Systems, LLC (HLS), a San Diego, California based company that specializes in credentialing, privileging, call center, and quality management solutions for the healthcare industry. The acquisition of HLS enables the Company to provide a comprehensive solution set for healthcare provider credentialing, privileging, enrollment, referral, onboarding, and analytics in support of HealthStream’s approach to talent management for healthcare organizations. The consideration paid for HLS consisted of approximately $88.1 million in cash (taking into account an estimated closing working capital adjustment). The Company incurred approximately $1.3 million in transaction costs associated with the acquisition, of which $965,000 were incurred during the three months ended March 31, 2015 and $329,000 were incurred during the year ended December 31, 2014. The transaction costs were recorded in other general and administrative expenses in the condensed consolidated statement of income. The results of operations for HLS have been included in the Company’s condensed consolidated financial statements from the date of acquisition, and are also included in the HealthStream Provider Solutions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A summary of the purchase price is as follows (in thousands):</w:t>
            </w:r>
          </w:p>
        </w:tc>
        <w:tc>
          <w:tcPr>
            <w:tcW w:w="3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32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Cash held in escrow</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840" w:type="dxa"/>
            <w:vAlign w:val="bottom"/>
          </w:tcPr>
          <w:p>
            <w:pPr>
              <w:spacing w:after="0"/>
              <w:rPr>
                <w:sz w:val="6"/>
                <w:szCs w:val="6"/>
                <w:color w:val="auto"/>
              </w:rPr>
            </w:pPr>
          </w:p>
        </w:tc>
        <w:tc>
          <w:tcPr>
            <w:tcW w:w="32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consideration paid</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vMerge w:val="restart"/>
          </w:tcPr>
          <w:p>
            <w:pPr>
              <w:jc w:val="right"/>
              <w:ind w:right="305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42,076</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47,200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(1,886)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(6,092)</w:t>
            </w: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7040" w:type="dxa"/>
            <w:vAlign w:val="bottom"/>
          </w:tcPr>
          <w:p>
            <w:pPr>
              <w:ind w:left="360"/>
              <w:spacing w:after="0"/>
              <w:rPr>
                <w:sz w:val="20"/>
                <w:szCs w:val="20"/>
                <w:color w:val="auto"/>
              </w:rPr>
            </w:pPr>
            <w:r>
              <w:rPr>
                <w:rFonts w:ascii="Arial" w:cs="Arial" w:eastAsia="Arial" w:hAnsi="Arial"/>
                <w:sz w:val="18"/>
                <w:szCs w:val="18"/>
                <w:color w:val="auto"/>
              </w:rPr>
              <w:t>Preliminary net assets acquired</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88,129</w:t>
            </w:r>
          </w:p>
        </w:tc>
        <w:tc>
          <w:tcPr>
            <w:tcW w:w="120" w:type="dxa"/>
            <w:vAlign w:val="bottom"/>
          </w:tcPr>
          <w:p>
            <w:pPr>
              <w:spacing w:after="0"/>
              <w:rPr>
                <w:sz w:val="24"/>
                <w:szCs w:val="24"/>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excess of preliminary purchase price over the preliminary fair values of net tangible and intangible assets will be recorded as goodwill. The preliminary fair values of tangible and identifiable intangible assets, deferred tax assets, deferred revenue, and other liabilities are based on management’s estimates and assumptions. The preliminary fair values of assets acquired and liabilities assumed are considered preliminary and are based on the information that was available at the time of the acquisition. The preliminary fair values of assets acquired and liabilities assumed are subject to change during the measurement period (up to one year from the acquisition date) as we finalize the valuation of these items. During the three months ended June 30, 2015, the preliminary fair value of the customer relationships intangible asset was increased by $4.6 million. Included in the preliminary assets and liabilities is an estimated indemnification asset of $500,000 and a contingent liability of $1.5 million, both are associated with tax liabilities. The contingent liability is measured based on management’s estimate of a range of probable outcomes. The goodwill balance is primarily attributed to the assembled workforce, additional market opportunities from offering HLS’s products, and expected synergies from integrating HLS with other products or other combined functional areas within the Company. The goodwill balance is deductible for U.S. income tax purposes. The net tangible assets include deferred revenue, which was preliminarily adjusted down from a book value at the acquisition date of $15.2 million to an estimated fair value of $6.1 million. The preliminary $9.1 million write-down of deferred revenue will result in lower revenues than would have otherwise been recognized for such services.</w:t>
      </w:r>
    </w:p>
    <w:p>
      <w:pPr>
        <w:spacing w:after="0" w:line="1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sets forth the preliminary components of identifiable intangible assets and their estimated useful lives as of the acquisition date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4"/>
              </w:rPr>
              <w:t>Preliminary</w:t>
            </w:r>
          </w:p>
        </w:tc>
        <w:tc>
          <w:tcPr>
            <w:tcW w:w="4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Useful</w:t>
            </w:r>
          </w:p>
        </w:tc>
      </w:t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life</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3,700</w:t>
            </w:r>
          </w:p>
        </w:tc>
        <w:tc>
          <w:tcPr>
            <w:tcW w:w="4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 years</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years</w:t>
            </w:r>
          </w:p>
        </w:tc>
      </w:tr>
      <w:tr>
        <w:trPr>
          <w:trHeight w:val="291"/>
        </w:trPr>
        <w:tc>
          <w:tcPr>
            <w:tcW w:w="6760" w:type="dxa"/>
            <w:vAlign w:val="bottom"/>
          </w:tcPr>
          <w:p>
            <w:pPr>
              <w:ind w:left="360"/>
              <w:spacing w:after="0"/>
              <w:rPr>
                <w:sz w:val="20"/>
                <w:szCs w:val="20"/>
                <w:color w:val="auto"/>
              </w:rPr>
            </w:pPr>
            <w:r>
              <w:rPr>
                <w:rFonts w:ascii="Arial" w:cs="Arial" w:eastAsia="Arial" w:hAnsi="Arial"/>
                <w:sz w:val="18"/>
                <w:szCs w:val="18"/>
                <w:color w:val="auto"/>
              </w:rPr>
              <w:t>Total preliminary intangible assets subject to amortization</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47,200</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amounts of revenue and operating income (loss) of HLS included in the Company’s condensed consolidated statement of income from the date of acquisition of March 16, 2015 to the period ending June 30, 2015 are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$ 2,606</w:t>
            </w:r>
          </w:p>
        </w:tc>
        <w:tc>
          <w:tcPr>
            <w:tcW w:w="120" w:type="dxa"/>
            <w:vAlign w:val="bottom"/>
            <w:shd w:val="clear" w:color="auto" w:fill="CCEEFF"/>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8"/>
        </w:trPr>
        <w:tc>
          <w:tcPr>
            <w:tcW w:w="7080" w:type="dxa"/>
            <w:vAlign w:val="bottom"/>
          </w:tcPr>
          <w:p>
            <w:pPr>
              <w:spacing w:after="0"/>
              <w:rPr>
                <w:sz w:val="20"/>
                <w:szCs w:val="20"/>
                <w:color w:val="auto"/>
              </w:rPr>
            </w:pPr>
            <w:r>
              <w:rPr>
                <w:rFonts w:ascii="Arial" w:cs="Arial" w:eastAsia="Arial" w:hAnsi="Arial"/>
                <w:sz w:val="18"/>
                <w:szCs w:val="18"/>
                <w:color w:val="auto"/>
              </w:rPr>
              <w:t>Operating loss</w:t>
            </w:r>
          </w:p>
        </w:tc>
        <w:tc>
          <w:tcPr>
            <w:tcW w:w="680" w:type="dxa"/>
            <w:vAlign w:val="bottom"/>
            <w:gridSpan w:val="2"/>
          </w:tcPr>
          <w:p>
            <w:pP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(1,170)</w:t>
            </w:r>
          </w:p>
        </w:tc>
      </w:tr>
      <w:tr>
        <w:trPr>
          <w:trHeight w:val="20"/>
        </w:trPr>
        <w:tc>
          <w:tcPr>
            <w:tcW w:w="7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unaudited pro forma financial information summarizes the combined results of operations of the Company and HLS, which was significant for purposes of the unaudited pro forma financial information disclosure, as though the companies were combined as of January 1, 2014 (in thousands, except per share data):</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580"/>
              <w:spacing w:after="0"/>
              <w:rPr>
                <w:sz w:val="20"/>
                <w:szCs w:val="20"/>
                <w:color w:val="auto"/>
              </w:rPr>
            </w:pPr>
            <w:r>
              <w:rPr>
                <w:rFonts w:ascii="Arial" w:cs="Arial" w:eastAsia="Arial" w:hAnsi="Arial"/>
                <w:sz w:val="14"/>
                <w:szCs w:val="14"/>
                <w:color w:val="auto"/>
                <w:w w:val="97"/>
              </w:rPr>
              <w:t>Three Months Ended</w:t>
            </w:r>
          </w:p>
        </w:tc>
        <w:tc>
          <w:tcPr>
            <w:tcW w:w="80" w:type="dxa"/>
            <w:vAlign w:val="bottom"/>
          </w:tcPr>
          <w:p>
            <w:pPr>
              <w:spacing w:after="0"/>
              <w:rPr>
                <w:sz w:val="14"/>
                <w:szCs w:val="1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June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54,604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45,086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106,213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2,909</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1,649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6,840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(continued)</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unaudited pro forma combined results of operations include certain adjustments arising from the acquisition such as adjustment for amortization of intangible assets, depreciation of property and equipment, fair value adjustments of acquired deferred revenue balances, and interest expense associated with borrowings under a revolving credit facility by the Company to partially fund the acquisition. The pro forma combined results for three and six months ended June 30, 2014 include nonrecurring adjustments of $1.3 million and $2.9 million, respectively, which reduce net income due to the revaluation of HLS’s historic deferred revenue to fair value. The unaudited pro forma combined results of operations is for informational purposes only and is not indicative of what the Company’s results of operations would have been had such transactions occurred at the beginning of the period presented or to project the Company’s results of operations in any future period.</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unaudited pro forma financial information for the three and six months ended June 30, 2015 and 2014 combines the historical results of the Company and HLS for the three and six months ended June 30, 2015 and 2014, and the pro forma adjustments listed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Compliance Strategies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$12.8 million in cash (taking into account a post-closing working capital adjustment) and 81,614 shares of our common stock. The Company made an additional payment of $750,000 during the second quarter of 2015, upon the achievement of certain performance milestones within one year post-closing. The Company incurred approximately $515,000 in transaction costs associated with the acquisition, of which $365,000 were incurred during the year ended December 31, 2014 and $150,000 were incurred during the year ended December 31, 2013. The transaction costs were recorded in other general and administrative expenses in the consolidated statements of income. In allocating the purchase price, the Company recorded approximately $6.2 million of goodwill, $8.4 million of identifiable intangible assets, $2.6 million of tangible assets, $625,000 of deferred tax assets, and $2.7 million of liabilities. Included in the recorded liabilities was an accrual for contingent consideration of approximately $600,000. The goodwill balance is primarily attributed to assembled workforce, additional market opportunities of HCCS’s compliance solutions, and expected synergies from integrating HCCS’s products into our platform. The goodwill balance is deductible for U.S. income tax purposes. The net tangible assets include deferred revenue, which was adjusted down from a book value at the acquisition date of $3.2 million to an estimated fair value of $1.7 million. The $1.5 million write-down of deferred revenue will result in lower revenues than would have otherwise been recognized for such services. The results of operations for HCCS have been included in the Company’s consolidated financial statements from the date of acquisition, and are also included in the HealthStream Workforce Development Solutions segment.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six months ended June 30, 2015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Workforce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Patient</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Provider</w:t>
            </w:r>
          </w:p>
        </w:tc>
        <w:tc>
          <w:tcPr>
            <w:tcW w:w="26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Experience</w:t>
            </w:r>
          </w:p>
        </w:tc>
        <w:tc>
          <w:tcPr>
            <w:tcW w:w="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2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$ 12,336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24,154</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Acquisition of HLS</w:t>
            </w:r>
          </w:p>
        </w:tc>
        <w:tc>
          <w:tcPr>
            <w:tcW w:w="284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42,076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42,076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5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3760" w:type="dxa"/>
            <w:vAlign w:val="bottom"/>
            <w:gridSpan w:val="3"/>
            <w:shd w:val="clear" w:color="auto" w:fill="CCEEFF"/>
          </w:tcPr>
          <w:p>
            <w:pPr>
              <w:ind w:left="2840"/>
              <w:spacing w:after="0"/>
              <w:rPr>
                <w:sz w:val="20"/>
                <w:szCs w:val="20"/>
                <w:color w:val="auto"/>
              </w:rPr>
            </w:pPr>
            <w:r>
              <w:rPr>
                <w:rFonts w:ascii="Arial" w:cs="Arial" w:eastAsia="Arial" w:hAnsi="Arial"/>
                <w:sz w:val="18"/>
                <w:szCs w:val="18"/>
                <w:color w:val="auto"/>
              </w:rPr>
              <w:t>$ 12,336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24,154</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47,500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40" w:type="dxa"/>
            <w:vAlign w:val="bottom"/>
            <w:vMerge w:val="restart"/>
          </w:tcPr>
          <w:p>
            <w:pPr>
              <w:jc w:val="right"/>
              <w:ind w:right="970"/>
              <w:spacing w:after="0"/>
              <w:rPr>
                <w:sz w:val="20"/>
                <w:szCs w:val="20"/>
                <w:color w:val="auto"/>
              </w:rPr>
            </w:pPr>
            <w:r>
              <w:rPr>
                <w:rFonts w:ascii="Arial" w:cs="Arial" w:eastAsia="Arial" w:hAnsi="Arial"/>
                <w:sz w:val="18"/>
                <w:szCs w:val="18"/>
                <w:color w:val="auto"/>
              </w:rPr>
              <w:t>10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call center and enrollment products and services (HealthStream Provider Solutions).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and six months ended June 30, 2015 and 2014 (in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9"/>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120" w:type="dxa"/>
            <w:vAlign w:val="bottom"/>
          </w:tcPr>
          <w:p>
            <w:pPr>
              <w:spacing w:after="0"/>
              <w:rPr>
                <w:sz w:val="14"/>
                <w:szCs w:val="14"/>
                <w:color w:val="auto"/>
              </w:rPr>
            </w:pPr>
          </w:p>
        </w:tc>
        <w:tc>
          <w:tcPr>
            <w:tcW w:w="1680" w:type="dxa"/>
            <w:vAlign w:val="bottom"/>
            <w:gridSpan w:val="9"/>
          </w:tcPr>
          <w:p>
            <w:pPr>
              <w:jc w:val="right"/>
              <w:ind w:right="340"/>
              <w:spacing w:after="0"/>
              <w:rPr>
                <w:sz w:val="20"/>
                <w:szCs w:val="20"/>
                <w:color w:val="auto"/>
              </w:rPr>
            </w:pPr>
            <w:r>
              <w:rPr>
                <w:rFonts w:ascii="Arial" w:cs="Arial" w:eastAsia="Arial" w:hAnsi="Arial"/>
                <w:sz w:val="14"/>
                <w:szCs w:val="14"/>
                <w:color w:val="auto"/>
              </w:rPr>
              <w:t>Six Months Ended</w:t>
            </w:r>
          </w:p>
        </w:tc>
      </w:tr>
      <w:tr>
        <w:trPr>
          <w:trHeight w:val="167"/>
        </w:trPr>
        <w:tc>
          <w:tcPr>
            <w:tcW w:w="9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8"/>
          </w:tcPr>
          <w:p>
            <w:pPr>
              <w:jc w:val="center"/>
              <w:ind w:right="540"/>
              <w:spacing w:after="0"/>
              <w:rPr>
                <w:sz w:val="20"/>
                <w:szCs w:val="20"/>
                <w:color w:val="auto"/>
              </w:rPr>
            </w:pPr>
            <w:r>
              <w:rPr>
                <w:rFonts w:ascii="Arial" w:cs="Arial" w:eastAsia="Arial" w:hAnsi="Arial"/>
                <w:sz w:val="14"/>
                <w:szCs w:val="14"/>
                <w:color w:val="auto"/>
                <w:w w:val="89"/>
              </w:rPr>
              <w:t>June 30,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6"/>
          </w:tcPr>
          <w:p>
            <w:pPr>
              <w:jc w:val="right"/>
              <w:ind w:right="40"/>
              <w:spacing w:after="0"/>
              <w:rPr>
                <w:sz w:val="20"/>
                <w:szCs w:val="20"/>
                <w:color w:val="auto"/>
              </w:rPr>
            </w:pPr>
            <w:r>
              <w:rPr>
                <w:rFonts w:ascii="Arial" w:cs="Arial" w:eastAsia="Arial" w:hAnsi="Arial"/>
                <w:sz w:val="14"/>
                <w:szCs w:val="14"/>
                <w:color w:val="auto"/>
                <w:w w:val="96"/>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color w:val="auto"/>
              </w:rPr>
              <w:t>2015</w:t>
            </w: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5"/>
          </w:tcPr>
          <w:p>
            <w:pPr>
              <w:jc w:val="right"/>
              <w:ind w:right="160"/>
              <w:spacing w:after="0" w:line="142" w:lineRule="exact"/>
              <w:rPr>
                <w:sz w:val="20"/>
                <w:szCs w:val="20"/>
                <w:color w:val="auto"/>
              </w:rPr>
            </w:pPr>
            <w:r>
              <w:rPr>
                <w:rFonts w:ascii="Arial" w:cs="Arial" w:eastAsia="Arial" w:hAnsi="Arial"/>
                <w:sz w:val="14"/>
                <w:szCs w:val="14"/>
                <w:color w:val="auto"/>
              </w:rPr>
              <w:t>2014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r>
      <w:tr>
        <w:trPr>
          <w:trHeight w:val="196"/>
        </w:trPr>
        <w:tc>
          <w:tcPr>
            <w:tcW w:w="6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 net:</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Workforce</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$39,803</w:t>
            </w:r>
          </w:p>
        </w:tc>
        <w:tc>
          <w:tcPr>
            <w:tcW w:w="1220" w:type="dxa"/>
            <w:vAlign w:val="bottom"/>
            <w:gridSpan w:val="6"/>
          </w:tcPr>
          <w:p>
            <w:pPr>
              <w:jc w:val="right"/>
              <w:ind w:right="260"/>
              <w:spacing w:after="0"/>
              <w:rPr>
                <w:sz w:val="20"/>
                <w:szCs w:val="20"/>
                <w:color w:val="auto"/>
              </w:rPr>
            </w:pPr>
            <w:r>
              <w:rPr>
                <w:rFonts w:ascii="Arial" w:cs="Arial" w:eastAsia="Arial" w:hAnsi="Arial"/>
                <w:sz w:val="18"/>
                <w:szCs w:val="18"/>
                <w:color w:val="auto"/>
              </w:rPr>
              <w:t>$33,142</w:t>
            </w: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$77,396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63,107</w:t>
            </w: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8,766</w:t>
            </w:r>
          </w:p>
        </w:tc>
        <w:tc>
          <w:tcPr>
            <w:tcW w:w="122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8,090</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16,753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15,482</w:t>
            </w: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Provider</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3,576</w:t>
            </w:r>
          </w:p>
        </w:tc>
        <w:tc>
          <w:tcPr>
            <w:tcW w:w="1220" w:type="dxa"/>
            <w:vAlign w:val="bottom"/>
            <w:gridSpan w:val="6"/>
          </w:tcPr>
          <w:p>
            <w:pPr>
              <w:jc w:val="right"/>
              <w:ind w:right="260"/>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2,236</w:t>
            </w:r>
          </w:p>
        </w:tc>
      </w:tr>
      <w:tr>
        <w:trPr>
          <w:trHeight w:val="75"/>
        </w:trPr>
        <w:tc>
          <w:tcPr>
            <w:tcW w:w="920" w:type="dxa"/>
            <w:vAlign w:val="bottom"/>
          </w:tcPr>
          <w:p>
            <w:pPr>
              <w:spacing w:after="0"/>
              <w:rPr>
                <w:sz w:val="6"/>
                <w:szCs w:val="6"/>
                <w:color w:val="auto"/>
              </w:rPr>
            </w:pPr>
          </w:p>
        </w:tc>
        <w:tc>
          <w:tcPr>
            <w:tcW w:w="5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5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52,145</w:t>
            </w:r>
          </w:p>
        </w:tc>
        <w:tc>
          <w:tcPr>
            <w:tcW w:w="122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42,476</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99,301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80,825</w:t>
            </w:r>
          </w:p>
        </w:tc>
      </w:tr>
      <w:tr>
        <w:trPr>
          <w:trHeight w:val="20"/>
        </w:trPr>
        <w:tc>
          <w:tcPr>
            <w:tcW w:w="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9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160" w:type="dxa"/>
            <w:vAlign w:val="bottom"/>
            <w:gridSpan w:val="10"/>
          </w:tcPr>
          <w:p>
            <w:pPr>
              <w:jc w:val="center"/>
              <w:ind w:right="540"/>
              <w:spacing w:after="0"/>
              <w:rPr>
                <w:sz w:val="20"/>
                <w:szCs w:val="20"/>
                <w:color w:val="auto"/>
              </w:rPr>
            </w:pPr>
            <w:r>
              <w:rPr>
                <w:rFonts w:ascii="Arial" w:cs="Arial" w:eastAsia="Arial" w:hAnsi="Arial"/>
                <w:sz w:val="14"/>
                <w:szCs w:val="14"/>
                <w:color w:val="auto"/>
                <w:w w:val="93"/>
              </w:rPr>
              <w:t>Three Months Ended</w:t>
            </w:r>
          </w:p>
        </w:tc>
        <w:tc>
          <w:tcPr>
            <w:tcW w:w="120" w:type="dxa"/>
            <w:vAlign w:val="bottom"/>
          </w:tcPr>
          <w:p>
            <w:pPr>
              <w:spacing w:after="0"/>
              <w:rPr>
                <w:sz w:val="24"/>
                <w:szCs w:val="24"/>
                <w:color w:val="auto"/>
              </w:rPr>
            </w:pPr>
          </w:p>
        </w:tc>
        <w:tc>
          <w:tcPr>
            <w:tcW w:w="1680" w:type="dxa"/>
            <w:vAlign w:val="bottom"/>
            <w:gridSpan w:val="9"/>
          </w:tcPr>
          <w:p>
            <w:pPr>
              <w:ind w:left="160"/>
              <w:spacing w:after="0"/>
              <w:rPr>
                <w:sz w:val="20"/>
                <w:szCs w:val="20"/>
                <w:color w:val="auto"/>
              </w:rPr>
            </w:pPr>
            <w:r>
              <w:rPr>
                <w:rFonts w:ascii="Arial" w:cs="Arial" w:eastAsia="Arial" w:hAnsi="Arial"/>
                <w:sz w:val="14"/>
                <w:szCs w:val="14"/>
                <w:color w:val="auto"/>
              </w:rPr>
              <w:t>Six Months Ended</w:t>
            </w:r>
          </w:p>
        </w:tc>
      </w:tr>
      <w:tr>
        <w:trPr>
          <w:trHeight w:val="167"/>
        </w:trPr>
        <w:tc>
          <w:tcPr>
            <w:tcW w:w="9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8"/>
          </w:tcPr>
          <w:p>
            <w:pPr>
              <w:jc w:val="center"/>
              <w:ind w:right="1100"/>
              <w:spacing w:after="0"/>
              <w:rPr>
                <w:sz w:val="20"/>
                <w:szCs w:val="20"/>
                <w:color w:val="auto"/>
              </w:rPr>
            </w:pPr>
            <w:r>
              <w:rPr>
                <w:rFonts w:ascii="Arial" w:cs="Arial" w:eastAsia="Arial" w:hAnsi="Arial"/>
                <w:sz w:val="14"/>
                <w:szCs w:val="14"/>
                <w:color w:val="auto"/>
                <w:w w:val="89"/>
              </w:rPr>
              <w:t>June 30,</w:t>
            </w:r>
          </w:p>
        </w:tc>
        <w:tc>
          <w:tcPr>
            <w:tcW w:w="120" w:type="dxa"/>
            <w:vAlign w:val="bottom"/>
          </w:tcPr>
          <w:p>
            <w:pPr>
              <w:spacing w:after="0"/>
              <w:rPr>
                <w:sz w:val="14"/>
                <w:szCs w:val="14"/>
                <w:color w:val="auto"/>
              </w:rPr>
            </w:pPr>
          </w:p>
        </w:tc>
        <w:tc>
          <w:tcPr>
            <w:tcW w:w="980" w:type="dxa"/>
            <w:vAlign w:val="bottom"/>
            <w:gridSpan w:val="5"/>
          </w:tcPr>
          <w:p>
            <w:pPr>
              <w:ind w:left="460"/>
              <w:spacing w:after="0"/>
              <w:rPr>
                <w:sz w:val="20"/>
                <w:szCs w:val="20"/>
                <w:color w:val="auto"/>
              </w:rPr>
            </w:pPr>
            <w:r>
              <w:rPr>
                <w:rFonts w:ascii="Arial" w:cs="Arial" w:eastAsia="Arial" w:hAnsi="Arial"/>
                <w:sz w:val="14"/>
                <w:szCs w:val="14"/>
                <w:color w:val="auto"/>
                <w:w w:val="93"/>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color w:val="auto"/>
              </w:rPr>
              <w:t>2014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r>
      <w:tr>
        <w:trPr>
          <w:trHeight w:val="196"/>
        </w:trPr>
        <w:tc>
          <w:tcPr>
            <w:tcW w:w="6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Workforce</w:t>
            </w:r>
          </w:p>
        </w:tc>
        <w:tc>
          <w:tcPr>
            <w:tcW w:w="900" w:type="dxa"/>
            <w:vAlign w:val="bottom"/>
            <w:gridSpan w:val="3"/>
          </w:tcPr>
          <w:p>
            <w:pPr>
              <w:jc w:val="right"/>
              <w:ind w:right="248"/>
              <w:spacing w:after="0"/>
              <w:rPr>
                <w:sz w:val="20"/>
                <w:szCs w:val="20"/>
                <w:color w:val="auto"/>
              </w:rPr>
            </w:pPr>
            <w:r>
              <w:rPr>
                <w:rFonts w:ascii="Arial" w:cs="Arial" w:eastAsia="Arial" w:hAnsi="Arial"/>
                <w:sz w:val="18"/>
                <w:szCs w:val="18"/>
                <w:color w:val="auto"/>
                <w:w w:val="93"/>
              </w:rPr>
              <w:t>$ 8,654</w:t>
            </w:r>
          </w:p>
        </w:tc>
        <w:tc>
          <w:tcPr>
            <w:tcW w:w="4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$ 8,462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ind w:right="28"/>
              <w:spacing w:after="0"/>
              <w:rPr>
                <w:sz w:val="20"/>
                <w:szCs w:val="20"/>
                <w:color w:val="auto"/>
              </w:rPr>
            </w:pPr>
            <w:r>
              <w:rPr>
                <w:rFonts w:ascii="Arial" w:cs="Arial" w:eastAsia="Arial" w:hAnsi="Arial"/>
                <w:sz w:val="18"/>
                <w:szCs w:val="18"/>
                <w:color w:val="auto"/>
                <w:w w:val="85"/>
              </w:rPr>
              <w:t>$ 19,404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$16,223</w:t>
            </w: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9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605</w:t>
            </w: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Provider</w:t>
            </w:r>
          </w:p>
        </w:tc>
        <w:tc>
          <w:tcPr>
            <w:tcW w:w="900" w:type="dxa"/>
            <w:vAlign w:val="bottom"/>
            <w:gridSpan w:val="3"/>
          </w:tcPr>
          <w:p>
            <w:pPr>
              <w:jc w:val="right"/>
              <w:ind w:right="188"/>
              <w:spacing w:after="0"/>
              <w:rPr>
                <w:sz w:val="20"/>
                <w:szCs w:val="20"/>
                <w:color w:val="auto"/>
              </w:rPr>
            </w:pPr>
            <w:r>
              <w:rPr>
                <w:rFonts w:ascii="Arial" w:cs="Arial" w:eastAsia="Arial" w:hAnsi="Arial"/>
                <w:sz w:val="18"/>
                <w:szCs w:val="18"/>
                <w:color w:val="auto"/>
              </w:rPr>
              <w:t>(923)</w:t>
            </w:r>
          </w:p>
        </w:tc>
        <w:tc>
          <w:tcPr>
            <w:tcW w:w="4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90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(5,772)</w:t>
            </w:r>
          </w:p>
        </w:tc>
        <w:tc>
          <w:tcPr>
            <w:tcW w:w="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(4,901)</w:t>
            </w:r>
          </w:p>
        </w:tc>
        <w:tc>
          <w:tcPr>
            <w:tcW w:w="2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(12,193)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(9,661)</w:t>
            </w:r>
          </w:p>
        </w:tc>
      </w:tr>
      <w:tr>
        <w:trPr>
          <w:trHeight w:val="20"/>
        </w:trPr>
        <w:tc>
          <w:tcPr>
            <w:tcW w:w="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income from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$ 2,564</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$ 4,110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jc w:val="right"/>
              <w:ind w:right="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7,354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9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6"/>
          </w:tcPr>
          <w:p>
            <w:pPr>
              <w:jc w:val="center"/>
              <w:ind w:right="540"/>
              <w:spacing w:after="0"/>
              <w:rPr>
                <w:sz w:val="20"/>
                <w:szCs w:val="20"/>
                <w:color w:val="auto"/>
              </w:rPr>
            </w:pPr>
            <w:r>
              <w:rPr>
                <w:rFonts w:ascii="Arial" w:cs="Arial" w:eastAsia="Arial" w:hAnsi="Arial"/>
                <w:sz w:val="14"/>
                <w:szCs w:val="14"/>
                <w:color w:val="auto"/>
                <w:w w:val="89"/>
              </w:rPr>
              <w:t>June 30,</w:t>
            </w:r>
          </w:p>
        </w:tc>
        <w:tc>
          <w:tcPr>
            <w:tcW w:w="1100" w:type="dxa"/>
            <w:vAlign w:val="bottom"/>
            <w:gridSpan w:val="6"/>
          </w:tcPr>
          <w:p>
            <w:pPr>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9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62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6"/>
              </w:rPr>
              <w:t>$ 80,123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81,116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34,536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20" w:type="dxa"/>
            <w:vAlign w:val="bottom"/>
          </w:tcPr>
          <w:p>
            <w:pPr>
              <w:ind w:left="360"/>
              <w:spacing w:after="0"/>
              <w:rPr>
                <w:sz w:val="20"/>
                <w:szCs w:val="20"/>
                <w:color w:val="auto"/>
              </w:rPr>
            </w:pPr>
            <w:r>
              <w:rPr>
                <w:rFonts w:ascii="Arial" w:cs="Arial" w:eastAsia="Arial" w:hAnsi="Arial"/>
                <w:sz w:val="18"/>
                <w:szCs w:val="18"/>
                <w:color w:val="auto"/>
              </w:rPr>
              <w:t>Provider</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103,624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151,191</w:t>
            </w: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130,634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1"/>
        </w:trPr>
        <w:tc>
          <w:tcPr>
            <w:tcW w:w="920" w:type="dxa"/>
            <w:vAlign w:val="bottom"/>
          </w:tcPr>
          <w:p>
            <w:pPr>
              <w:spacing w:after="0"/>
              <w:rPr>
                <w:sz w:val="24"/>
                <w:szCs w:val="24"/>
                <w:color w:val="auto"/>
              </w:rPr>
            </w:pPr>
          </w:p>
        </w:tc>
        <w:tc>
          <w:tcPr>
            <w:tcW w:w="56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371,350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257,262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right="200" w:hanging="452"/>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as well as an accordion feature that allows the Company to increase the Revolving Credit Facility by a total of up to $25.0 million, subject to securing additional commitments from existing lenders or new lending institutions. The Revolving Credit Facility includes a $5.0 million letter of credit subfacility.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June 30, 2015, the Company was in material compliance with all covenants. There were no balances outstanding on the Revolving Credit Facility as of June 30, 2015. During the three months ended June 30, 2015, the Company repaid approximately $28.0 million of balances previously outstanding under the Revolving Credit Facility from proceeds received in the Company’s public offering of 3,869,750 shares which closed on May 28, 2015. The weighted average interest rate was 1.68% for borrowings under Revolving Credit Facility during the six months ended June 30, 2015.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months ended June 30, 2015, the Company’s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common stock to over 600 employees, with a fair market value of approximately $1.5 million. Mr. Frist contributed 4,931 of the contributed shares noted above to take into account the estimated Company costs, such as administrative expenses and employer payroll taxes associated with the grants. (See Note 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140"/>
        <w:spacing w:after="0" w:line="288"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2014, appearing in our Annual Report on Form 10-K that was filed with the Securities and Exchange Commission (“SEC”) on February 27, 2015, (the “2014 Form 10-K”) and the Current Report on Form 8-K (the “Form 8-K”) filed on May 18, 2015 to retrospectively reflect for the periods included in the Form 10-K the addition of HealthStream Provider Solutions as a new reporting segment of the Company which occurred during the first quarter of 2015. The Form 8-K did not modify our previously reported financial statements for the periods reported in the Form 10-K other than the change in business segment presentation.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“Item 1A. Risk Factors” and other disclosures in our 2014 Form 10-K, information in the Form 8-K, and the information regarding forward-looking statements and other disclosures in our earnings releases, and other filings with the Securities and Exchange Commission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our current expectations.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HealthStream provides workforce, patient experience,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patient experience products provide our customers information about patients’ experiences and how to improve them, workforce engagement, physician relations, and community perceptions of their services. Our provider products are used by healthcare organization for their provider credentialing, privileging, call center, and enrollment needs. HealthStream’s customers include healthcare organizations, pharmaceutical and medical device companies, and other participants in the healthcare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second quarter of 2015 include:</w:t>
      </w:r>
    </w:p>
    <w:p>
      <w:pPr>
        <w:spacing w:after="0" w:line="131" w:lineRule="exact"/>
        <w:rPr>
          <w:sz w:val="20"/>
          <w:szCs w:val="20"/>
          <w:color w:val="auto"/>
        </w:rPr>
      </w:pPr>
    </w:p>
    <w:p>
      <w:pPr>
        <w:ind w:left="220" w:right="1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CEO contributed $1.65 million of his personally held HealthStream stock to the Company in order to facilitate stock grants to over 600 employees, which resulted in a charge of $1.65 million for compensation and related expense in the second quarter of 2015</w:t>
      </w:r>
    </w:p>
    <w:p>
      <w:pPr>
        <w:spacing w:after="0" w:line="7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$52.1 million in the second quarter of 2015, up 23% from $42.5 million in the second quarter of 2014</w:t>
      </w:r>
    </w:p>
    <w:p>
      <w:pPr>
        <w:spacing w:after="0" w:line="130" w:lineRule="exact"/>
        <w:rPr>
          <w:rFonts w:ascii="Arial" w:cs="Arial" w:eastAsia="Arial" w:hAnsi="Arial"/>
          <w:sz w:val="18"/>
          <w:szCs w:val="18"/>
          <w:color w:val="auto"/>
        </w:rPr>
      </w:pPr>
    </w:p>
    <w:p>
      <w:pPr>
        <w:jc w:val="both"/>
        <w:ind w:left="220" w:hanging="212"/>
        <w:spacing w:after="0" w:line="264"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$2.6 million in the second quarter of 2015, down 38% from $4.1 million in the second quarter of 2014, which was adversely impacted by the $1.65 million charge associated with the stock grant to employees referenced above and a $2.7 million reduction resulting from the deferred revenue write-down associated with the Health</w:t>
      </w:r>
      <w:r>
        <w:rPr>
          <w:rFonts w:ascii="Arial" w:cs="Arial" w:eastAsia="Arial" w:hAnsi="Arial"/>
          <w:sz w:val="18"/>
          <w:szCs w:val="18"/>
          <w:i w:val="1"/>
          <w:iCs w:val="1"/>
          <w:color w:val="auto"/>
        </w:rPr>
        <w:t>Line</w:t>
      </w:r>
      <w:r>
        <w:rPr>
          <w:rFonts w:ascii="Arial" w:cs="Arial" w:eastAsia="Arial" w:hAnsi="Arial"/>
          <w:sz w:val="18"/>
          <w:szCs w:val="18"/>
          <w:color w:val="auto"/>
        </w:rPr>
        <w:t xml:space="preserve"> Systems and HCCS acquisitions</w:t>
      </w:r>
    </w:p>
    <w:p>
      <w:pPr>
        <w:spacing w:after="0" w:line="86" w:lineRule="exact"/>
        <w:rPr>
          <w:rFonts w:ascii="Arial" w:cs="Arial" w:eastAsia="Arial" w:hAnsi="Arial"/>
          <w:sz w:val="18"/>
          <w:szCs w:val="18"/>
          <w:color w:val="auto"/>
        </w:rPr>
      </w:pPr>
    </w:p>
    <w:p>
      <w:pPr>
        <w:ind w:left="220" w:right="380" w:hanging="212"/>
        <w:spacing w:after="0" w:line="308"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of $1.5 million in the second quarter of 2015, down 38% from $2.4 million in the second quarter of 2014, and earnings per share (EPS) of $0.05 per share (diluted) in the second quarter of 2015, compared to $0.08 per share (diluted) in the second quarter of 2014</w:t>
      </w:r>
    </w:p>
    <w:p>
      <w:pPr>
        <w:spacing w:after="0" w:line="51"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$8.8 million in the second quarter of 2015, up 21% from $7.3 million in the second quarter of 2014</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$98 million raised in follow-on public offering of approximately 3.9 million shares of HealthStream common stock</w:t>
      </w:r>
    </w:p>
    <w:p>
      <w:pPr>
        <w:spacing w:after="0" w:line="131" w:lineRule="exact"/>
        <w:rPr>
          <w:sz w:val="20"/>
          <w:szCs w:val="20"/>
          <w:color w:val="auto"/>
        </w:rPr>
      </w:pPr>
    </w:p>
    <w:p>
      <w:pPr>
        <w:ind w:left="460" w:right="2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Frist Contribution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June 2015, the Company’s Chief Executive Officer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HealthStream, Inc. common stock to over 600 employees who were not otherwise eligible to receive equity awards and had at least one year of service with the Company, which shares are not subject to any vesting conditions. The Company recognized approximately $1.5 million of stock based compensation expense for these stock awards during the second quarter of 2015 based on the closing fair market value of the Company’s stock on the date of the approval of the grant. Mr. Frist contributed 4,931 of the contributed shares noted above to take into account the estimated Company costs, such as administrative expenses and employer payroll taxes associated with the grants, which resulted in approximately $150,000 of expense during the second quarter of 2015. See Note 4 to the Condensed Consolidated Financial Statements, included within this report,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March 16, 2015, we acquired for cash the outstanding membership interests of HLS, the legal successor to HealthLine Systems, Inc., a company that specializes in provider credentialing, privileging, call center, and quality management solutions for the healthcare industry. The financial results of HLS are included in our condensed consolidated financial statements from the date of acquisition. The purchase price for HLS was approximately $88.1 million. See Note 7 to the Condensed Consolidated Financial Statements, included within this report,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2014 Form 10-K and the Form 8-K filed on May 18, 2015, which contains additional information regarding our accounting policies and other disclosures required by US GAAP. There have been no changes in our critical accounting policies and estimates from those reported in our 2014 Form 10-K or the Form 8-K.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2015 Compared to Three Months Ended June 30, 2014</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$9.7 million, or 23%, to $52.1 million for the three months ended June 30, 2015 from $42.5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2014. A comparison of revenues by business segment is as follows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Percentage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4"/>
                <w:szCs w:val="14"/>
                <w:b w:val="1"/>
                <w:bCs w:val="1"/>
                <w:color w:val="auto"/>
              </w:rPr>
              <w:t>Revenues by Business Segment:</w:t>
            </w:r>
          </w:p>
        </w:tc>
        <w:tc>
          <w:tcPr>
            <w:tcW w:w="292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6"/>
                <w:szCs w:val="16"/>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2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$39,803</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$33,142</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3380" w:type="dxa"/>
            <w:vAlign w:val="bottom"/>
            <w:gridSpan w:val="3"/>
          </w:tcPr>
          <w:p>
            <w:pPr>
              <w:jc w:val="right"/>
              <w:ind w:right="460"/>
              <w:spacing w:after="0"/>
              <w:rPr>
                <w:sz w:val="20"/>
                <w:szCs w:val="20"/>
                <w:color w:val="auto"/>
              </w:rPr>
            </w:pPr>
            <w:r>
              <w:rPr>
                <w:rFonts w:ascii="Arial" w:cs="Arial" w:eastAsia="Arial" w:hAnsi="Arial"/>
                <w:sz w:val="18"/>
                <w:szCs w:val="18"/>
                <w:color w:val="auto"/>
              </w:rPr>
              <w:t>8,766</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8,090</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w:t>
            </w:r>
          </w:p>
        </w:tc>
        <w:tc>
          <w:tcPr>
            <w:tcW w:w="2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00" w:type="dxa"/>
            <w:vAlign w:val="bottom"/>
          </w:tcPr>
          <w:p>
            <w:pPr>
              <w:ind w:left="720"/>
              <w:spacing w:after="0"/>
              <w:rPr>
                <w:sz w:val="20"/>
                <w:szCs w:val="20"/>
                <w:color w:val="auto"/>
              </w:rPr>
            </w:pPr>
            <w:r>
              <w:rPr>
                <w:rFonts w:ascii="Arial" w:cs="Arial" w:eastAsia="Arial" w:hAnsi="Arial"/>
                <w:sz w:val="18"/>
                <w:szCs w:val="18"/>
                <w:color w:val="auto"/>
              </w:rPr>
              <w:t>Total revenues, net</w:t>
            </w:r>
          </w:p>
        </w:tc>
        <w:tc>
          <w:tcPr>
            <w:tcW w:w="338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52,145</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42,476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 of Revenues</w:t>
            </w:r>
          </w:p>
        </w:tc>
        <w:tc>
          <w:tcPr>
            <w:tcW w:w="2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3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76%</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3380" w:type="dxa"/>
            <w:vAlign w:val="bottom"/>
            <w:gridSpan w:val="3"/>
          </w:tcPr>
          <w:p>
            <w:pPr>
              <w:jc w:val="right"/>
              <w:ind w:right="460"/>
              <w:spacing w:after="0"/>
              <w:rPr>
                <w:sz w:val="20"/>
                <w:szCs w:val="20"/>
                <w:color w:val="auto"/>
              </w:rPr>
            </w:pPr>
            <w:r>
              <w:rPr>
                <w:rFonts w:ascii="Arial" w:cs="Arial" w:eastAsia="Arial" w:hAnsi="Arial"/>
                <w:sz w:val="18"/>
                <w:szCs w:val="18"/>
                <w:color w:val="auto"/>
              </w:rPr>
              <w:t>17%</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w:t>
            </w:r>
          </w:p>
        </w:tc>
        <w:tc>
          <w:tcPr>
            <w:tcW w:w="3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Revenues for HealthStream Workforce Solutions increased approximately $6.7 million, or 20%, over the second quarter of 2014. Revenues from our subscription-based workforce products increased approximately $6.0 million, or 19%, over the prior year second quarter due to a higher number of subscribers and more courseware consumption by subscribers. Our Workforce Solutions annualized revenue per implemented subscriber metric was $35.35 per subscriber for the second quarter of 2015 compared to $35.39 per subscriber for the second quarter of 2014. Our implemented subscriber base increased by 18% over the prior year second quarter to 4.37 million implemented subscribers at June 30, 2015 compared to 3.69 million implemented subscribers at June 30, 2014. Additionally, we had a 13% increase in total subscribers over the prior year second quarter, with 4.49 million total subscribers at June 30, 2015 compared to 3.98 million total subscribers at June 30, 2014. Revenues in 2015 were positively influenced by growth in courseware subscriptions and our enterprise applications. Specifically, revenues from ICD-10 readiness training were approximately $6.8 million for the second quarter of 2015, compared to $7.2 million for the second quarter of 2014. The decrease in revenues for this product is due to the expiration of subscriptions which were not renewed. In addition, revenues from our acquisition of Health Care Compliance Strategies (HCCS), which was consummated on March 3, 2014, were approximately $2.1 million during the second quarter of 2015, compared to $1.1 million during the second quarter of 2014.</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Revenues for HealthStream Patient Experience Solutions increased approximately $677,000, or 8%, over the second quarter of 2014. Revenues from Patient Insights™ surveys, our survey research product that generates recurring revenues, increased by $622,000, or 10%, over the prior year second quarter. Revenues from other products, including surveys conducted on annual or bi-annual cycles and consulting/coaching services, collectively increased by $55,000 compared to the prior year second quarter.</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Revenues for HealthStream Provider Solutions increased approximately $2.3 million, or 187%, over the second quarter of 2014. Revenues from the HLS acquisition, which was consummated on March 16, 2015, were approximately $2.3 million during the second quarter of 2015.</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$3.7 million, or 20%, to $22.4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2015 from $18.7 million for the three months ended June 30, 2014. Cost of revenues as a percentage of revenues was approximately 43% of revenues for the three months ended June 30, 2015 compared to approximately 44% of revenues for the three months ended June 30, 2014. Cost of revenues for HealthStream Workforce Solutions increased approximately $2.1 million to $15.5 million and approximated 39% and 41% of revenues for HealthStream Workforce Solutions for the three months ended June 30, 2015 and 2014, respectively. The increase in amount is primarily associated with increased royalties paid by us resulting from growth in courseware subscription revenues, increased personnel costs, and increased stock based compensation. Cost of revenues for HealthStream Patient Experience Solutions increased approximately $781,000 to $5.9 million and approximated 67% and 63% of revenues for HealthStream Patient Experience Solutions for the three months ended June 30, 2015 and 2014, respectively. The increase in both amount and as a percentage of revenues is primarily the result of increased personnel costs, including personnel to support the growth in patient survey volume over the prior year second quarter, and increased stock based compensation. Cost of revenues for HealthStream Provider Solutions increased approximately $861,000, or 477%, to $1.0 million and approximated 29% and 15% of HealthStream Provider Solutions revenues for the three months ended June 30, 2015 and 2014, respectively. The increase in both amount and as a percentage of revenues is primarily the result of the HLS acquisition.</w:t>
      </w:r>
    </w:p>
    <w:p>
      <w:pPr>
        <w:spacing w:after="0" w:line="16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$1.5 million, or 35%, to $5.8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from $4.3 million for the three months ended June 30, 2014. Product development expenses as a percentage of revenues were approximately 11% and 10% of revenues for the three months ended June 30, 2015 and 2014,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Product development expenses for HealthStream Workforce Solutions increased approximately $1.1 million and approximated 12% of revenues for HealthStream Workforce Solutions for both the three months ended June 30, 2015 and 2014. The increase in amount is due to additional personnel expenses associated with new product development initiatives for our subscription-based products, as well as increased stock based compensation. Product development expenses for HealthStream Patient Experience Solutions increased approximately $37,000 and approximated 4% of revenues for HealthStream Patient Experience Solutions for both the three months ended June 30, 2015 and 2014. Product development expenses for HealthStream Provider Solutions increased approximately $404,000 and approximated 15% and 10% of revenues for HealthStream Provider Solutions for the three months ended June 30, 2015 and 2014, respectively. The increase in amount and as a percentage of revenues is primarily associated with the HLS acquisition.</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$3.1 million, or 42%, to $10.3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from $7.2 million for the three months ended June 30, 2014. Sales and marketing expenses were approximately 20% and 17% of revenues for the three months ended June 30, 2015 and 2014, respectively.</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Sales and marketing expenses for HealthStream Workforce Solutions increased approximately $2.9 million and approximated 20% and 15% of revenues for HealthStream Workforce Solutions for the three months ended June 30, 2015 and 2014, respectively. The increase in amount and as a percentage of revenues is primarily due to additional personnel and related expenses, sales commissions, increased marketing spending, and stock based compensation. In addition, expenses associated with of our customer Summit, which was held during the second quarter of 2015, also contributed to the increase. Sales and marketing expenses for HealthStream Patient Experience Solutions decreased approximately $547,000, and approximated 13% and 21% of revenues for HealthStream Patient Experience Solutions for the three months ended June 30, 2015 and 2014, respectively. The decrease in amount and as a percentage of revenues is due to fewer account management personnel compared to the prior year second quarter. Sales and marketing expenses for HealthStream Provider Solutions increased approximately $724,000, and approximated 29% and 24% of revenues for HealthStream Provider Solutions for the three months ended June 30, 2015 and 2014, respectively. The increase in amount and as a percentage of revenues is primarily associated with the HLS acquisition.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$1.4 million, or 26%, to $6.8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2015 from $5.4 million for the three months ended June 30, 2014. Other general and administrative expenses as a percentage of revenues were approximately 13% of revenues for both the three months ended June 30,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Other general and administrative expenses for HealthStream Workforce Solutions increased approximately $87,000 over the prior year second quarter. Other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for HealthStream Patient Experience Solutions increased approximately $38,000 over the prior year second quarter.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general and administrative expenses for HealthStream Provider Solutions increased approximately $620,000 over the prior year second quarter,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associated with the HLS acquisition. The unallocated corporate portion of other general and administrative expenses increased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$645,000 over the prior year second quarter, primarily associated with additional personnel, professional fees, stock based compensation, and other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$1.5 million, or 56%, to $4.2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from $2.7 million for the three months ended June 30, 2014. The increase primarily resulted from amortization of capitalized software development, amortization of intangible assets from recent acquisitions (including amortization of software acquired for resale), and depreciation expense associated with capital expenditures.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was approximately an expense of $44,000 for the three months ended June 30, 2015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$23,000 for the three months ended June 30, 2014. The $67,000 decrease is primarily associated with higher interest expense from borrowings under a revolving credit facility during the second quarter of 2015.</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$1.0 million for the three months ended June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$1.8 million for the three months ended June 30, 2014. The Company’s effective tax rate was approximately 42% for the three months ended June 30, 2015 compared to approximately 43% for the three months ended June 30, 2014.</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decreased approximately $890,000, or 38%, to $1.5 million for the three months ended June 30, 2015 from $2.4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2014. Earnings per diluted share were $0.05 and $0.08 per share for the three months ended June 30, 2015 and 2014, respectively.</w:t>
      </w:r>
    </w:p>
    <w:p>
      <w:pPr>
        <w:spacing w:after="0" w:line="12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approximately 21% to approximately $8.8 million for the three months ended June 30, 2015 compared to $7.3 million for the three months ended June 30, 2014. This improvement resulted from the factors mentioned above. See Reconciliation of Non-GAAP Financial Measures below for our reconciliation of this calculation to measures under US GAAP.</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2015 Compared to Six Months Ended June 30, 2014</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$18.5 million, or 23%, to $99.3 million for the six months ended June 30, 2015 from $80.8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2014. A comparison of revenues by business segment is as follows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19"/>
        </w:trPr>
        <w:tc>
          <w:tcPr>
            <w:tcW w:w="65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rPr>
              <w:t>Percentage</w:t>
            </w:r>
          </w:p>
        </w:tc>
        <w:tc>
          <w:tcPr>
            <w:tcW w:w="20" w:type="dxa"/>
            <w:vAlign w:val="bottom"/>
          </w:tcPr>
          <w:p>
            <w:pPr>
              <w:spacing w:after="0"/>
              <w:rPr>
                <w:sz w:val="10"/>
                <w:szCs w:val="10"/>
                <w:color w:val="auto"/>
              </w:rPr>
            </w:pPr>
          </w:p>
        </w:tc>
      </w:tr>
      <w:tr>
        <w:trPr>
          <w:trHeight w:val="185"/>
        </w:trPr>
        <w:tc>
          <w:tcPr>
            <w:tcW w:w="6520" w:type="dxa"/>
            <w:vAlign w:val="bottom"/>
          </w:tcPr>
          <w:p>
            <w:pPr>
              <w:spacing w:after="0"/>
              <w:rPr>
                <w:sz w:val="20"/>
                <w:szCs w:val="20"/>
                <w:color w:val="auto"/>
              </w:rPr>
            </w:pPr>
            <w:r>
              <w:rPr>
                <w:rFonts w:ascii="Arial" w:cs="Arial" w:eastAsia="Arial" w:hAnsi="Arial"/>
                <w:sz w:val="14"/>
                <w:szCs w:val="14"/>
                <w:b w:val="1"/>
                <w:bCs w:val="1"/>
                <w:color w:val="auto"/>
              </w:rPr>
              <w:t>Revenues by Business Segment:</w:t>
            </w: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6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$77,396</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$63,107</w:t>
            </w: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16,753</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15,482</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r>
      <w:tr>
        <w:trPr>
          <w:trHeight w:val="291"/>
        </w:trPr>
        <w:tc>
          <w:tcPr>
            <w:tcW w:w="6520" w:type="dxa"/>
            <w:vAlign w:val="bottom"/>
          </w:tcPr>
          <w:p>
            <w:pPr>
              <w:ind w:left="720"/>
              <w:spacing w:after="0"/>
              <w:rPr>
                <w:sz w:val="20"/>
                <w:szCs w:val="20"/>
                <w:color w:val="auto"/>
              </w:rPr>
            </w:pPr>
            <w:r>
              <w:rPr>
                <w:rFonts w:ascii="Arial" w:cs="Arial" w:eastAsia="Arial" w:hAnsi="Arial"/>
                <w:sz w:val="18"/>
                <w:szCs w:val="18"/>
                <w:color w:val="auto"/>
              </w:rPr>
              <w:t>Total revenues, net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99,301</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80,825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6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 of Revenues</w:t>
            </w:r>
          </w:p>
        </w:tc>
        <w:tc>
          <w:tcPr>
            <w:tcW w:w="33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3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78%</w:t>
            </w:r>
          </w:p>
        </w:tc>
        <w:tc>
          <w:tcPr>
            <w:tcW w:w="19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78%</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330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1960" w:type="dxa"/>
            <w:vAlign w:val="bottom"/>
          </w:tcPr>
          <w:p>
            <w:pPr>
              <w:jc w:val="right"/>
              <w:ind w:right="1170"/>
              <w:spacing w:after="0"/>
              <w:rPr>
                <w:sz w:val="20"/>
                <w:szCs w:val="20"/>
                <w:color w:val="auto"/>
              </w:rPr>
            </w:pPr>
            <w:r>
              <w:rPr>
                <w:rFonts w:ascii="Arial" w:cs="Arial" w:eastAsia="Arial" w:hAnsi="Arial"/>
                <w:sz w:val="18"/>
                <w:szCs w:val="18"/>
                <w:color w:val="auto"/>
              </w:rPr>
              <w:t>19%</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w:t>
            </w:r>
          </w:p>
        </w:tc>
        <w:tc>
          <w:tcPr>
            <w:tcW w:w="3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9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Revenues for HealthStream Workforce Solutions increased approximately $14.3 million, or 23%, over the first six months of 2014. Revenues from our subscription-based workforce products increased approximately $13.4 million, or 22%, over the prior year period due to a higher number of subscribers and more courseware consumption by subscribers. Revenues in 2015 were positively influenced by growth in courseware subscriptions and our enterprise applications. Specifically, revenues from ICD-10 readiness training were approximately $13.9 million for the first six months of 2015, compared to $13.8 million for the first six months of 2014. In addition, revenues from our acquisition of HCCS, were approximately $4.2 million during the first six months of 2015, compared to $1.2 million during the first six months of 2014.</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for HealthStream Patient Experience Solutions increased approximately $1.3 million, or 8%, over the first six months of 2014. Revenues from Patient Insights™ surveys, our survey research product that generates recurring revenues, increased by approximately $1.4 million, or 12%, over the first six months of 2014. Revenues from other products, including surveys conducted on annual or bi-annual cycles and consulting/coaching services, collectively decreased by $170,000 compared to the first six months of 2014.</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Revenues for HealthStream Provider Solutions increased approximately $2.9 million, or 130%, over the first six months of 2014. Revenues from the HLS acquisition, which was consummated on March 16, 2015, were approximately $2.6 million during the first six months of 2015. Revenues from other products increased by approximately $309,000, or 14% over the first six months of 2014.</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$6.9 million, or 20%, to $42.6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2015 from $35.7 million for the six months ended June 30, 2014. Cost of revenues as a percentage of revenues was approximately 43% of revenues for the six months ended June 30, 2015 compared to approximately 44% of revenues for the six months ended June 30, 2014. Cost of revenues for HealthStream Workforce Solutions increased approximately $4.5 million to $30.1 million and approximated 39% and 41% of revenues for HealthStream Workforce Solutions for the six months ended June 30, 2015 and 2014, respectively. The increase in amount is primarily associated with increased royalties paid by us resulting from growth in courseware subscription revenues, increased personnel costs, and stock based compensation. Cost of revenues for HealthStream Patient Experience Solutions increased approximately $1.4 million to $11.2 million and approximated 67% and 63% of revenues for HealthStream Patient Experience Solutions for the six months ended June 30, 2015 and 2014, respectively. The increase in both amount and as a percentage of revenue is primarily the result of increased personnel costs, including personnel to support the growth in patient survey volume over the prior year, and stock based compensation. Cost of revenues for HealthStream Provider Solutions increased approximately $1.0 million, or 309%, to $1.4 million and approximated 27% and 15% of HealthStream Provider Solutions revenues for the six months ended June 30, 2015 and 2014, respectively. The increase in both amount and as a percentage of revenue is primarily the result of the HLS acquisition.</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$2.6 million, or 33%, to $10.4 million for the six months ended June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from $7.8 million for the six months ended June 30, 2014. Product development expenses as a percentage of revenues were approximately 11% and 10% of revenues for the six months ended June 30, 2015 and 2014, respectively.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Product development expenses for HealthStream Workforce Solutions increased approximately $2.2 million and approximated 12% and 11% of revenues for HealthStream Workforce Solutions for the six months ended June 30, 2015 and 2014, respectively. The increase in both amount and as a percentage of revenues is due to additional personnel expenses associated with new product development initiatives for our subscription-based products, as well as stock based compensation. Product development expenses for HealthStream Patient Experience Solutions decreased approximately $145,000 and approximated 4% and 5% of revenues for HealthStream Patient Experience Solutions for the six months ended June 30, 2015 and 2014, respectively. The decrease in both amount and as a percentage of revenue is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due to fewer personnel expenses compared to the prior year period. Product development expenses for HealthStream Provider Solutions increased approximately $520,000 and approximated 15% and 10% of revenues for HealthStream Provider Solutions for the six months ended June 30, 2015 and 2014, respectively. The increase in amount and as a percentage of revenues is primarily associated with the HLS acquisition.</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$3.5 million, or 25%, to $17.7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from $14.2 million for the six months ended June 30, 2014. Sales and marketing expenses were approximately 18% of revenues for both the six months ended June 30, 2015 and 2014.</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Sales and marketing expenses for HealthStream Workforce Solutions increased approximately $3.3 million and approximated 18% and 16% of revenues for HealthStream Workforce Solutions for the six months ended June 30, 2015 and 2014, respectively. The increase in amount and as percentage of revenues is primarily due to additional personnel and related expenses, commissions, expenses associated with our customer Summit, increased marketing spending, and stock based compensation. Sales and marketing expenses for HealthStream Patient Experience Solutions decreased approximately $627,000, and approximated 14% and 20% of revenues for HealthStream Patient Experience Solutions for the six months ended June 30, 2015 and 2014, respectively. The decrease in amount and as a percentage of revenues is due to fewer account management personnel compared to the prior year. Sales and marketing expenses for HealthStream Provider Solutions increased approximately $827,000, and approximated 28% and 27% of revenues for HealthStream Provider Solutions for the six months ended June 30, 2015 and 2014, respectively. The increase in amount is primarily associated with the HLS acquisition.</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$3.1 million, or 29%, to $13.7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2015 from $10.6 million for the six months ended June 30, 2014. Other general and administrative expenses as a percentage of revenues were approximately 14% and 13% of revenues for the six months ended June 30, 2015 and 2014, respectively.</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 general and administrative expenses for HealthStream Workforce Solutions increased approximately $171,000 over the first six months of 2014 primarily associated with the HCCS acquisition. Other general and administrative expenses for HealthStream Patient Experience Solutions increased approximately $169,000 over the first six months of 2014 primarily due to increased facilities costs for a new patient interview center in Nashville, Tennessee. Other general and administrative expenses for HealthStream Provider Solutions increased approximately $627,000 over the first six months of 2014 primarily associated with the HLS acquisition. The unallocated corporate portion of other general and administrative expenses increased approximately $2.1 million over the first six months of 2014, primarily associated with additional personnel, professional fees, stock based compensation, and other general expenses, as well as higher acquisition related costs during 2015 than in 2014. During the first six months of 2015, acquisition costs associated with the HLS acquisition were approximately $965,000 while during the first six months of 2014, acquisition costs associated with the HCCS acquisition were approximately $350,000.</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$2.4 million, or 47%, to $7.5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from $5.1 million for the six months ended June 30, 2014. The increase primarily resulted from amortization of capitalized software development, amortization of intangible assets from recent acquisitions (including amortization of software acquired for resale), and depreciation expense associated with capital expenditures.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was an expense of approximately $35,000 for the six months ended June 30, 2015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$68,000 for the six months ended June 30, 2014. The $103,000 decrease is primarily associated with higher interest expense from borrowings under a revolving credit facility during 2015</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$3.1 million for the six months ended June 30, 2015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$3.2 million for the six months ended June 30, 2014. The Company’s effective tax rate was approximately 43% for the six months ended June 30, 2015 compared to approximately 42% for the six months ended June 30, 2014.</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decreased approximately $116,000, or 3%, to $4.2 million for the six months ended June 30, 2015 compared to $4.3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2014. Earnings per diluted share were $0.15 per share for both the six months ended June 30, 2015 and 2014.</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approximately 29% to approximately $17.2 million for the six months ended June 30, 2015 compared to $13.3 million for the six months ended June 30, 2014. This improvement resulted from the factors mentioned above. See Reconciliation of Non-GAAP Financial Measures below for our reconciliation of this calculation to measures under US GAAP.</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non-GAAP revenue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an appropriate measure for evaluating the operating performance of the Company and provides useful information to investors because adjusted EBITDA reflects net income adjusted for certain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and other available deductions in 2014 and 2015,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6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Management addresses these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Over the past few years, the Company has acquired businesses whose net tangible assets include deferred revenue. In accordance with GAAP reporting requirements, the Company may record a write down of deferred revenue to fair value as defined in GAAP. If the Company is required to record a write-down of deferred revenue, it may result in lower recognized revenue, operating income, and net income in subsequent periods.</w:t>
      </w:r>
    </w:p>
    <w:p>
      <w:pPr>
        <w:spacing w:after="0" w:line="166"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Company completed the acquisitions of HCCS in March 2014 and HLS in March 2015. In accordance with US GAAP reporting requirements for fair value, we recorded a deferred revenue write-down of approximately $1.5 million for HCCS and a preliminary write-down of $9.1 million for HLS. These write-downs resulted in lower revenues in periods subsequent to those acquisitions than would have otherwise been recognized for such services</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therewith, this report presents below non-GAAP revenues, non-GAAP operating income and non-GAAP net income, which in each such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Both on a quarterly and year-to-date basis, the revenue for the acquired business is deferred and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10"/>
          </w:tcPr>
          <w:p>
            <w:pPr>
              <w:jc w:val="right"/>
              <w:ind w:right="580"/>
              <w:spacing w:after="0"/>
              <w:rPr>
                <w:sz w:val="20"/>
                <w:szCs w:val="20"/>
                <w:color w:val="auto"/>
              </w:rPr>
            </w:pPr>
            <w:r>
              <w:rPr>
                <w:rFonts w:ascii="Arial" w:cs="Arial" w:eastAsia="Arial" w:hAnsi="Arial"/>
                <w:sz w:val="14"/>
                <w:szCs w:val="14"/>
                <w:color w:val="auto"/>
                <w:w w:val="94"/>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10"/>
          </w:tcPr>
          <w:p>
            <w:pPr>
              <w:jc w:val="center"/>
              <w:ind w:right="300"/>
              <w:spacing w:after="0"/>
              <w:rPr>
                <w:sz w:val="20"/>
                <w:szCs w:val="20"/>
                <w:color w:val="auto"/>
              </w:rPr>
            </w:pPr>
            <w:r>
              <w:rPr>
                <w:rFonts w:ascii="Arial" w:cs="Arial" w:eastAsia="Arial" w:hAnsi="Arial"/>
                <w:sz w:val="14"/>
                <w:szCs w:val="14"/>
                <w:color w:val="auto"/>
                <w:w w:val="93"/>
              </w:rPr>
              <w:t>Six Months 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2015</w:t>
            </w:r>
          </w:p>
        </w:tc>
        <w:tc>
          <w:tcPr>
            <w:tcW w:w="660" w:type="dxa"/>
            <w:vAlign w:val="bottom"/>
            <w:gridSpan w:val="5"/>
          </w:tcPr>
          <w:p>
            <w:pPr>
              <w:jc w:val="right"/>
              <w:ind w:right="60"/>
              <w:spacing w:after="0" w:line="154" w:lineRule="exact"/>
              <w:rPr>
                <w:sz w:val="20"/>
                <w:szCs w:val="20"/>
                <w:color w:val="auto"/>
              </w:rPr>
            </w:pPr>
            <w:r>
              <w:rPr>
                <w:rFonts w:ascii="Arial" w:cs="Arial" w:eastAsia="Arial" w:hAnsi="Arial"/>
                <w:sz w:val="14"/>
                <w:szCs w:val="14"/>
                <w:color w:val="auto"/>
              </w:rPr>
              <w:t>June 30,</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2015</w:t>
            </w:r>
          </w:p>
        </w:tc>
        <w:tc>
          <w:tcPr>
            <w:tcW w:w="500" w:type="dxa"/>
            <w:vAlign w:val="bottom"/>
            <w:gridSpan w:val="3"/>
          </w:tcPr>
          <w:p>
            <w:pPr>
              <w:jc w:val="center"/>
              <w:ind w:right="20"/>
              <w:spacing w:after="0" w:line="154" w:lineRule="exact"/>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3"/>
                <w:szCs w:val="13"/>
                <w:color w:val="auto"/>
              </w:rPr>
            </w:pPr>
          </w:p>
        </w:tc>
        <w:tc>
          <w:tcPr>
            <w:tcW w:w="5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1,473</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4,195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980" w:type="dxa"/>
            <w:vAlign w:val="bottom"/>
            <w:gridSpan w:val="5"/>
          </w:tcPr>
          <w:p>
            <w:pPr>
              <w:jc w:val="right"/>
              <w:ind w:right="3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1,047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1,769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2,347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4,256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2,722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7,509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17,203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13,341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00" w:type="dxa"/>
            <w:vAlign w:val="bottom"/>
            <w:gridSpan w:val="2"/>
          </w:tcPr>
          <w:p>
            <w:pPr>
              <w:spacing w:after="0"/>
              <w:rPr>
                <w:sz w:val="20"/>
                <w:szCs w:val="20"/>
                <w:color w:val="auto"/>
              </w:rPr>
            </w:pPr>
            <w:r>
              <w:rPr>
                <w:rFonts w:ascii="Arial" w:cs="Arial" w:eastAsia="Arial" w:hAnsi="Arial"/>
                <w:sz w:val="18"/>
                <w:szCs w:val="18"/>
                <w:color w:val="auto"/>
              </w:rPr>
              <w:t>GAAP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52,145</w:t>
            </w:r>
          </w:p>
        </w:tc>
        <w:tc>
          <w:tcPr>
            <w:tcW w:w="4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4"/>
          </w:tcPr>
          <w:p>
            <w:pPr>
              <w:jc w:val="right"/>
              <w:ind w:right="400"/>
              <w:spacing w:after="0"/>
              <w:rPr>
                <w:sz w:val="20"/>
                <w:szCs w:val="20"/>
                <w:color w:val="auto"/>
              </w:rPr>
            </w:pPr>
            <w:r>
              <w:rPr>
                <w:rFonts w:ascii="Arial" w:cs="Arial" w:eastAsia="Arial" w:hAnsi="Arial"/>
                <w:sz w:val="18"/>
                <w:szCs w:val="18"/>
                <w:color w:val="auto"/>
                <w:w w:val="87"/>
              </w:rPr>
              <w:t>42,476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99,301</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80,825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4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700" w:type="dxa"/>
            <w:vAlign w:val="bottom"/>
            <w:gridSpan w:val="2"/>
          </w:tcPr>
          <w:p>
            <w:pPr>
              <w:spacing w:after="0"/>
              <w:rPr>
                <w:sz w:val="20"/>
                <w:szCs w:val="20"/>
                <w:color w:val="auto"/>
              </w:rPr>
            </w:pPr>
            <w:r>
              <w:rPr>
                <w:rFonts w:ascii="Arial" w:cs="Arial" w:eastAsia="Arial" w:hAnsi="Arial"/>
                <w:sz w:val="18"/>
                <w:szCs w:val="18"/>
                <w:color w:val="auto"/>
              </w:rPr>
              <w:t>Non-GAAP revenues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54,808</w:t>
            </w:r>
          </w:p>
        </w:tc>
        <w:tc>
          <w:tcPr>
            <w:tcW w:w="4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4"/>
          </w:tcPr>
          <w:p>
            <w:pPr>
              <w:jc w:val="right"/>
              <w:ind w:right="400"/>
              <w:spacing w:after="0"/>
              <w:rPr>
                <w:sz w:val="20"/>
                <w:szCs w:val="20"/>
                <w:color w:val="auto"/>
              </w:rPr>
            </w:pPr>
            <w:r>
              <w:rPr>
                <w:rFonts w:ascii="Arial" w:cs="Arial" w:eastAsia="Arial" w:hAnsi="Arial"/>
                <w:sz w:val="18"/>
                <w:szCs w:val="18"/>
                <w:color w:val="auto"/>
                <w:w w:val="87"/>
              </w:rPr>
              <w:t>43,179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w w:val="89"/>
              </w:rPr>
              <w:t>102,542</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81,897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7,354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10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2,663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tcPr>
          <w:p>
            <w:pPr>
              <w:jc w:val="right"/>
              <w:ind w:right="40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3,241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00" w:type="dxa"/>
            <w:vAlign w:val="bottom"/>
            <w:gridSpan w:val="2"/>
          </w:tcPr>
          <w:p>
            <w:pPr>
              <w:spacing w:after="0"/>
              <w:rPr>
                <w:sz w:val="20"/>
                <w:szCs w:val="20"/>
                <w:color w:val="auto"/>
              </w:rPr>
            </w:pPr>
            <w:r>
              <w:rPr>
                <w:rFonts w:ascii="Arial" w:cs="Arial" w:eastAsia="Arial" w:hAnsi="Arial"/>
                <w:sz w:val="18"/>
                <w:szCs w:val="18"/>
                <w:color w:val="auto"/>
              </w:rPr>
              <w:t>GAAP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1,473</w:t>
            </w:r>
          </w:p>
        </w:tc>
        <w:tc>
          <w:tcPr>
            <w:tcW w:w="4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2,364</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4,195</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4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70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3,028</w:t>
            </w:r>
          </w:p>
        </w:tc>
        <w:tc>
          <w:tcPr>
            <w:tcW w:w="4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2,766</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6,052</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cash provided by operating activities was approximately $19.1 million and $22.1 million during the six months ended June 30, 2015 and 2014, respectively. The number of days sales outstanding (DSO) was 60 days for the second quarter of 2015 compared to 66 days for the second quarter of 2014. The improvement in DSO over the prior year resulted from improved collections.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used in investing activities was approximately $143.5 million and $20.8 million for the six months ended June 30, 2015 and 2014, respectively. During 2015, the Company utilized $88.1 million (net of cash acquired) for acquisitions, purchased $76.8 million of marketable securities, purchased $4.1 million of property and equipment, spent $3.6 million for capitalized software development, and made $1.0 million in non-marketable equity investments. These uses of cash were partially offset by maturities of marketable securities of $29.9 million. During 2014, the Company purchased $32.0 million of marketable securities, utilized $12.5 million (net of cash acquired) for acquisitions, spent $2.7 million for capitalized software development, purchased $2.4 million of property and equipment, and made $265,000 in non-marketable equity investments. These uses of cash were partially offset by maturities of marketable securities of $29.1 million.</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financing activities was approximately $96.9 million and $49,000 for the six months ended June 30, 2015 and 2014, respectively. The primary sources of cash from financing activities for 2015 resulted from $98.0 million in proceeds from the issuance of 3.9 million shares of our common stock in our underwritten public offering that was completed on May 28, 2015, and $277,000 of proceeds from the exercise of employee stock options. The primary uses of cash during 2015 related to payments of payroll taxes from stock based compensation arrangements of $748,000, and earn-outs for prior business combinations of $628,000. During 2014 the primary source of cash from financing activities resulted from proceeds (net of payroll taxes paid) from the exercise of employee stock options and issuance of RSUs, while $261,000 of cash was used related to payments of payroll taxes from stock based compensation arrangements.</w:t>
      </w:r>
    </w:p>
    <w:p>
      <w:pPr>
        <w:spacing w:after="0" w:line="1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balance sheet reflects positive working capital of $111.9 million at June 30, 2015 compared to $97.4 million at December 31, 2014. The increase in working capital was primarily due to the proceeds of $98.0 million from the issuance of common stock as noted above, but partially offset cash used to fund the HLS acquisition of approximately $88.1 million. The Company’s primary source of liquidity is $139.9 million of cash and cash equivalents and marketable securities. The Company also has a $50.0 million revolving credit facility, all of which was available for additional borrowing at June 30, 2015.</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nine years, we have utilized our federal and state net operating loss carryforwards to offset taxable income, therefore reducing our tax liabilities. We anticipate our remaining net operating loss carryforwards will become fully utilized during 2015. Our actual tax payments are expected to increase significantly once the net operating loss carryforwards are fully utilized.</w:t>
      </w:r>
    </w:p>
    <w:p>
      <w:pPr>
        <w:sectPr>
          <w:pgSz w:w="11900" w:h="16838" w:orient="portrait"/>
          <w:cols w:equalWidth="0" w:num="1">
            <w:col w:w="11340"/>
          </w:cols>
          <w:pgMar w:left="240" w:top="459" w:right="319" w:bottom="1440" w:gutter="0" w:footer="0" w:header="0"/>
        </w:sectPr>
      </w:pP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40"/>
          </w:cols>
          <w:pgMar w:left="240" w:top="459" w:right="3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growth strategy includes acquiring businesses that provide complementary products and services. We anticipate that future acquisitions, if any, would be effected through a combination of stock and cash consideration.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values at the time of borrowing. As of June 30, 2015, we were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is exposed to market risk from changes in interest rates. We do not have any foreign currency exchange rate risk or commodity price risk. We are subject to interest rate market risk associated with the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$139.9 million at June 30, 2015. Assuming a hypothetical 10% decrease in interest rates for invested balances, interest income from cash and investments would decrease on an annualized basis by approximately $78,000.</w:t>
      </w:r>
    </w:p>
    <w:p>
      <w:pPr>
        <w:spacing w:after="0" w:line="15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about our purchases of common stock during the three months ended June 30,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(d)</w:t>
            </w:r>
          </w:p>
        </w:tc>
      </w:tr>
      <w:tr>
        <w:trPr>
          <w:trHeight w:val="149"/>
        </w:trPr>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6"/>
              </w:rPr>
              <w:t>Maximum number (or</w:t>
            </w:r>
          </w:p>
        </w:tc>
      </w:tr>
      <w:tr>
        <w:trPr>
          <w:trHeight w:val="149"/>
        </w:trPr>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4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93"/>
              </w:rPr>
              <w:t>(a)</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3"/>
              </w:rPr>
              <w:t>Total number of shares (or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4"/>
              </w:rPr>
              <w:t>approximate dollar value) of</w:t>
            </w:r>
          </w:p>
        </w:tc>
      </w:tr>
      <w:tr>
        <w:trPr>
          <w:trHeight w:val="149"/>
        </w:trPr>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4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5"/>
              </w:rPr>
              <w:t>Total 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(b)</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1"/>
              </w:rPr>
              <w:t>units) purchased as part of</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2"/>
              </w:rPr>
              <w:t>shares (or units) that may yet</w:t>
            </w:r>
          </w:p>
        </w:tc>
      </w:tr>
      <w:tr>
        <w:trPr>
          <w:trHeight w:val="149"/>
        </w:trPr>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4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2"/>
              </w:rPr>
              <w:t>shares (or units)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Average price paid per share</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3"/>
              </w:rPr>
              <w:t>publicly announced plans or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0"/>
              </w:rPr>
              <w:t>be purchased under the plans</w:t>
            </w:r>
          </w:p>
        </w:tc>
      </w:tr>
      <w:tr>
        <w:trPr>
          <w:trHeight w:val="181"/>
        </w:trPr>
        <w:tc>
          <w:tcPr>
            <w:tcW w:w="106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440" w:type="dxa"/>
            <w:vAlign w:val="bottom"/>
          </w:tcPr>
          <w:p>
            <w:pPr>
              <w:jc w:val="center"/>
              <w:ind w:left="408"/>
              <w:spacing w:after="0"/>
              <w:rPr>
                <w:sz w:val="20"/>
                <w:szCs w:val="20"/>
                <w:color w:val="auto"/>
              </w:rPr>
            </w:pPr>
            <w:r>
              <w:rPr>
                <w:rFonts w:ascii="Arial" w:cs="Arial" w:eastAsia="Arial" w:hAnsi="Arial"/>
                <w:sz w:val="14"/>
                <w:szCs w:val="14"/>
                <w:color w:val="auto"/>
                <w:w w:val="90"/>
              </w:rPr>
              <w:t xml:space="preserve">purchased </w:t>
            </w:r>
            <w:r>
              <w:rPr>
                <w:rFonts w:ascii="Arial" w:cs="Arial" w:eastAsia="Arial" w:hAnsi="Arial"/>
                <w:sz w:val="12"/>
                <w:szCs w:val="12"/>
                <w:color w:val="auto"/>
                <w:w w:val="90"/>
              </w:rPr>
              <w:t>(1)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 xml:space="preserve">(or unit) </w:t>
            </w:r>
            <w:r>
              <w:rPr>
                <w:rFonts w:ascii="Arial" w:cs="Arial" w:eastAsia="Arial" w:hAnsi="Arial"/>
                <w:sz w:val="12"/>
                <w:szCs w:val="12"/>
                <w:color w:val="auto"/>
                <w:w w:val="95"/>
              </w:rPr>
              <w:t>(1)</w:t>
            </w:r>
          </w:p>
        </w:tc>
        <w:tc>
          <w:tcPr>
            <w:tcW w:w="2160" w:type="dxa"/>
            <w:vAlign w:val="bottom"/>
          </w:tcPr>
          <w:p>
            <w:pPr>
              <w:jc w:val="center"/>
              <w:spacing w:after="0"/>
              <w:rPr>
                <w:sz w:val="20"/>
                <w:szCs w:val="20"/>
                <w:color w:val="auto"/>
              </w:rPr>
            </w:pPr>
            <w:r>
              <w:rPr>
                <w:rFonts w:ascii="Arial" w:cs="Arial" w:eastAsia="Arial" w:hAnsi="Arial"/>
                <w:sz w:val="14"/>
                <w:szCs w:val="14"/>
                <w:color w:val="auto"/>
                <w:w w:val="91"/>
              </w:rPr>
              <w:t>programs</w:t>
            </w: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2"/>
              </w:rPr>
              <w:t>or programs</w:t>
            </w:r>
          </w:p>
        </w:tc>
      </w:tr>
      <w:tr>
        <w:trPr>
          <w:trHeight w:val="20"/>
        </w:trPr>
        <w:tc>
          <w:tcPr>
            <w:tcW w:w="1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224"/>
        </w:trPr>
        <w:tc>
          <w:tcPr>
            <w:tcW w:w="2680" w:type="dxa"/>
            <w:vAlign w:val="bottom"/>
            <w:gridSpan w:val="3"/>
          </w:tcPr>
          <w:p>
            <w:pPr>
              <w:spacing w:after="0"/>
              <w:rPr>
                <w:sz w:val="20"/>
                <w:szCs w:val="20"/>
                <w:color w:val="auto"/>
              </w:rPr>
            </w:pPr>
            <w:r>
              <w:rPr>
                <w:rFonts w:ascii="Arial" w:cs="Arial" w:eastAsia="Arial" w:hAnsi="Arial"/>
                <w:sz w:val="18"/>
                <w:szCs w:val="18"/>
                <w:color w:val="auto"/>
              </w:rPr>
              <w:t>Month #1 (April 1 – April 30)</w:t>
            </w:r>
          </w:p>
        </w:tc>
        <w:tc>
          <w:tcPr>
            <w:tcW w:w="144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ind w:left="1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60" w:type="dxa"/>
            <w:vAlign w:val="bottom"/>
          </w:tcPr>
          <w:p>
            <w:pPr>
              <w:jc w:val="right"/>
              <w:ind w:right="1"/>
              <w:spacing w:after="0"/>
              <w:rPr>
                <w:sz w:val="20"/>
                <w:szCs w:val="20"/>
                <w:color w:val="auto"/>
              </w:rPr>
            </w:pPr>
            <w:r>
              <w:rPr>
                <w:rFonts w:ascii="Arial" w:cs="Arial" w:eastAsia="Arial" w:hAnsi="Arial"/>
                <w:sz w:val="18"/>
                <w:szCs w:val="18"/>
                <w:color w:val="auto"/>
              </w:rPr>
              <w:t>$—</w:t>
            </w:r>
          </w:p>
        </w:tc>
      </w:tr>
      <w:tr>
        <w:trPr>
          <w:trHeight w:val="310"/>
        </w:trPr>
        <w:tc>
          <w:tcPr>
            <w:tcW w:w="2680" w:type="dxa"/>
            <w:vAlign w:val="bottom"/>
            <w:gridSpan w:val="3"/>
          </w:tcPr>
          <w:p>
            <w:pPr>
              <w:spacing w:after="0"/>
              <w:rPr>
                <w:sz w:val="20"/>
                <w:szCs w:val="20"/>
                <w:color w:val="auto"/>
              </w:rPr>
            </w:pPr>
            <w:r>
              <w:rPr>
                <w:rFonts w:ascii="Arial" w:cs="Arial" w:eastAsia="Arial" w:hAnsi="Arial"/>
                <w:sz w:val="18"/>
                <w:szCs w:val="18"/>
                <w:color w:val="auto"/>
              </w:rPr>
              <w:t>Month #2 (May 1 – May 31)</w:t>
            </w:r>
          </w:p>
        </w:tc>
        <w:tc>
          <w:tcPr>
            <w:tcW w:w="144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Pr>
          <w:p>
            <w:pPr>
              <w:ind w:left="1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160" w:type="dxa"/>
            <w:vAlign w:val="bottom"/>
          </w:tcPr>
          <w:p>
            <w:pPr>
              <w:jc w:val="right"/>
              <w:ind w:right="1"/>
              <w:spacing w:after="0"/>
              <w:rPr>
                <w:sz w:val="20"/>
                <w:szCs w:val="20"/>
                <w:color w:val="auto"/>
              </w:rPr>
            </w:pPr>
            <w:r>
              <w:rPr>
                <w:rFonts w:ascii="Arial" w:cs="Arial" w:eastAsia="Arial" w:hAnsi="Arial"/>
                <w:sz w:val="18"/>
                <w:szCs w:val="18"/>
                <w:color w:val="auto"/>
              </w:rPr>
              <w:t>—</w:t>
            </w:r>
          </w:p>
        </w:tc>
      </w:tr>
      <w:tr>
        <w:trPr>
          <w:trHeight w:val="324"/>
        </w:trPr>
        <w:tc>
          <w:tcPr>
            <w:tcW w:w="2680" w:type="dxa"/>
            <w:vAlign w:val="bottom"/>
            <w:gridSpan w:val="3"/>
          </w:tcPr>
          <w:p>
            <w:pPr>
              <w:spacing w:after="0"/>
              <w:rPr>
                <w:sz w:val="20"/>
                <w:szCs w:val="20"/>
                <w:color w:val="auto"/>
              </w:rPr>
            </w:pPr>
            <w:r>
              <w:rPr>
                <w:rFonts w:ascii="Arial" w:cs="Arial" w:eastAsia="Arial" w:hAnsi="Arial"/>
                <w:sz w:val="18"/>
                <w:szCs w:val="18"/>
                <w:color w:val="auto"/>
              </w:rPr>
              <w:t>Month #3 (June 1 – June 30)</w:t>
            </w:r>
          </w:p>
        </w:tc>
        <w:tc>
          <w:tcPr>
            <w:tcW w:w="1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17,279</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24"/>
                <w:szCs w:val="24"/>
                <w:color w:val="auto"/>
              </w:rPr>
            </w:pPr>
          </w:p>
        </w:tc>
        <w:tc>
          <w:tcPr>
            <w:tcW w:w="216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r>
      <w:tr>
        <w:trPr>
          <w:trHeight w:val="399"/>
        </w:trPr>
        <w:tc>
          <w:tcPr>
            <w:tcW w:w="26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17,279</w:t>
            </w:r>
          </w:p>
        </w:tc>
        <w:tc>
          <w:tcPr>
            <w:tcW w:w="2380" w:type="dxa"/>
            <w:vAlign w:val="bottom"/>
            <w:gridSpan w:val="3"/>
          </w:tcPr>
          <w:p>
            <w:pPr>
              <w:jc w:val="right"/>
              <w:ind w:right="120"/>
              <w:spacing w:after="0"/>
              <w:rPr>
                <w:sz w:val="20"/>
                <w:szCs w:val="20"/>
                <w:color w:val="auto"/>
              </w:rPr>
            </w:pPr>
            <w:r>
              <w:rPr>
                <w:rFonts w:ascii="Arial" w:cs="Arial" w:eastAsia="Arial" w:hAnsi="Arial"/>
                <w:sz w:val="18"/>
                <w:szCs w:val="18"/>
                <w:color w:val="auto"/>
              </w:rPr>
              <w:t>$30.42</w:t>
            </w:r>
          </w:p>
        </w:tc>
        <w:tc>
          <w:tcPr>
            <w:tcW w:w="2160" w:type="dxa"/>
            <w:vAlign w:val="bottom"/>
          </w:tcPr>
          <w:p>
            <w:pPr>
              <w:ind w:left="1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160" w:type="dxa"/>
            <w:vAlign w:val="bottom"/>
          </w:tcPr>
          <w:p>
            <w:pPr>
              <w:jc w:val="right"/>
              <w:ind w:right="1"/>
              <w:spacing w:after="0"/>
              <w:rPr>
                <w:sz w:val="20"/>
                <w:szCs w:val="20"/>
                <w:color w:val="auto"/>
              </w:rPr>
            </w:pPr>
            <w:r>
              <w:rPr>
                <w:rFonts w:ascii="Arial" w:cs="Arial" w:eastAsia="Arial" w:hAnsi="Arial"/>
                <w:sz w:val="18"/>
                <w:szCs w:val="18"/>
                <w:color w:val="auto"/>
              </w:rPr>
              <w:t>$—</w:t>
            </w: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60" w:right="4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17,279 shares withheld to satisfy the payment of employee tax obligations related to the employee stock awards noted in Note 4 in our Condensed Consolidated Financial Statements included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3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(1)</w:t>
      </w:r>
      <w:r>
        <w:rPr>
          <w:rFonts w:ascii="Arial" w:cs="Arial" w:eastAsia="Arial" w:hAnsi="Arial"/>
          <w:sz w:val="18"/>
          <w:szCs w:val="18"/>
          <w:color w:val="auto"/>
        </w:rPr>
        <w:t xml:space="preserve"> —HealthStream, Inc. 2015 Cash Incentive Bonus Plan.</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10.2^ —Contribution Agreement dated as of June 30, 2015, between HealthStream, Inc. and Robert A. Frist, Jr.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31.1—Certification of the Chief Executive Officer Pursuant to Section 302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31.2—Certification of the Principal Financial Officer Pursuant to Section 302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32.1—Certification Pursuant to 18 U.S.C. Section 1350, as Adopted Pursuant to Section 906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32.2—Certification Pursuant to 18 U.S.C. Section 1350, as Adopted Pursuant to Section 906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INS—XBRL Instance Document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SCH—XBRL Taxonomy Extension Schema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CAL—XBRL Taxonomy Extension Calculation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DEF—XBRL Taxonomy Extension Definition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LAB—XBRL Taxonomy Extension Label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PRE—XBRL Taxonomy Extension Presentation Linkbase</w:t>
      </w:r>
    </w:p>
    <w:p>
      <w:pPr>
        <w:spacing w:after="0" w:line="11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from exhibit 10.1 filed on our Current Report on Form 8-K, dated April 16, 2015.</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8120" w:type="dxa"/>
            <w:vAlign w:val="bottom"/>
            <w:gridSpan w:val="2"/>
          </w:tcPr>
          <w:p>
            <w:pPr>
              <w:ind w:left="3300"/>
              <w:spacing w:after="0"/>
              <w:rPr>
                <w:sz w:val="20"/>
                <w:szCs w:val="20"/>
                <w:color w:val="auto"/>
              </w:rPr>
            </w:pPr>
            <w:r>
              <w:rPr>
                <w:rFonts w:ascii="Arial" w:cs="Arial" w:eastAsia="Arial" w:hAnsi="Arial"/>
                <w:sz w:val="18"/>
                <w:szCs w:val="18"/>
                <w:color w:val="auto"/>
              </w:rPr>
              <w:t>HEALTHSTREAM,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July 31, 2015</w:t>
            </w:r>
          </w:p>
        </w:tc>
        <w:tc>
          <w:tcPr>
            <w:tcW w:w="8120" w:type="dxa"/>
            <w:vAlign w:val="bottom"/>
            <w:gridSpan w:val="2"/>
          </w:tcPr>
          <w:p>
            <w:pPr>
              <w:jc w:val="center"/>
              <w:ind w:left="990"/>
              <w:spacing w:after="0"/>
              <w:rPr>
                <w:sz w:val="20"/>
                <w:szCs w:val="20"/>
                <w:color w:val="auto"/>
              </w:rPr>
            </w:pPr>
            <w:r>
              <w:rPr>
                <w:rFonts w:ascii="Arial" w:cs="Arial" w:eastAsia="Arial" w:hAnsi="Arial"/>
                <w:sz w:val="18"/>
                <w:szCs w:val="18"/>
                <w:color w:val="auto"/>
                <w:w w:val="99"/>
              </w:rPr>
              <w:t>By:   /</w:t>
            </w:r>
            <w:r>
              <w:rPr>
                <w:rFonts w:ascii="Arial" w:cs="Arial" w:eastAsia="Arial" w:hAnsi="Arial"/>
                <w:sz w:val="15"/>
                <w:szCs w:val="15"/>
                <w:color w:val="auto"/>
                <w:w w:val="99"/>
              </w:rPr>
              <w:t>S</w:t>
            </w:r>
            <w:r>
              <w:rPr>
                <w:rFonts w:ascii="Arial" w:cs="Arial" w:eastAsia="Arial" w:hAnsi="Arial"/>
                <w:sz w:val="18"/>
                <w:szCs w:val="18"/>
                <w:color w:val="auto"/>
                <w:w w:val="99"/>
              </w:rPr>
              <w:t>/ G</w:t>
            </w:r>
            <w:r>
              <w:rPr>
                <w:rFonts w:ascii="Arial" w:cs="Arial" w:eastAsia="Arial" w:hAnsi="Arial"/>
                <w:sz w:val="15"/>
                <w:szCs w:val="15"/>
                <w:color w:val="auto"/>
                <w:w w:val="99"/>
              </w:rPr>
              <w:t>ERARD</w:t>
            </w:r>
            <w:r>
              <w:rPr>
                <w:rFonts w:ascii="Arial" w:cs="Arial" w:eastAsia="Arial" w:hAnsi="Arial"/>
                <w:sz w:val="18"/>
                <w:szCs w:val="18"/>
                <w:color w:val="auto"/>
                <w:w w:val="99"/>
              </w:rPr>
              <w:t xml:space="preserve"> M. H</w:t>
            </w:r>
            <w:r>
              <w:rPr>
                <w:rFonts w:ascii="Arial" w:cs="Arial" w:eastAsia="Arial" w:hAnsi="Arial"/>
                <w:sz w:val="15"/>
                <w:szCs w:val="15"/>
                <w:color w:val="auto"/>
                <w:w w:val="99"/>
              </w:rPr>
              <w:t>AYDEN</w:t>
            </w:r>
            <w:r>
              <w:rPr>
                <w:rFonts w:ascii="Arial" w:cs="Arial" w:eastAsia="Arial" w:hAnsi="Arial"/>
                <w:sz w:val="18"/>
                <w:szCs w:val="18"/>
                <w:color w:val="auto"/>
                <w:w w:val="99"/>
              </w:rPr>
              <w:t>, J</w:t>
            </w:r>
            <w:r>
              <w:rPr>
                <w:rFonts w:ascii="Arial" w:cs="Arial" w:eastAsia="Arial" w:hAnsi="Arial"/>
                <w:sz w:val="15"/>
                <w:szCs w:val="15"/>
                <w:color w:val="auto"/>
                <w:w w:val="99"/>
              </w:rPr>
              <w:t>R</w:t>
            </w:r>
            <w:r>
              <w:rPr>
                <w:rFonts w:ascii="Arial" w:cs="Arial" w:eastAsia="Arial" w:hAnsi="Arial"/>
                <w:sz w:val="18"/>
                <w:szCs w:val="18"/>
                <w:color w:val="auto"/>
                <w:w w:val="99"/>
              </w:rPr>
              <w:t>.</w:t>
            </w:r>
          </w:p>
        </w:tc>
      </w:tr>
      <w:tr>
        <w:trPr>
          <w:trHeight w:val="195"/>
        </w:trPr>
        <w:tc>
          <w:tcPr>
            <w:tcW w:w="33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560" w:type="dxa"/>
            <w:vAlign w:val="bottom"/>
            <w:tcBorders>
              <w:top w:val="single" w:sz="8" w:color="auto"/>
            </w:tcBorders>
          </w:tcPr>
          <w:p>
            <w:pPr>
              <w:jc w:val="center"/>
              <w:ind w:right="2410"/>
              <w:spacing w:after="0" w:line="195" w:lineRule="exact"/>
              <w:rPr>
                <w:sz w:val="20"/>
                <w:szCs w:val="20"/>
                <w:color w:val="auto"/>
              </w:rPr>
            </w:pPr>
            <w:r>
              <w:rPr>
                <w:rFonts w:ascii="Arial" w:cs="Arial" w:eastAsia="Arial" w:hAnsi="Arial"/>
                <w:sz w:val="18"/>
                <w:szCs w:val="18"/>
                <w:color w:val="auto"/>
                <w:w w:val="90"/>
              </w:rPr>
              <w:t>Gerard M. Hayden, Jr.</w:t>
            </w:r>
          </w:p>
        </w:tc>
      </w:tr>
      <w:tr>
        <w:trPr>
          <w:trHeight w:val="230"/>
        </w:trPr>
        <w:tc>
          <w:tcPr>
            <w:tcW w:w="3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560" w:type="dxa"/>
            <w:vAlign w:val="bottom"/>
          </w:tcPr>
          <w:p>
            <w:pPr>
              <w:jc w:val="center"/>
              <w:ind w:right="2350"/>
              <w:spacing w:after="0"/>
              <w:rPr>
                <w:sz w:val="20"/>
                <w:szCs w:val="20"/>
                <w:color w:val="auto"/>
              </w:rPr>
            </w:pPr>
            <w:r>
              <w:rPr>
                <w:rFonts w:ascii="Arial" w:cs="Arial" w:eastAsia="Arial" w:hAnsi="Arial"/>
                <w:sz w:val="18"/>
                <w:szCs w:val="18"/>
                <w:color w:val="auto"/>
                <w:w w:val="94"/>
              </w:rPr>
              <w:t>Chief Financial Officer</w:t>
            </w:r>
          </w:p>
        </w:tc>
      </w:tr>
      <w:tr>
        <w:trPr>
          <w:trHeight w:val="365"/>
        </w:trPr>
        <w:tc>
          <w:tcPr>
            <w:tcW w:w="3300" w:type="dxa"/>
            <w:vAlign w:val="bottom"/>
          </w:tcPr>
          <w:p>
            <w:pPr>
              <w:spacing w:after="0"/>
              <w:rPr>
                <w:sz w:val="24"/>
                <w:szCs w:val="24"/>
                <w:color w:val="auto"/>
              </w:rPr>
            </w:pPr>
          </w:p>
        </w:tc>
        <w:tc>
          <w:tcPr>
            <w:tcW w:w="3560" w:type="dxa"/>
            <w:vAlign w:val="bottom"/>
          </w:tcPr>
          <w:p>
            <w:pPr>
              <w:jc w:val="right"/>
              <w:ind w:right="970"/>
              <w:spacing w:after="0"/>
              <w:rPr>
                <w:sz w:val="20"/>
                <w:szCs w:val="20"/>
                <w:color w:val="auto"/>
              </w:rPr>
            </w:pPr>
            <w:r>
              <w:rPr>
                <w:rFonts w:ascii="Arial" w:cs="Arial" w:eastAsia="Arial" w:hAnsi="Arial"/>
                <w:sz w:val="18"/>
                <w:szCs w:val="18"/>
                <w:color w:val="auto"/>
              </w:rPr>
              <w:t>23</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840" w:type="dxa"/>
            <w:vAlign w:val="bottom"/>
          </w:tcPr>
          <w:p>
            <w:pPr>
              <w:ind w:left="3780"/>
              <w:spacing w:after="0"/>
              <w:rPr>
                <w:sz w:val="20"/>
                <w:szCs w:val="20"/>
                <w:color w:val="auto"/>
              </w:rPr>
            </w:pPr>
            <w:r>
              <w:rPr>
                <w:rFonts w:ascii="Arial" w:cs="Arial" w:eastAsia="Arial" w:hAnsi="Arial"/>
                <w:sz w:val="18"/>
                <w:szCs w:val="18"/>
                <w:b w:val="1"/>
                <w:bCs w:val="1"/>
                <w:color w:val="auto"/>
              </w:rPr>
              <w:t>HEALTHSTREAM, INC.</w:t>
            </w:r>
          </w:p>
        </w:tc>
      </w:tr>
      <w:tr>
        <w:trPr>
          <w:trHeight w:val="432"/>
        </w:trPr>
        <w:tc>
          <w:tcPr>
            <w:tcW w:w="940" w:type="dxa"/>
            <w:vAlign w:val="bottom"/>
          </w:tcPr>
          <w:p>
            <w:pPr>
              <w:spacing w:after="0"/>
              <w:rPr>
                <w:sz w:val="24"/>
                <w:szCs w:val="24"/>
                <w:color w:val="auto"/>
              </w:rPr>
            </w:pPr>
          </w:p>
        </w:tc>
        <w:tc>
          <w:tcPr>
            <w:tcW w:w="884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94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(1)</w:t>
            </w:r>
          </w:p>
        </w:tc>
        <w:tc>
          <w:tcPr>
            <w:tcW w:w="8840" w:type="dxa"/>
            <w:vAlign w:val="bottom"/>
          </w:tcPr>
          <w:p>
            <w:pPr>
              <w:ind w:left="100"/>
              <w:spacing w:after="0"/>
              <w:rPr>
                <w:sz w:val="20"/>
                <w:szCs w:val="20"/>
                <w:color w:val="auto"/>
              </w:rPr>
            </w:pPr>
            <w:r>
              <w:rPr>
                <w:rFonts w:ascii="Arial" w:cs="Arial" w:eastAsia="Arial" w:hAnsi="Arial"/>
                <w:sz w:val="18"/>
                <w:szCs w:val="18"/>
                <w:color w:val="auto"/>
              </w:rPr>
              <w:t>HealthStream, Inc. 2015 Cash Incentive Bonus Plan.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8840" w:type="dxa"/>
            <w:vAlign w:val="bottom"/>
          </w:tcPr>
          <w:p>
            <w:pPr>
              <w:ind w:left="100"/>
              <w:spacing w:after="0"/>
              <w:rPr>
                <w:sz w:val="20"/>
                <w:szCs w:val="20"/>
                <w:color w:val="auto"/>
              </w:rPr>
            </w:pPr>
            <w:r>
              <w:rPr>
                <w:rFonts w:ascii="Arial" w:cs="Arial" w:eastAsia="Arial" w:hAnsi="Arial"/>
                <w:sz w:val="18"/>
                <w:szCs w:val="18"/>
                <w:color w:val="auto"/>
              </w:rPr>
              <w:t>Contribution Agreement dated as of June 30, 2015, between HealthStream, Inc. and Robert A. Frist, Jr.</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84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840" w:type="dxa"/>
            <w:vAlign w:val="bottom"/>
          </w:tcPr>
          <w:p>
            <w:pPr>
              <w:ind w:left="10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8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88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101.1 INS</w:t>
            </w:r>
          </w:p>
        </w:tc>
        <w:tc>
          <w:tcPr>
            <w:tcW w:w="88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101.1 SCH</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101.1 CAL</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101.1 DEF</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101.1 LAB</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101.1 PRE</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from exhibit 10.1 filed on our Current Report on Form 8-K, dated April 16, 2015.</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ectPr>
          <w:pgSz w:w="11900" w:h="16838" w:orient="portrait"/>
          <w:cols w:equalWidth="0" w:num="1">
            <w:col w:w="10219"/>
          </w:cols>
          <w:pgMar w:left="240" w:top="459"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229"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This Contribution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made and entered into as of June 30, 2015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by and between HealthStream, Inc., a Tennessee corporation (“</w:t>
      </w:r>
      <w:r>
        <w:rPr>
          <w:rFonts w:ascii="Arial" w:cs="Arial" w:eastAsia="Arial" w:hAnsi="Arial"/>
          <w:sz w:val="17"/>
          <w:szCs w:val="17"/>
          <w:u w:val="single" w:color="auto"/>
          <w:color w:val="auto"/>
        </w:rPr>
        <w:t>HealthStream</w:t>
      </w:r>
      <w:r>
        <w:rPr>
          <w:rFonts w:ascii="Arial" w:cs="Arial" w:eastAsia="Arial" w:hAnsi="Arial"/>
          <w:sz w:val="17"/>
          <w:szCs w:val="17"/>
          <w:color w:val="auto"/>
        </w:rPr>
        <w:t>”), and Robert A. Frist, Jr., an individual resident of the State of Tennessee (“</w:t>
      </w:r>
      <w:r>
        <w:rPr>
          <w:rFonts w:ascii="Arial" w:cs="Arial" w:eastAsia="Arial" w:hAnsi="Arial"/>
          <w:sz w:val="17"/>
          <w:szCs w:val="17"/>
          <w:u w:val="single" w:color="auto"/>
          <w:color w:val="auto"/>
        </w:rPr>
        <w:t>Frist</w:t>
      </w:r>
      <w:r>
        <w:rPr>
          <w:rFonts w:ascii="Arial" w:cs="Arial" w:eastAsia="Arial" w:hAnsi="Arial"/>
          <w:sz w:val="17"/>
          <w:szCs w:val="17"/>
          <w:color w:val="auto"/>
        </w:rPr>
        <w:t>”).</w:t>
      </w:r>
    </w:p>
    <w:p>
      <w:pPr>
        <w:spacing w:after="0" w:line="143"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Frist desires to contribute to HealthStream, and HealthStream desires to accept from Frist (the “</w:t>
      </w:r>
      <w:r>
        <w:rPr>
          <w:rFonts w:ascii="Arial" w:cs="Arial" w:eastAsia="Arial" w:hAnsi="Arial"/>
          <w:sz w:val="18"/>
          <w:szCs w:val="18"/>
          <w:u w:val="single" w:color="auto"/>
          <w:color w:val="auto"/>
        </w:rPr>
        <w:t>Contribution</w:t>
      </w:r>
      <w:r>
        <w:rPr>
          <w:rFonts w:ascii="Arial" w:cs="Arial" w:eastAsia="Arial" w:hAnsi="Arial"/>
          <w:sz w:val="18"/>
          <w:szCs w:val="18"/>
          <w:color w:val="auto"/>
        </w:rPr>
        <w:t>”), 54,241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no par value (“</w:t>
      </w:r>
      <w:r>
        <w:rPr>
          <w:rFonts w:ascii="Arial" w:cs="Arial" w:eastAsia="Arial" w:hAnsi="Arial"/>
          <w:sz w:val="18"/>
          <w:szCs w:val="18"/>
          <w:u w:val="single" w:color="auto"/>
          <w:color w:val="auto"/>
        </w:rPr>
        <w:t>Common Stock</w:t>
      </w:r>
      <w:r>
        <w:rPr>
          <w:rFonts w:ascii="Arial" w:cs="Arial" w:eastAsia="Arial" w:hAnsi="Arial"/>
          <w:sz w:val="18"/>
          <w:szCs w:val="18"/>
          <w:color w:val="auto"/>
        </w:rPr>
        <w:t>”), of HealthStream (collectively, the “</w:t>
      </w:r>
      <w:r>
        <w:rPr>
          <w:rFonts w:ascii="Arial" w:cs="Arial" w:eastAsia="Arial" w:hAnsi="Arial"/>
          <w:sz w:val="18"/>
          <w:szCs w:val="18"/>
          <w:u w:val="single" w:color="auto"/>
          <w:color w:val="auto"/>
        </w:rPr>
        <w:t>Contributed Shares</w:t>
      </w:r>
      <w:r>
        <w:rPr>
          <w:rFonts w:ascii="Arial" w:cs="Arial" w:eastAsia="Arial" w:hAnsi="Arial"/>
          <w:sz w:val="18"/>
          <w:szCs w:val="18"/>
          <w:color w:val="auto"/>
        </w:rPr>
        <w:t>”);</w:t>
      </w:r>
    </w:p>
    <w:p>
      <w:pPr>
        <w:spacing w:after="0" w:line="162"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terms and conditions of this Agreement and the HealthStream, Inc. 2010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HealthStream</w:t>
      </w:r>
      <w:r>
        <w:rPr>
          <w:rFonts w:ascii="Arial" w:cs="Arial" w:eastAsia="Arial" w:hAnsi="Arial"/>
          <w:sz w:val="18"/>
          <w:szCs w:val="18"/>
          <w:b w:val="1"/>
          <w:bCs w:val="1"/>
          <w:color w:val="auto"/>
        </w:rPr>
        <w:t xml:space="preserve"> </w:t>
      </w:r>
      <w:r>
        <w:rPr>
          <w:rFonts w:ascii="Arial" w:cs="Arial" w:eastAsia="Arial" w:hAnsi="Arial"/>
          <w:sz w:val="18"/>
          <w:szCs w:val="18"/>
          <w:color w:val="auto"/>
        </w:rPr>
        <w:t>desires to grant 49,310 shares of Common Stock (the “</w:t>
      </w:r>
      <w:r>
        <w:rPr>
          <w:rFonts w:ascii="Arial" w:cs="Arial" w:eastAsia="Arial" w:hAnsi="Arial"/>
          <w:sz w:val="18"/>
          <w:szCs w:val="18"/>
          <w:u w:val="single" w:color="auto"/>
          <w:color w:val="auto"/>
        </w:rPr>
        <w:t>Grant Shares</w:t>
      </w:r>
      <w:r>
        <w:rPr>
          <w:rFonts w:ascii="Arial" w:cs="Arial" w:eastAsia="Arial" w:hAnsi="Arial"/>
          <w:sz w:val="18"/>
          <w:szCs w:val="18"/>
          <w:color w:val="auto"/>
        </w:rPr>
        <w:t xml:space="preserve">”) to the individuals and in the amounts set forth on the attached spreadsheet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(such individuals, the “</w:t>
      </w:r>
      <w:r>
        <w:rPr>
          <w:rFonts w:ascii="Arial" w:cs="Arial" w:eastAsia="Arial" w:hAnsi="Arial"/>
          <w:sz w:val="18"/>
          <w:szCs w:val="18"/>
          <w:u w:val="single" w:color="auto"/>
          <w:color w:val="auto"/>
        </w:rPr>
        <w:t>Recipients</w:t>
      </w:r>
      <w:r>
        <w:rPr>
          <w:rFonts w:ascii="Arial" w:cs="Arial" w:eastAsia="Arial" w:hAnsi="Arial"/>
          <w:sz w:val="18"/>
          <w:szCs w:val="18"/>
          <w:color w:val="auto"/>
        </w:rPr>
        <w:t>”); and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HealthStream and Frist desire to memorialize in writing the terms, provisions and conditions of the Contribution and the share grant;</w:t>
      </w:r>
    </w:p>
    <w:p>
      <w:pPr>
        <w:spacing w:after="0" w:line="237"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representations, warranties, covenants and conditions set forth below,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intending to be legally bound, hereby agree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Contribution; Share Grant</w:t>
      </w:r>
      <w:r>
        <w:rPr>
          <w:rFonts w:ascii="Arial" w:cs="Arial" w:eastAsia="Arial" w:hAnsi="Arial"/>
          <w:sz w:val="18"/>
          <w:szCs w:val="18"/>
          <w:color w:val="auto"/>
        </w:rPr>
        <w:t>.</w:t>
      </w:r>
    </w:p>
    <w:p>
      <w:pPr>
        <w:spacing w:after="0" w:line="225" w:lineRule="exact"/>
        <w:rPr>
          <w:sz w:val="20"/>
          <w:szCs w:val="20"/>
          <w:color w:val="auto"/>
        </w:rPr>
      </w:pPr>
    </w:p>
    <w:p>
      <w:pPr>
        <w:ind w:right="160" w:firstLine="921"/>
        <w:spacing w:after="0" w:line="259" w:lineRule="auto"/>
        <w:tabs>
          <w:tab w:leader="none" w:pos="115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Subject to the terms and conditions of this Agreement and without any compensation paid by HealthStream to Frist, at the Closing (as defined below), Frist hereby contributes the Contributed Shares to HealthStream, and HealthStream hereby accepts such contribution. Frist shall execute stock powers or other evidence of transfer evidencing such contribution and transfer as may reasonably be requested by HealthStream, and shall deliver to HealthStream stock certificates (as applicable) representing all of the Contributed Shares.</w:t>
      </w:r>
    </w:p>
    <w:p>
      <w:pPr>
        <w:spacing w:after="0" w:line="186"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Contribution (the “</w:t>
      </w:r>
      <w:r>
        <w:rPr>
          <w:rFonts w:ascii="Arial" w:cs="Arial" w:eastAsia="Arial" w:hAnsi="Arial"/>
          <w:sz w:val="18"/>
          <w:szCs w:val="18"/>
          <w:u w:val="single" w:color="auto"/>
          <w:color w:val="auto"/>
        </w:rPr>
        <w:t>Closing</w:t>
      </w:r>
      <w:r>
        <w:rPr>
          <w:rFonts w:ascii="Arial" w:cs="Arial" w:eastAsia="Arial" w:hAnsi="Arial"/>
          <w:sz w:val="18"/>
          <w:szCs w:val="18"/>
          <w:color w:val="auto"/>
        </w:rPr>
        <w:t>”) will take place at the offices of HealthStream at 209 10</w:t>
      </w:r>
      <w:r>
        <w:rPr>
          <w:rFonts w:ascii="Arial" w:cs="Arial" w:eastAsia="Arial" w:hAnsi="Arial"/>
          <w:sz w:val="15"/>
          <w:szCs w:val="15"/>
          <w:color w:val="auto"/>
        </w:rPr>
        <w:t>th</w:t>
      </w:r>
      <w:r>
        <w:rPr>
          <w:rFonts w:ascii="Arial" w:cs="Arial" w:eastAsia="Arial" w:hAnsi="Arial"/>
          <w:sz w:val="18"/>
          <w:szCs w:val="18"/>
          <w:color w:val="auto"/>
        </w:rPr>
        <w:t xml:space="preserve"> Avenue South, Suite 450, Nashville, Tennessee 37203 at 10:00 a.m. (local time) on the Effective Date concurrently with the execution and delivery hereof.</w:t>
      </w:r>
    </w:p>
    <w:p>
      <w:pPr>
        <w:spacing w:after="0" w:line="170" w:lineRule="exact"/>
        <w:rPr>
          <w:rFonts w:ascii="Arial" w:cs="Arial" w:eastAsia="Arial" w:hAnsi="Arial"/>
          <w:sz w:val="18"/>
          <w:szCs w:val="18"/>
          <w:color w:val="auto"/>
        </w:rPr>
      </w:pPr>
    </w:p>
    <w:p>
      <w:pPr>
        <w:ind w:right="140" w:firstLine="921"/>
        <w:spacing w:after="0" w:line="297" w:lineRule="auto"/>
        <w:tabs>
          <w:tab w:leader="none" w:pos="115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Share Grant</w:t>
      </w:r>
      <w:r>
        <w:rPr>
          <w:rFonts w:ascii="Arial" w:cs="Arial" w:eastAsia="Arial" w:hAnsi="Arial"/>
          <w:sz w:val="16"/>
          <w:szCs w:val="16"/>
          <w:color w:val="auto"/>
        </w:rPr>
        <w:t xml:space="preserve">. HealthStream hereby agrees to grant the Grant Shares to the Recipients pursuant to the Plan in the amounts set forth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hereto as Other Stock-Based Awards (as defined in the Plan), which grants have been approved by the Compensation Committee of HealthStream. Such grants will be subject to the terms of the waiver reflected in that certain letter agreement dated as of June 30, 2015, entered into by and among the Company, Frist, and William Blair &amp; Company, L.L.C., for itself and the other several underwriters (the “</w:t>
      </w:r>
      <w:r>
        <w:rPr>
          <w:rFonts w:ascii="Arial" w:cs="Arial" w:eastAsia="Arial" w:hAnsi="Arial"/>
          <w:sz w:val="16"/>
          <w:szCs w:val="16"/>
          <w:u w:val="single" w:color="auto"/>
          <w:color w:val="auto"/>
        </w:rPr>
        <w:t>Lock-Up Waiver Letter</w:t>
      </w:r>
      <w:r>
        <w:rPr>
          <w:rFonts w:ascii="Arial" w:cs="Arial" w:eastAsia="Arial" w:hAnsi="Arial"/>
          <w:sz w:val="16"/>
          <w:szCs w:val="16"/>
          <w:color w:val="auto"/>
        </w:rPr>
        <w:t>”). It is anticipated that the Grant Shares will be issued to the Recipients on or about August 24, 2015, and such Grant Shares will not be subject to any vesting conditions.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Representations and Warranties of Frist</w:t>
      </w:r>
      <w:r>
        <w:rPr>
          <w:rFonts w:ascii="Arial" w:cs="Arial" w:eastAsia="Arial" w:hAnsi="Arial"/>
          <w:sz w:val="18"/>
          <w:szCs w:val="18"/>
          <w:color w:val="auto"/>
        </w:rPr>
        <w:t>. Frist represents and warrants as of the Closing to HealthStream as follows:</w:t>
      </w:r>
    </w:p>
    <w:p>
      <w:pPr>
        <w:spacing w:after="0" w:line="225" w:lineRule="exact"/>
        <w:rPr>
          <w:sz w:val="20"/>
          <w:szCs w:val="20"/>
          <w:color w:val="auto"/>
        </w:rPr>
      </w:pPr>
    </w:p>
    <w:p>
      <w:pPr>
        <w:ind w:left="-120" w:right="120" w:firstLine="921"/>
        <w:spacing w:after="0" w:line="308" w:lineRule="auto"/>
        <w:tabs>
          <w:tab w:leader="none" w:pos="1037"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This Agreement constitutes the valid and binding obligation of Frist, enforceable against Frist in accordance with its terms. Frist has all requisite power, authority and capacity to execute and deliver this Agreement and to consummate the transactions contemplated hereby.</w:t>
      </w:r>
    </w:p>
    <w:p>
      <w:pPr>
        <w:spacing w:after="0" w:line="146" w:lineRule="exact"/>
        <w:rPr>
          <w:rFonts w:ascii="Arial" w:cs="Arial" w:eastAsia="Arial" w:hAnsi="Arial"/>
          <w:sz w:val="17"/>
          <w:szCs w:val="17"/>
          <w:color w:val="auto"/>
        </w:rPr>
      </w:pPr>
    </w:p>
    <w:p>
      <w:pPr>
        <w:ind w:left="-120" w:right="60" w:firstLine="921"/>
        <w:spacing w:after="0" w:line="264" w:lineRule="auto"/>
        <w:tabs>
          <w:tab w:leader="none" w:pos="104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Neither the execution and delivery of this Agreement by Frist nor the consummation of the transactions contemplated hereby will, directly or indirectly (with or without notice or lapse of time): (i) conflict with any legal requirement or order of any court or governmental authority to which Frist is subject, or (ii) breach any provision of any material contract to which Frist is a party.</w:t>
      </w:r>
    </w:p>
    <w:p>
      <w:pPr>
        <w:spacing w:after="0" w:line="181" w:lineRule="exact"/>
        <w:rPr>
          <w:rFonts w:ascii="Arial" w:cs="Arial" w:eastAsia="Arial" w:hAnsi="Arial"/>
          <w:sz w:val="18"/>
          <w:szCs w:val="18"/>
          <w:color w:val="auto"/>
        </w:rPr>
      </w:pPr>
    </w:p>
    <w:p>
      <w:pPr>
        <w:ind w:left="-120" w:firstLine="921"/>
        <w:spacing w:after="0" w:line="264" w:lineRule="auto"/>
        <w:tabs>
          <w:tab w:leader="none" w:pos="103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Consent</w:t>
      </w:r>
      <w:r>
        <w:rPr>
          <w:rFonts w:ascii="Arial" w:cs="Arial" w:eastAsia="Arial" w:hAnsi="Arial"/>
          <w:sz w:val="18"/>
          <w:szCs w:val="18"/>
          <w:color w:val="auto"/>
        </w:rPr>
        <w:t>. Except for the waiver reflected in the Lock-Up Waiver Letter, Frist is not required to give any notice to or obtain any consent or approval from any person in connection with the execution and delivery of this Agreement by Frist or the consummation of the transactions contemplated hereby.</w:t>
      </w:r>
    </w:p>
    <w:p>
      <w:pPr>
        <w:spacing w:after="0" w:line="181" w:lineRule="exact"/>
        <w:rPr>
          <w:rFonts w:ascii="Arial" w:cs="Arial" w:eastAsia="Arial" w:hAnsi="Arial"/>
          <w:sz w:val="18"/>
          <w:szCs w:val="18"/>
          <w:color w:val="auto"/>
        </w:rPr>
      </w:pPr>
    </w:p>
    <w:p>
      <w:pPr>
        <w:jc w:val="both"/>
        <w:ind w:left="-120" w:right="320" w:firstLine="921"/>
        <w:spacing w:after="0" w:line="342" w:lineRule="auto"/>
        <w:tabs>
          <w:tab w:leader="none" w:pos="104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Legal Proceedings; Orders</w:t>
      </w:r>
      <w:r>
        <w:rPr>
          <w:rFonts w:ascii="Arial" w:cs="Arial" w:eastAsia="Arial" w:hAnsi="Arial"/>
          <w:sz w:val="16"/>
          <w:szCs w:val="16"/>
          <w:color w:val="auto"/>
        </w:rPr>
        <w:t>. There are no legal proceedings or actions pending or, to the knowledge of Frist, threatened, against Frist that challenge, or that may have the effect of preventing, delaying, making illegal or otherwise interfering with, any of the transactions contemplated hereby.</w:t>
      </w:r>
    </w:p>
    <w:p>
      <w:pPr>
        <w:spacing w:after="0" w:line="123" w:lineRule="exact"/>
        <w:rPr>
          <w:rFonts w:ascii="Arial" w:cs="Arial" w:eastAsia="Arial" w:hAnsi="Arial"/>
          <w:sz w:val="16"/>
          <w:szCs w:val="16"/>
          <w:color w:val="auto"/>
        </w:rPr>
      </w:pPr>
    </w:p>
    <w:p>
      <w:pPr>
        <w:ind w:left="1040" w:hanging="23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Ownership of Contributed Shares</w:t>
      </w:r>
      <w:r>
        <w:rPr>
          <w:rFonts w:ascii="Arial" w:cs="Arial" w:eastAsia="Arial" w:hAnsi="Arial"/>
          <w:sz w:val="16"/>
          <w:szCs w:val="16"/>
          <w:color w:val="auto"/>
        </w:rPr>
        <w:t>. Frist has good and valid title to the Contributed Shares, free and clear of all liens and encumbrances.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HealthStream</w:t>
      </w:r>
      <w:r>
        <w:rPr>
          <w:rFonts w:ascii="Arial" w:cs="Arial" w:eastAsia="Arial" w:hAnsi="Arial"/>
          <w:sz w:val="18"/>
          <w:szCs w:val="18"/>
          <w:color w:val="auto"/>
        </w:rPr>
        <w:t>. HealthStream represents and warrants as of the Closing to Frist as follows:</w:t>
      </w:r>
    </w:p>
    <w:p>
      <w:pPr>
        <w:spacing w:after="0" w:line="225" w:lineRule="exact"/>
        <w:rPr>
          <w:sz w:val="20"/>
          <w:szCs w:val="20"/>
          <w:color w:val="auto"/>
        </w:rPr>
      </w:pPr>
    </w:p>
    <w:p>
      <w:pPr>
        <w:ind w:left="-120" w:right="180" w:firstLine="921"/>
        <w:spacing w:after="0" w:line="259" w:lineRule="auto"/>
        <w:tabs>
          <w:tab w:leader="none" w:pos="103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This Agreement constitutes the valid and binding obligation of HealthStream, enforceable against HealthStream in accordance with its terms. HealthStream has all requisite corporate power and authority to execute and deliver this Agreement and to consummate the transactions contemplated hereby. The execution and delivery of this Agreement by HealthStream and the consummation of the transactions contemplated hereby have been duly and validly authorized and approved by HealthStream.</w:t>
      </w:r>
    </w:p>
    <w:p>
      <w:pPr>
        <w:spacing w:after="0" w:line="186" w:lineRule="exact"/>
        <w:rPr>
          <w:rFonts w:ascii="Arial" w:cs="Arial" w:eastAsia="Arial" w:hAnsi="Arial"/>
          <w:sz w:val="18"/>
          <w:szCs w:val="18"/>
          <w:color w:val="auto"/>
        </w:rPr>
      </w:pPr>
    </w:p>
    <w:p>
      <w:pPr>
        <w:ind w:left="-120" w:right="80" w:firstLine="921"/>
        <w:spacing w:after="0" w:line="286" w:lineRule="auto"/>
        <w:tabs>
          <w:tab w:leader="none" w:pos="104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No Conflict</w:t>
      </w:r>
      <w:r>
        <w:rPr>
          <w:rFonts w:ascii="Arial" w:cs="Arial" w:eastAsia="Arial" w:hAnsi="Arial"/>
          <w:sz w:val="17"/>
          <w:szCs w:val="17"/>
          <w:color w:val="auto"/>
        </w:rPr>
        <w:t>. Neither the execution and delivery of this Agreement by HealthStream nor the consummation of the transactions contemplated hereby will, directly or indirectly (with or without notice or lapse of time): (i) conflict with any legal requirement or order of any court or governmental authority to which HealthStream is subject, or (ii) breach any provision of any material contract to which HealthStream is a party.</w:t>
      </w:r>
    </w:p>
    <w:p>
      <w:pPr>
        <w:spacing w:after="0" w:line="165" w:lineRule="exact"/>
        <w:rPr>
          <w:rFonts w:ascii="Arial" w:cs="Arial" w:eastAsia="Arial" w:hAnsi="Arial"/>
          <w:sz w:val="17"/>
          <w:szCs w:val="17"/>
          <w:color w:val="auto"/>
        </w:rPr>
      </w:pPr>
    </w:p>
    <w:p>
      <w:pPr>
        <w:ind w:left="-120" w:right="40" w:firstLine="921"/>
        <w:spacing w:after="0" w:line="264" w:lineRule="auto"/>
        <w:tabs>
          <w:tab w:leader="none" w:pos="103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Consent</w:t>
      </w:r>
      <w:r>
        <w:rPr>
          <w:rFonts w:ascii="Arial" w:cs="Arial" w:eastAsia="Arial" w:hAnsi="Arial"/>
          <w:sz w:val="18"/>
          <w:szCs w:val="18"/>
          <w:color w:val="auto"/>
        </w:rPr>
        <w:t>. Except for the waiver reflected in the Lock-Up Waiver Letter, HealthStream is not required to give any notice to or obtain any consent or approval from any person in connection with the execution and delivery of this Agreement or the consummation of the transactions contemplated hereby.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60" w:top="274" w:right="339" w:bottom="1440" w:gutter="0" w:footer="0" w:header="0"/>
        </w:sectPr>
      </w:pPr>
    </w:p>
    <w:bookmarkStart w:id="28" w:name="page29"/>
    <w:bookmarkEnd w:id="28"/>
    <w:p>
      <w:pPr>
        <w:ind w:left="-40" w:right="440" w:firstLine="921"/>
        <w:spacing w:after="0" w:line="264" w:lineRule="auto"/>
        <w:tabs>
          <w:tab w:leader="none" w:pos="112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Proceedings; Orders</w:t>
      </w:r>
      <w:r>
        <w:rPr>
          <w:rFonts w:ascii="Arial" w:cs="Arial" w:eastAsia="Arial" w:hAnsi="Arial"/>
          <w:sz w:val="18"/>
          <w:szCs w:val="18"/>
          <w:color w:val="auto"/>
        </w:rPr>
        <w:t>. There are no legal proceedings or actions pending or, to the knowledge of HealthStream, threatened, against HealthStream that challenge, or that may have the effect of preventing, delaying, making illegal or otherwise interfering with, any of the transactions contemplated hereby.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0" w:right="140" w:firstLine="921"/>
        <w:spacing w:after="0" w:line="264" w:lineRule="auto"/>
        <w:tabs>
          <w:tab w:leader="none" w:pos="111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failure to exercise, and no delay in exercising, on the part of either party, any privilege, any power or any right hereunder will operate as a waiver thereof, nor will any single or partial exercise of any privilege, right or power hereunder preclude further exercise of any other privilege, right or power hereunder.</w:t>
      </w:r>
    </w:p>
    <w:p>
      <w:pPr>
        <w:spacing w:after="0" w:line="181" w:lineRule="exact"/>
        <w:rPr>
          <w:rFonts w:ascii="Arial" w:cs="Arial" w:eastAsia="Arial" w:hAnsi="Arial"/>
          <w:sz w:val="18"/>
          <w:szCs w:val="18"/>
          <w:color w:val="auto"/>
        </w:rPr>
      </w:pPr>
    </w:p>
    <w:p>
      <w:pPr>
        <w:ind w:left="-40" w:firstLine="921"/>
        <w:spacing w:after="0" w:line="264" w:lineRule="auto"/>
        <w:tabs>
          <w:tab w:leader="none" w:pos="112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Entire Agreement and Modification</w:t>
      </w:r>
      <w:r>
        <w:rPr>
          <w:rFonts w:ascii="Arial" w:cs="Arial" w:eastAsia="Arial" w:hAnsi="Arial"/>
          <w:sz w:val="18"/>
          <w:szCs w:val="18"/>
          <w:color w:val="auto"/>
        </w:rPr>
        <w:t>. This Agreement constitutes the entire agreement between the parties with respect to the subject matter of this agreement and supersedes all prior agreements between the parties with respect to its subject matter. This Agreement may not be amended except by a written agreement signed by the party to be charged with the amendment.</w:t>
      </w:r>
    </w:p>
    <w:p>
      <w:pPr>
        <w:spacing w:after="0" w:line="181" w:lineRule="exact"/>
        <w:rPr>
          <w:rFonts w:ascii="Arial" w:cs="Arial" w:eastAsia="Arial" w:hAnsi="Arial"/>
          <w:sz w:val="18"/>
          <w:szCs w:val="18"/>
          <w:color w:val="auto"/>
        </w:rPr>
      </w:pPr>
    </w:p>
    <w:p>
      <w:pPr>
        <w:ind w:left="-40" w:right="40" w:firstLine="921"/>
        <w:spacing w:after="0" w:line="342" w:lineRule="auto"/>
        <w:tabs>
          <w:tab w:leader="none" w:pos="1117"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Assignment; Binding Effect</w:t>
      </w:r>
      <w:r>
        <w:rPr>
          <w:rFonts w:ascii="Arial" w:cs="Arial" w:eastAsia="Arial" w:hAnsi="Arial"/>
          <w:sz w:val="16"/>
          <w:szCs w:val="16"/>
          <w:color w:val="auto"/>
        </w:rPr>
        <w:t>. This Agreement may not be assigned by either party without the prior written consent of the other party. Subject to the foregoing, this Agreement will be binding upon and shall inure to the benefit of the parties hereto and their permitted successors and assigns.</w:t>
      </w:r>
    </w:p>
    <w:p>
      <w:pPr>
        <w:spacing w:after="0" w:line="123" w:lineRule="exact"/>
        <w:rPr>
          <w:rFonts w:ascii="Arial" w:cs="Arial" w:eastAsia="Arial" w:hAnsi="Arial"/>
          <w:sz w:val="16"/>
          <w:szCs w:val="16"/>
          <w:color w:val="auto"/>
        </w:rPr>
      </w:pPr>
    </w:p>
    <w:p>
      <w:pPr>
        <w:ind w:left="-40" w:right="120" w:firstLine="921"/>
        <w:spacing w:after="0" w:line="264" w:lineRule="auto"/>
        <w:tabs>
          <w:tab w:leader="none" w:pos="112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 of this Agreement will remain in full force and effect. Any invalid or unenforceable provision shall be replaced by HealthStream and Frist with a valid provision which most closely approximates the intent and economic effect of the invalid or unenforceable provision.</w:t>
      </w:r>
    </w:p>
    <w:p>
      <w:pPr>
        <w:spacing w:after="0" w:line="181" w:lineRule="exact"/>
        <w:rPr>
          <w:rFonts w:ascii="Arial" w:cs="Arial" w:eastAsia="Arial" w:hAnsi="Arial"/>
          <w:sz w:val="18"/>
          <w:szCs w:val="18"/>
          <w:color w:val="auto"/>
        </w:rPr>
      </w:pPr>
    </w:p>
    <w:p>
      <w:pPr>
        <w:ind w:left="-40" w:right="100" w:firstLine="921"/>
        <w:spacing w:after="0" w:line="277" w:lineRule="auto"/>
        <w:tabs>
          <w:tab w:leader="none" w:pos="111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State of Tennessee, without regard to the conflict of law provisions thereof.</w:t>
      </w:r>
    </w:p>
    <w:p>
      <w:pPr>
        <w:spacing w:after="0" w:line="170" w:lineRule="exact"/>
        <w:rPr>
          <w:rFonts w:ascii="Arial" w:cs="Arial" w:eastAsia="Arial" w:hAnsi="Arial"/>
          <w:sz w:val="18"/>
          <w:szCs w:val="18"/>
          <w:color w:val="auto"/>
        </w:rPr>
      </w:pPr>
    </w:p>
    <w:p>
      <w:pPr>
        <w:ind w:left="-40" w:right="180" w:firstLine="921"/>
        <w:spacing w:after="0" w:line="264" w:lineRule="auto"/>
        <w:tabs>
          <w:tab w:leader="none" w:pos="109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language used in the Agreement will be construed, in all cases, according to its fair meaning, and not for or against any party hereto. The parties acknowledge that each party has reviewed this Agreement and that rules of construction to the effect that any ambiguities are to be resolved against the drafting party will not be available in the interpretation of this Agreement.</w:t>
      </w:r>
    </w:p>
    <w:p>
      <w:pPr>
        <w:spacing w:after="0" w:line="181" w:lineRule="exact"/>
        <w:rPr>
          <w:rFonts w:ascii="Arial" w:cs="Arial" w:eastAsia="Arial" w:hAnsi="Arial"/>
          <w:sz w:val="18"/>
          <w:szCs w:val="18"/>
          <w:color w:val="auto"/>
        </w:rPr>
      </w:pPr>
    </w:p>
    <w:p>
      <w:pPr>
        <w:ind w:left="-40" w:right="20" w:firstLine="921"/>
        <w:spacing w:after="0" w:line="308" w:lineRule="auto"/>
        <w:tabs>
          <w:tab w:leader="none" w:pos="112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Execution of Agreement; Counterparts</w:t>
      </w:r>
      <w:r>
        <w:rPr>
          <w:rFonts w:ascii="Arial" w:cs="Arial" w:eastAsia="Arial" w:hAnsi="Arial"/>
          <w:sz w:val="17"/>
          <w:szCs w:val="17"/>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Frist and HealthStream have executed this Agreement as of the Effective Date.</w:t>
      </w:r>
    </w:p>
    <w:p>
      <w:pPr>
        <w:spacing w:after="0" w:line="370" w:lineRule="exact"/>
        <w:rPr>
          <w:sz w:val="20"/>
          <w:szCs w:val="20"/>
          <w:color w:val="auto"/>
        </w:rPr>
      </w:pPr>
    </w:p>
    <w:p>
      <w:pPr>
        <w:jc w:val="right"/>
        <w:ind w:right="3100"/>
        <w:spacing w:after="0"/>
        <w:rPr>
          <w:sz w:val="20"/>
          <w:szCs w:val="20"/>
          <w:color w:val="auto"/>
        </w:rPr>
      </w:pPr>
      <w:r>
        <w:rPr>
          <w:rFonts w:ascii="Arial" w:cs="Arial" w:eastAsia="Arial" w:hAnsi="Arial"/>
          <w:sz w:val="18"/>
          <w:szCs w:val="18"/>
          <w:b w:val="1"/>
          <w:bCs w:val="1"/>
          <w:color w:val="auto"/>
        </w:rPr>
        <w:t>Robert A. Frist, Jr.</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Sign Name:</w:t>
            </w:r>
          </w:p>
        </w:tc>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A. Frist, Jr.</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June 30, 2015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Gerard M. Hayden</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Gerard M. Hayden</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July 31, 2015</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5620" w:type="dxa"/>
            <w:vAlign w:val="bottom"/>
          </w:tcPr>
          <w:p>
            <w:pPr>
              <w:spacing w:after="0"/>
              <w:rPr>
                <w:sz w:val="16"/>
                <w:szCs w:val="16"/>
                <w:color w:val="auto"/>
              </w:rPr>
            </w:pPr>
          </w:p>
        </w:tc>
        <w:tc>
          <w:tcPr>
            <w:tcW w:w="5800" w:type="dxa"/>
            <w:vAlign w:val="bottom"/>
          </w:tcPr>
          <w:p>
            <w:pPr>
              <w:ind w:left="100"/>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62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July 31, 2015</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5620" w:type="dxa"/>
            <w:vAlign w:val="bottom"/>
          </w:tcPr>
          <w:p>
            <w:pPr>
              <w:spacing w:after="0"/>
              <w:rPr>
                <w:sz w:val="16"/>
                <w:szCs w:val="16"/>
                <w:color w:val="auto"/>
              </w:rPr>
            </w:pPr>
          </w:p>
        </w:tc>
        <w:tc>
          <w:tcPr>
            <w:tcW w:w="5800" w:type="dxa"/>
            <w:vAlign w:val="bottom"/>
          </w:tcPr>
          <w:p>
            <w:pPr>
              <w:ind w:left="100"/>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62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2015,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1140" w:hanging="56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580" w:hanging="565"/>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p>
      <w:pPr>
        <w:sectPr>
          <w:pgSz w:w="11900" w:h="16838" w:orient="portrait"/>
          <w:cols w:equalWidth="0" w:num="1">
            <w:col w:w="11380"/>
          </w:cols>
          <w:pgMar w:left="240" w:top="125" w:right="27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2015,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580" w:hanging="565"/>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4"/>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2019-12-29T16:59:55Z</dcterms:created>
  <dcterms:modified xsi:type="dcterms:W3CDTF">2019-12-29T16:59:55Z</dcterms:modified>
</cp:coreProperties>
</file>