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400" w:hanging="393"/>
        <w:spacing w:after="0"/>
        <w:tabs>
          <w:tab w:leader="none" w:pos="4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-128905</wp:posOffset>
            </wp:positionV>
            <wp:extent cx="103505"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 cy="10477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2020</w:t>
      </w:r>
    </w:p>
    <w:p>
      <w:pPr>
        <w:spacing w:after="0" w:line="186" w:lineRule="exact"/>
        <w:rPr>
          <w:sz w:val="24"/>
          <w:szCs w:val="24"/>
          <w:color w:val="auto"/>
        </w:rPr>
      </w:pPr>
    </w:p>
    <w:p>
      <w:pPr>
        <w:ind w:left="380" w:hanging="373"/>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-121285</wp:posOffset>
            </wp:positionV>
            <wp:extent cx="103505" cy="10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 cy="10477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8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20" w:type="dxa"/>
            <w:vAlign w:val="bottom"/>
            <w:gridSpan w:val="6"/>
          </w:tcPr>
          <w:p>
            <w:pPr>
              <w:jc w:val="center"/>
              <w:ind w:left="1541"/>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gridSpan w:val="5"/>
          </w:tcPr>
          <w:p>
            <w:pPr>
              <w:jc w:val="center"/>
              <w:ind w:right="1760"/>
              <w:spacing w:after="0" w:line="145"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5"/>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90"/>
              </w:rPr>
              <w:t>incorporation or organization)</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4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7400" w:type="dxa"/>
            <w:vAlign w:val="bottom"/>
            <w:gridSpan w:val="12"/>
          </w:tcPr>
          <w:p>
            <w:pPr>
              <w:jc w:val="center"/>
              <w:ind w:right="1760"/>
              <w:spacing w:after="0"/>
              <w:rPr>
                <w:sz w:val="20"/>
                <w:szCs w:val="20"/>
                <w:color w:val="auto"/>
              </w:rPr>
            </w:pPr>
            <w:r>
              <w:rPr>
                <w:rFonts w:ascii="Arial" w:cs="Arial" w:eastAsia="Arial" w:hAnsi="Arial"/>
                <w:sz w:val="18"/>
                <w:szCs w:val="18"/>
                <w:b w:val="1"/>
                <w:bCs w:val="1"/>
                <w:color w:val="auto"/>
                <w:w w:val="86"/>
              </w:rPr>
              <w:t>500 11th Avenue North, Suite 1000,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960" w:type="dxa"/>
            <w:vAlign w:val="bottom"/>
            <w:gridSpan w:val="5"/>
          </w:tcPr>
          <w:p>
            <w:pPr>
              <w:jc w:val="center"/>
              <w:ind w:right="440"/>
              <w:spacing w:after="0" w:line="193" w:lineRule="exact"/>
              <w:rPr>
                <w:sz w:val="20"/>
                <w:szCs w:val="20"/>
                <w:color w:val="auto"/>
              </w:rPr>
            </w:pPr>
            <w:r>
              <w:rPr>
                <w:rFonts w:ascii="Arial" w:cs="Arial" w:eastAsia="Arial" w:hAnsi="Arial"/>
                <w:sz w:val="18"/>
                <w:szCs w:val="18"/>
                <w:b w:val="1"/>
                <w:bCs w:val="1"/>
                <w:color w:val="auto"/>
                <w:w w:val="83"/>
              </w:rPr>
              <w:t>Nashville, Tennessee</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4"/>
          </w:tcPr>
          <w:p>
            <w:pPr>
              <w:jc w:val="right"/>
              <w:ind w:right="111"/>
              <w:spacing w:after="0" w:line="193"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20" w:type="dxa"/>
            <w:vAlign w:val="bottom"/>
            <w:gridSpan w:val="4"/>
          </w:tcPr>
          <w:p>
            <w:pPr>
              <w:jc w:val="center"/>
              <w:ind w:right="238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86"/>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(615) 301-3100</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4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7"/>
              </w:rPr>
              <w:t>Title of each class</w:t>
            </w:r>
          </w:p>
        </w:tc>
        <w:tc>
          <w:tcPr>
            <w:tcW w:w="700" w:type="dxa"/>
            <w:vAlign w:val="bottom"/>
          </w:tcPr>
          <w:p>
            <w:pPr>
              <w:spacing w:after="0"/>
              <w:rPr>
                <w:sz w:val="24"/>
                <w:szCs w:val="24"/>
                <w:color w:val="auto"/>
              </w:rPr>
            </w:pPr>
          </w:p>
        </w:tc>
        <w:tc>
          <w:tcPr>
            <w:tcW w:w="2680" w:type="dxa"/>
            <w:vAlign w:val="bottom"/>
            <w:gridSpan w:val="5"/>
          </w:tcPr>
          <w:p>
            <w:pPr>
              <w:jc w:val="center"/>
              <w:ind w:right="1400"/>
              <w:spacing w:after="0"/>
              <w:rPr>
                <w:sz w:val="20"/>
                <w:szCs w:val="20"/>
                <w:color w:val="auto"/>
              </w:rPr>
            </w:pPr>
            <w:r>
              <w:rPr>
                <w:rFonts w:ascii="Arial" w:cs="Arial" w:eastAsia="Arial" w:hAnsi="Arial"/>
                <w:sz w:val="16"/>
                <w:szCs w:val="16"/>
                <w:b w:val="1"/>
                <w:bCs w:val="1"/>
                <w:color w:val="auto"/>
                <w:w w:val="91"/>
              </w:rPr>
              <w:t>Trading Symbol(s)</w:t>
            </w:r>
          </w:p>
        </w:tc>
        <w:tc>
          <w:tcPr>
            <w:tcW w:w="38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vMerge w:val="restart"/>
          </w:tcPr>
          <w:p>
            <w:pPr>
              <w:jc w:val="center"/>
              <w:ind w:right="231"/>
              <w:spacing w:after="0"/>
              <w:rPr>
                <w:sz w:val="20"/>
                <w:szCs w:val="20"/>
                <w:color w:val="auto"/>
              </w:rPr>
            </w:pPr>
            <w:r>
              <w:rPr>
                <w:rFonts w:ascii="Arial" w:cs="Arial" w:eastAsia="Arial" w:hAnsi="Arial"/>
                <w:sz w:val="18"/>
                <w:szCs w:val="18"/>
                <w:color w:val="auto"/>
                <w:w w:val="97"/>
              </w:rPr>
              <w:t>HSTM</w:t>
            </w:r>
          </w:p>
        </w:tc>
        <w:tc>
          <w:tcPr>
            <w:tcW w:w="980" w:type="dxa"/>
            <w:vAlign w:val="bottom"/>
            <w:gridSpan w:val="2"/>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89"/>
              </w:rPr>
              <w:t>Common Stock (Par Value $0.00)</w:t>
            </w:r>
          </w:p>
        </w:tc>
        <w:tc>
          <w:tcPr>
            <w:tcW w:w="2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80" w:type="dxa"/>
            <w:vAlign w:val="bottom"/>
            <w:gridSpan w:val="2"/>
          </w:tcPr>
          <w:p>
            <w:pPr>
              <w:jc w:val="center"/>
              <w:ind w:right="1680"/>
              <w:spacing w:after="0"/>
              <w:rPr>
                <w:sz w:val="20"/>
                <w:szCs w:val="20"/>
                <w:color w:val="auto"/>
              </w:rPr>
            </w:pPr>
            <w:r>
              <w:rPr>
                <w:rFonts w:ascii="Arial" w:cs="Arial" w:eastAsia="Arial" w:hAnsi="Arial"/>
                <w:sz w:val="18"/>
                <w:szCs w:val="18"/>
                <w:color w:val="auto"/>
                <w:w w:val="86"/>
              </w:rPr>
              <w:t>Nasdaq</w:t>
            </w:r>
          </w:p>
        </w:tc>
        <w:tc>
          <w:tcPr>
            <w:tcW w:w="0" w:type="dxa"/>
            <w:vAlign w:val="bottom"/>
          </w:tcPr>
          <w:p>
            <w:pPr>
              <w:spacing w:after="0"/>
              <w:rPr>
                <w:sz w:val="1"/>
                <w:szCs w:val="1"/>
                <w:color w:val="auto"/>
              </w:rPr>
            </w:pPr>
          </w:p>
        </w:tc>
      </w:tr>
    </w:tbl>
    <w:p>
      <w:pPr>
        <w:spacing w:after="0" w:line="14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3"/>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8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1"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2280"/>
        <w:spacing w:after="0" w:line="32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2020, there were 31,997,499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928370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Page</w:t>
            </w:r>
          </w:p>
        </w:tc>
      </w:tr>
      <w:tr>
        <w:trPr>
          <w:trHeight w:val="170"/>
        </w:trPr>
        <w:tc>
          <w:tcPr>
            <w:tcW w:w="8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327"/>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6"/>
        </w:trPr>
        <w:tc>
          <w:tcPr>
            <w:tcW w:w="840" w:type="dxa"/>
            <w:vAlign w:val="bottom"/>
          </w:tcPr>
          <w:p>
            <w:pPr>
              <w:spacing w:after="0"/>
              <w:rPr>
                <w:sz w:val="24"/>
                <w:szCs w:val="24"/>
                <w:color w:val="auto"/>
              </w:rPr>
            </w:pPr>
          </w:p>
        </w:tc>
        <w:tc>
          <w:tcPr>
            <w:tcW w:w="9500" w:type="dxa"/>
            <w:vAlign w:val="bottom"/>
            <w:gridSpan w:val="11"/>
          </w:tcPr>
          <w:p>
            <w:pPr>
              <w:ind w:left="200"/>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Condensed Consolidated Balance Sheets (Unaudited) – March 31, 2020 and December 31, 201</w:t>
              </w:r>
            </w:hyperlink>
            <w:r>
              <w:rPr>
                <w:rFonts w:ascii="Arial" w:cs="Arial" w:eastAsia="Arial" w:hAnsi="Arial"/>
                <w:sz w:val="18"/>
                <w:szCs w:val="18"/>
                <w:color w:val="000000"/>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5"/>
        </w:trPr>
        <w:tc>
          <w:tcPr>
            <w:tcW w:w="840" w:type="dxa"/>
            <w:vAlign w:val="bottom"/>
          </w:tcPr>
          <w:p>
            <w:pPr>
              <w:spacing w:after="0"/>
              <w:rPr>
                <w:sz w:val="24"/>
                <w:szCs w:val="24"/>
                <w:color w:val="auto"/>
              </w:rPr>
            </w:pPr>
          </w:p>
        </w:tc>
        <w:tc>
          <w:tcPr>
            <w:tcW w:w="9500" w:type="dxa"/>
            <w:vAlign w:val="bottom"/>
            <w:gridSpan w:val="11"/>
          </w:tcPr>
          <w:p>
            <w:pPr>
              <w:ind w:left="20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Condensed Consolidated Statements of Income (Unaudited) – Three Months ended March 31, 2020 and 201</w:t>
              </w:r>
            </w:hyperlink>
            <w:r>
              <w:rPr>
                <w:rFonts w:ascii="Arial" w:cs="Arial" w:eastAsia="Arial" w:hAnsi="Arial"/>
                <w:sz w:val="18"/>
                <w:szCs w:val="18"/>
                <w:color w:val="000000"/>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4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5"/>
        </w:trPr>
        <w:tc>
          <w:tcPr>
            <w:tcW w:w="840" w:type="dxa"/>
            <w:vAlign w:val="bottom"/>
          </w:tcPr>
          <w:p>
            <w:pPr>
              <w:spacing w:after="0"/>
              <w:rPr>
                <w:sz w:val="24"/>
                <w:szCs w:val="24"/>
                <w:color w:val="auto"/>
              </w:rPr>
            </w:pPr>
          </w:p>
        </w:tc>
        <w:tc>
          <w:tcPr>
            <w:tcW w:w="9500" w:type="dxa"/>
            <w:vAlign w:val="bottom"/>
            <w:gridSpan w:val="11"/>
          </w:tcPr>
          <w:p>
            <w:pPr>
              <w:ind w:left="200"/>
              <w:spacing w:after="0"/>
              <w:rPr>
                <w:rFonts w:ascii="Arial" w:cs="Arial" w:eastAsia="Arial" w:hAnsi="Arial"/>
                <w:sz w:val="18"/>
                <w:szCs w:val="18"/>
                <w:color w:val="0000EE"/>
                <w:w w:val="92"/>
              </w:rPr>
            </w:pPr>
            <w:hyperlink w:anchor="page5">
              <w:r>
                <w:rPr>
                  <w:rFonts w:ascii="Arial" w:cs="Arial" w:eastAsia="Arial" w:hAnsi="Arial"/>
                  <w:sz w:val="18"/>
                  <w:szCs w:val="18"/>
                  <w:u w:val="single" w:color="auto"/>
                  <w:color w:val="0000EE"/>
                  <w:w w:val="92"/>
                </w:rPr>
                <w:t>Condensed Consolidated Statements of Comprehensive Income (Unaudited) – Three Months ended March 31, 2020 and 201</w:t>
              </w:r>
            </w:hyperlink>
            <w:r>
              <w:rPr>
                <w:rFonts w:ascii="Arial" w:cs="Arial" w:eastAsia="Arial" w:hAnsi="Arial"/>
                <w:sz w:val="18"/>
                <w:szCs w:val="18"/>
                <w:color w:val="000000"/>
                <w:w w:val="92"/>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5"/>
        </w:trPr>
        <w:tc>
          <w:tcPr>
            <w:tcW w:w="840" w:type="dxa"/>
            <w:vAlign w:val="bottom"/>
          </w:tcPr>
          <w:p>
            <w:pPr>
              <w:spacing w:after="0"/>
              <w:rPr>
                <w:sz w:val="24"/>
                <w:szCs w:val="24"/>
                <w:color w:val="auto"/>
              </w:rPr>
            </w:pPr>
          </w:p>
        </w:tc>
        <w:tc>
          <w:tcPr>
            <w:tcW w:w="8900" w:type="dxa"/>
            <w:vAlign w:val="bottom"/>
            <w:gridSpan w:val="9"/>
          </w:tcPr>
          <w:p>
            <w:pPr>
              <w:ind w:left="200"/>
              <w:spacing w:after="0"/>
              <w:rPr>
                <w:rFonts w:ascii="Arial" w:cs="Arial" w:eastAsia="Arial" w:hAnsi="Arial"/>
                <w:sz w:val="18"/>
                <w:szCs w:val="18"/>
                <w:color w:val="0000EE"/>
                <w:w w:val="89"/>
              </w:rPr>
            </w:pPr>
            <w:hyperlink w:anchor="page6">
              <w:r>
                <w:rPr>
                  <w:rFonts w:ascii="Arial" w:cs="Arial" w:eastAsia="Arial" w:hAnsi="Arial"/>
                  <w:sz w:val="18"/>
                  <w:szCs w:val="18"/>
                  <w:u w:val="single" w:color="auto"/>
                  <w:color w:val="0000EE"/>
                  <w:w w:val="89"/>
                </w:rPr>
                <w:t>Condensed Consolidated Statement of Shareholders' Equity (Unaudited) – Three Months ended March 31, 2020 and 201</w:t>
              </w:r>
            </w:hyperlink>
            <w:r>
              <w:rPr>
                <w:rFonts w:ascii="Arial" w:cs="Arial" w:eastAsia="Arial" w:hAnsi="Arial"/>
                <w:sz w:val="18"/>
                <w:szCs w:val="18"/>
                <w:color w:val="000000"/>
                <w:w w:val="89"/>
              </w:rPr>
              <w:t>9</w:t>
            </w:r>
          </w:p>
        </w:tc>
        <w:tc>
          <w:tcPr>
            <w:tcW w:w="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5"/>
        </w:trPr>
        <w:tc>
          <w:tcPr>
            <w:tcW w:w="840" w:type="dxa"/>
            <w:vAlign w:val="bottom"/>
          </w:tcPr>
          <w:p>
            <w:pPr>
              <w:spacing w:after="0"/>
              <w:rPr>
                <w:sz w:val="24"/>
                <w:szCs w:val="24"/>
                <w:color w:val="auto"/>
              </w:rPr>
            </w:pPr>
          </w:p>
        </w:tc>
        <w:tc>
          <w:tcPr>
            <w:tcW w:w="8620" w:type="dxa"/>
            <w:vAlign w:val="bottom"/>
            <w:gridSpan w:val="7"/>
          </w:tcPr>
          <w:p>
            <w:pPr>
              <w:ind w:left="200"/>
              <w:spacing w:after="0"/>
              <w:rPr>
                <w:rFonts w:ascii="Arial" w:cs="Arial" w:eastAsia="Arial" w:hAnsi="Arial"/>
                <w:sz w:val="18"/>
                <w:szCs w:val="18"/>
                <w:color w:val="0000EE"/>
                <w:w w:val="92"/>
              </w:rPr>
            </w:pPr>
            <w:hyperlink w:anchor="page7">
              <w:r>
                <w:rPr>
                  <w:rFonts w:ascii="Arial" w:cs="Arial" w:eastAsia="Arial" w:hAnsi="Arial"/>
                  <w:sz w:val="18"/>
                  <w:szCs w:val="18"/>
                  <w:u w:val="single" w:color="auto"/>
                  <w:color w:val="0000EE"/>
                  <w:w w:val="92"/>
                </w:rPr>
                <w:t>Condensed Consolidated Statements of Cash Flows (Unaudited) – Three Months ended March 31, 2020 and 201</w:t>
              </w:r>
            </w:hyperlink>
            <w:r>
              <w:rPr>
                <w:rFonts w:ascii="Arial" w:cs="Arial" w:eastAsia="Arial" w:hAnsi="Arial"/>
                <w:sz w:val="18"/>
                <w:szCs w:val="18"/>
                <w:color w:val="000000"/>
                <w:w w:val="92"/>
              </w:rPr>
              <w:t>9</w:t>
            </w:r>
          </w:p>
        </w:tc>
        <w:tc>
          <w:tcPr>
            <w:tcW w:w="80" w:type="dxa"/>
            <w:vAlign w:val="bottom"/>
            <w:tcBorders>
              <w:top w:val="single" w:sz="8" w:color="auto"/>
            </w:tcBorders>
          </w:tcPr>
          <w:p>
            <w:pPr>
              <w:spacing w:after="0"/>
              <w:rPr>
                <w:sz w:val="24"/>
                <w:szCs w:val="24"/>
                <w:color w:val="auto"/>
              </w:rPr>
            </w:pPr>
          </w:p>
        </w:tc>
        <w:tc>
          <w:tcPr>
            <w:tcW w:w="8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3"/>
        </w:trPr>
        <w:tc>
          <w:tcPr>
            <w:tcW w:w="840" w:type="dxa"/>
            <w:vAlign w:val="bottom"/>
          </w:tcPr>
          <w:p>
            <w:pPr>
              <w:spacing w:after="0"/>
              <w:rPr>
                <w:sz w:val="24"/>
                <w:szCs w:val="24"/>
                <w:color w:val="auto"/>
              </w:rPr>
            </w:pPr>
          </w:p>
        </w:tc>
        <w:tc>
          <w:tcPr>
            <w:tcW w:w="8060" w:type="dxa"/>
            <w:vAlign w:val="bottom"/>
            <w:gridSpan w:val="5"/>
          </w:tcPr>
          <w:p>
            <w:pPr>
              <w:ind w:left="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80" w:type="dxa"/>
            <w:vAlign w:val="bottom"/>
            <w:tcBorders>
              <w:top w:val="single" w:sz="8" w:color="auto"/>
            </w:tcBorders>
          </w:tcPr>
          <w:p>
            <w:pPr>
              <w:spacing w:after="0"/>
              <w:rPr>
                <w:sz w:val="24"/>
                <w:szCs w:val="24"/>
                <w:color w:val="auto"/>
              </w:rPr>
            </w:pPr>
          </w:p>
        </w:tc>
        <w:tc>
          <w:tcPr>
            <w:tcW w:w="136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5"/>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5"/>
        </w:trPr>
        <w:tc>
          <w:tcPr>
            <w:tcW w:w="840" w:type="dxa"/>
            <w:vAlign w:val="bottom"/>
          </w:tcPr>
          <w:p>
            <w:pPr>
              <w:spacing w:after="0"/>
              <w:rPr>
                <w:sz w:val="24"/>
                <w:szCs w:val="24"/>
                <w:color w:val="auto"/>
              </w:rPr>
            </w:pPr>
          </w:p>
        </w:tc>
        <w:tc>
          <w:tcPr>
            <w:tcW w:w="9500" w:type="dxa"/>
            <w:vAlign w:val="bottom"/>
            <w:gridSpan w:val="11"/>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695"/>
        </w:trPr>
        <w:tc>
          <w:tcPr>
            <w:tcW w:w="8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78"/>
        </w:trPr>
        <w:tc>
          <w:tcPr>
            <w:tcW w:w="6580" w:type="dxa"/>
            <w:vAlign w:val="bottom"/>
            <w:tcBorders>
              <w:bottom w:val="single" w:sz="8" w:color="CFF0FC"/>
            </w:tcBorders>
          </w:tcPr>
          <w:p>
            <w:pPr>
              <w:spacing w:after="0"/>
              <w:rPr>
                <w:sz w:val="15"/>
                <w:szCs w:val="15"/>
                <w:color w:val="auto"/>
              </w:rPr>
            </w:pP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jc w:val="right"/>
              <w:ind w:right="2444"/>
              <w:spacing w:after="0" w:line="167" w:lineRule="exact"/>
              <w:rPr>
                <w:sz w:val="20"/>
                <w:szCs w:val="20"/>
                <w:color w:val="auto"/>
              </w:rPr>
            </w:pPr>
            <w:r>
              <w:rPr>
                <w:rFonts w:ascii="Arial" w:cs="Arial" w:eastAsia="Arial" w:hAnsi="Arial"/>
                <w:sz w:val="15"/>
                <w:szCs w:val="15"/>
                <w:b w:val="1"/>
                <w:bCs w:val="1"/>
                <w:color w:val="auto"/>
              </w:rPr>
              <w:t>ASSETS</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assets: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107,425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131,538</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34,585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41,328</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Accounts receivable, net of allowance for doubtful accounts of $1,004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$843 at March 31, 2020 and December 31, 2019,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32,301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27,650</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2,454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2,726</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15,100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11,898</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8,791</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9,432</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8" w:lineRule="exact"/>
              <w:rPr>
                <w:sz w:val="20"/>
                <w:szCs w:val="20"/>
                <w:color w:val="auto"/>
              </w:rPr>
            </w:pPr>
            <w:r>
              <w:rPr>
                <w:rFonts w:ascii="Arial" w:cs="Arial" w:eastAsia="Arial" w:hAnsi="Arial"/>
                <w:sz w:val="15"/>
                <w:szCs w:val="15"/>
                <w:color w:val="auto"/>
              </w:rPr>
              <w:t>Total current assets</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200,656</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224,572</w:t>
            </w:r>
          </w:p>
        </w:tc>
        <w:tc>
          <w:tcPr>
            <w:tcW w:w="100" w:type="dxa"/>
            <w:vAlign w:val="bottom"/>
            <w:shd w:val="clear" w:color="auto" w:fill="CFF0FC"/>
          </w:tcPr>
          <w:p>
            <w:pPr>
              <w:spacing w:after="0"/>
              <w:rPr>
                <w:sz w:val="14"/>
                <w:szCs w:val="14"/>
                <w:color w:val="auto"/>
              </w:rPr>
            </w:pPr>
          </w:p>
        </w:tc>
      </w:t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Property and equipment, net of accumulated depreciation of $21,155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jc w:val="right"/>
              <w:ind w:right="2444"/>
              <w:spacing w:after="0"/>
              <w:rPr>
                <w:sz w:val="20"/>
                <w:szCs w:val="20"/>
                <w:color w:val="auto"/>
              </w:rPr>
            </w:pPr>
            <w:r>
              <w:rPr>
                <w:rFonts w:ascii="Arial" w:cs="Arial" w:eastAsia="Arial" w:hAnsi="Arial"/>
                <w:sz w:val="15"/>
                <w:szCs w:val="15"/>
                <w:color w:val="auto"/>
                <w:w w:val="93"/>
              </w:rPr>
              <w:t>$19,291 at March 31, 2020 and December 31, 2019,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24,425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26,065</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Capitalized software development, net of accumulated amortization of $60,752 and</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jc w:val="right"/>
              <w:ind w:right="2444"/>
              <w:spacing w:after="0"/>
              <w:rPr>
                <w:sz w:val="20"/>
                <w:szCs w:val="20"/>
                <w:color w:val="auto"/>
              </w:rPr>
            </w:pPr>
            <w:r>
              <w:rPr>
                <w:rFonts w:ascii="Arial" w:cs="Arial" w:eastAsia="Arial" w:hAnsi="Arial"/>
                <w:sz w:val="15"/>
                <w:szCs w:val="15"/>
                <w:color w:val="auto"/>
                <w:w w:val="93"/>
              </w:rPr>
              <w:t>$57,768 at March 31, 2020 and December 31, 2019, respectively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22,209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21,445</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29,135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29,615</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Goodwill</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123,283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102,196</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Customer-related intangibles, net of accumulated amortization of $31,446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jc w:val="right"/>
              <w:ind w:right="2444"/>
              <w:spacing w:after="0"/>
              <w:rPr>
                <w:sz w:val="20"/>
                <w:szCs w:val="20"/>
                <w:color w:val="auto"/>
              </w:rPr>
            </w:pPr>
            <w:r>
              <w:rPr>
                <w:rFonts w:ascii="Arial" w:cs="Arial" w:eastAsia="Arial" w:hAnsi="Arial"/>
                <w:sz w:val="15"/>
                <w:szCs w:val="15"/>
                <w:color w:val="auto"/>
                <w:w w:val="93"/>
              </w:rPr>
              <w:t>$29,760 at March 31, 2020 and December 31, 2019,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50,904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52,554</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Other intangible assets, net of accumulated amortization of $13,651 and</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jc w:val="right"/>
              <w:ind w:right="2444"/>
              <w:spacing w:after="0"/>
              <w:rPr>
                <w:sz w:val="20"/>
                <w:szCs w:val="20"/>
                <w:color w:val="auto"/>
              </w:rPr>
            </w:pPr>
            <w:r>
              <w:rPr>
                <w:rFonts w:ascii="Arial" w:cs="Arial" w:eastAsia="Arial" w:hAnsi="Arial"/>
                <w:sz w:val="15"/>
                <w:szCs w:val="15"/>
                <w:color w:val="auto"/>
                <w:w w:val="93"/>
              </w:rPr>
              <w:t>$12,735 at March 31, 2020 and December 31, 2019, respectively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8,421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7,527</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commissions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17,088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17,645</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6,782</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assets</w:t>
            </w:r>
          </w:p>
        </w:tc>
        <w:tc>
          <w:tcPr>
            <w:tcW w:w="142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481,511</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7"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489,544</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4"/>
        </w:trPr>
        <w:tc>
          <w:tcPr>
            <w:tcW w:w="6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shd w:val="clear" w:color="auto" w:fill="CFF0FC"/>
          </w:tcPr>
          <w:p>
            <w:pPr>
              <w:ind w:left="2140"/>
              <w:spacing w:after="0"/>
              <w:rPr>
                <w:sz w:val="20"/>
                <w:szCs w:val="20"/>
                <w:color w:val="auto"/>
              </w:rPr>
            </w:pPr>
            <w:r>
              <w:rPr>
                <w:rFonts w:ascii="Arial" w:cs="Arial" w:eastAsia="Arial" w:hAnsi="Arial"/>
                <w:sz w:val="15"/>
                <w:szCs w:val="15"/>
                <w:b w:val="1"/>
                <w:bCs w:val="1"/>
                <w:color w:val="auto"/>
              </w:rPr>
              <w:t>LIABILITIES AND SHAREHOLDERS’ EQUITY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16,366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22,938</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13,738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16,736</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72,370</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65,511</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Pr>
          <w:p>
            <w:pPr>
              <w:ind w:left="500"/>
              <w:spacing w:after="0" w:line="167" w:lineRule="exact"/>
              <w:rPr>
                <w:sz w:val="20"/>
                <w:szCs w:val="20"/>
                <w:color w:val="auto"/>
              </w:rPr>
            </w:pPr>
            <w:r>
              <w:rPr>
                <w:rFonts w:ascii="Arial" w:cs="Arial" w:eastAsia="Arial" w:hAnsi="Arial"/>
                <w:sz w:val="15"/>
                <w:szCs w:val="15"/>
                <w:color w:val="auto"/>
              </w:rPr>
              <w:t>Total current liabilities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line="167" w:lineRule="exact"/>
              <w:rPr>
                <w:sz w:val="20"/>
                <w:szCs w:val="20"/>
                <w:color w:val="auto"/>
              </w:rPr>
            </w:pPr>
            <w:r>
              <w:rPr>
                <w:rFonts w:ascii="Arial" w:cs="Arial" w:eastAsia="Arial" w:hAnsi="Arial"/>
                <w:sz w:val="15"/>
                <w:szCs w:val="15"/>
                <w:color w:val="auto"/>
              </w:rPr>
              <w:t>102,474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7" w:lineRule="exact"/>
              <w:rPr>
                <w:sz w:val="20"/>
                <w:szCs w:val="20"/>
                <w:color w:val="auto"/>
              </w:rPr>
            </w:pPr>
            <w:r>
              <w:rPr>
                <w:rFonts w:ascii="Arial" w:cs="Arial" w:eastAsia="Arial" w:hAnsi="Arial"/>
                <w:sz w:val="15"/>
                <w:szCs w:val="15"/>
                <w:color w:val="auto"/>
              </w:rPr>
              <w:t>105,185</w:t>
            </w:r>
          </w:p>
        </w:tc>
        <w:tc>
          <w:tcPr>
            <w:tcW w:w="100" w:type="dxa"/>
            <w:vAlign w:val="bottom"/>
          </w:tcPr>
          <w:p>
            <w:pPr>
              <w:spacing w:after="0"/>
              <w:rPr>
                <w:sz w:val="14"/>
                <w:szCs w:val="14"/>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11,565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13,183</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1,918</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30,108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30,733</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Shareholders’ equity: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Common stock, no par value, 75,000 shares authorized; 32,003 and 32,379 shares</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March 31, 2020 and December 31, 2019,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280,322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290,021</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55,235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48,143</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(loss) income</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(141)</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Borders>
              <w:bottom w:val="single" w:sz="8" w:color="CFF0FC"/>
            </w:tcBorders>
          </w:tcPr>
          <w:p>
            <w:pPr>
              <w:ind w:left="500"/>
              <w:spacing w:after="0" w:line="167" w:lineRule="exact"/>
              <w:rPr>
                <w:sz w:val="20"/>
                <w:szCs w:val="20"/>
                <w:color w:val="auto"/>
              </w:rPr>
            </w:pPr>
            <w:r>
              <w:rPr>
                <w:rFonts w:ascii="Arial" w:cs="Arial" w:eastAsia="Arial" w:hAnsi="Arial"/>
                <w:sz w:val="15"/>
                <w:szCs w:val="15"/>
                <w:color w:val="auto"/>
              </w:rPr>
              <w:t>Total shareholders’ equity</w:t>
            </w:r>
          </w:p>
        </w:tc>
        <w:tc>
          <w:tcPr>
            <w:tcW w:w="116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335,416</w:t>
            </w:r>
          </w:p>
        </w:tc>
        <w:tc>
          <w:tcPr>
            <w:tcW w:w="28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338,168</w:t>
            </w:r>
          </w:p>
        </w:tc>
        <w:tc>
          <w:tcPr>
            <w:tcW w:w="100" w:type="dxa"/>
            <w:vAlign w:val="bottom"/>
            <w:tcBorders>
              <w:bottom w:val="single" w:sz="8" w:color="CFF0FC"/>
            </w:tcBorders>
          </w:tcPr>
          <w:p>
            <w:pPr>
              <w:spacing w:after="0"/>
              <w:rPr>
                <w:sz w:val="14"/>
                <w:szCs w:val="14"/>
                <w:color w:val="auto"/>
              </w:rPr>
            </w:pPr>
          </w:p>
        </w:tc>
      </w:tr>
      <w:tr>
        <w:trPr>
          <w:trHeight w:val="167"/>
        </w:trPr>
        <w:tc>
          <w:tcPr>
            <w:tcW w:w="658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liabilities and shareholders’ equity</w:t>
            </w:r>
          </w:p>
        </w:tc>
        <w:tc>
          <w:tcPr>
            <w:tcW w:w="142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481,511</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7"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489,544</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r>
      <w:tr>
        <w:trPr>
          <w:trHeight w:val="131"/>
        </w:trPr>
        <w:tc>
          <w:tcPr>
            <w:tcW w:w="76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3"/>
              <w:spacing w:after="0" w:line="131" w:lineRule="exact"/>
              <w:rPr>
                <w:sz w:val="20"/>
                <w:szCs w:val="20"/>
                <w:color w:val="auto"/>
              </w:rPr>
            </w:pPr>
            <w:r>
              <w:rPr>
                <w:rFonts w:ascii="Arial" w:cs="Arial" w:eastAsia="Arial" w:hAnsi="Arial"/>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2"/>
              <w:spacing w:after="0" w:line="131"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r>
      <w:tr>
        <w:trPr>
          <w:trHeight w:val="170"/>
        </w:trPr>
        <w:tc>
          <w:tcPr>
            <w:tcW w:w="76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1"/>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 (excluding depreciation and amortization)</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26,861</w:t>
            </w: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w:t>
            </w: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FF0FC"/>
          </w:tcPr>
          <w:p>
            <w:pPr>
              <w:spacing w:after="0"/>
              <w:rPr>
                <w:sz w:val="19"/>
                <w:szCs w:val="19"/>
                <w:color w:val="auto"/>
              </w:rPr>
            </w:pPr>
          </w:p>
        </w:tc>
      </w:tr>
      <w:tr>
        <w:trPr>
          <w:trHeight w:val="221"/>
        </w:trPr>
        <w:tc>
          <w:tcPr>
            <w:tcW w:w="7600" w:type="dxa"/>
            <w:vAlign w:val="bottom"/>
          </w:tcPr>
          <w:p>
            <w:pPr>
              <w:ind w:left="50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54,328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59,818</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FF0FC"/>
            </w:tcBorders>
          </w:tcPr>
          <w:p>
            <w:pPr>
              <w:spacing w:after="0"/>
              <w:rPr>
                <w:sz w:val="19"/>
                <w:szCs w:val="19"/>
                <w:color w:val="auto"/>
              </w:rPr>
            </w:pPr>
          </w:p>
        </w:tc>
      </w:tr>
      <w:tr>
        <w:trPr>
          <w:trHeight w:val="221"/>
        </w:trPr>
        <w:tc>
          <w:tcPr>
            <w:tcW w:w="7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FF0FC"/>
          </w:tcPr>
          <w:p>
            <w:pPr>
              <w:spacing w:after="0"/>
              <w:rPr>
                <w:sz w:val="19"/>
                <w:szCs w:val="19"/>
                <w:color w:val="auto"/>
              </w:rPr>
            </w:pPr>
          </w:p>
        </w:tc>
      </w:tr>
      <w:tr>
        <w:trPr>
          <w:trHeight w:val="221"/>
        </w:trPr>
        <w:tc>
          <w:tcPr>
            <w:tcW w:w="760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Gain on sale of discontinued operations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19"/>
                <w:szCs w:val="19"/>
                <w:color w:val="auto"/>
              </w:rPr>
            </w:pPr>
          </w:p>
        </w:tc>
      </w:tr>
      <w:tr>
        <w:trPr>
          <w:trHeight w:val="221"/>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FF0FC"/>
            </w:tcBorders>
          </w:tcPr>
          <w:p>
            <w:pPr>
              <w:spacing w:after="0"/>
              <w:rPr>
                <w:sz w:val="19"/>
                <w:szCs w:val="19"/>
                <w:color w:val="auto"/>
              </w:rPr>
            </w:pPr>
          </w:p>
        </w:tc>
      </w:tr>
      <w:tr>
        <w:trPr>
          <w:trHeight w:val="221"/>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0.22</w:t>
            </w:r>
          </w:p>
        </w:tc>
        <w:tc>
          <w:tcPr>
            <w:tcW w:w="6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FF0FC"/>
          </w:tcPr>
          <w:p>
            <w:pPr>
              <w:spacing w:after="0"/>
              <w:rPr>
                <w:sz w:val="19"/>
                <w:szCs w:val="19"/>
                <w:color w:val="auto"/>
              </w:rPr>
            </w:pPr>
          </w:p>
        </w:tc>
      </w:tr>
      <w:tr>
        <w:trPr>
          <w:trHeight w:val="261"/>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FF0FC"/>
            </w:tcBorders>
          </w:tcPr>
          <w:p>
            <w:pPr>
              <w:spacing w:after="0"/>
              <w:rPr>
                <w:sz w:val="22"/>
                <w:szCs w:val="22"/>
                <w:color w:val="auto"/>
              </w:rPr>
            </w:pPr>
          </w:p>
        </w:tc>
      </w:tr>
      <w:tr>
        <w:trPr>
          <w:trHeight w:val="208"/>
        </w:trPr>
        <w:tc>
          <w:tcPr>
            <w:tcW w:w="7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6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FF0FC"/>
          </w:tcPr>
          <w:p>
            <w:pPr>
              <w:spacing w:after="0"/>
              <w:rPr>
                <w:sz w:val="19"/>
                <w:szCs w:val="19"/>
                <w:color w:val="auto"/>
              </w:rPr>
            </w:pPr>
          </w:p>
        </w:tc>
      </w:tr>
      <w:tr>
        <w:trPr>
          <w:trHeight w:val="22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FF0FC"/>
            </w:tcBorders>
          </w:tcPr>
          <w:p>
            <w:pPr>
              <w:spacing w:after="0"/>
              <w:rPr>
                <w:sz w:val="19"/>
                <w:szCs w:val="19"/>
                <w:color w:val="auto"/>
              </w:rPr>
            </w:pPr>
          </w:p>
        </w:tc>
      </w:tr>
      <w:tr>
        <w:trPr>
          <w:trHeight w:val="221"/>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32,334</w:t>
            </w:r>
          </w:p>
        </w:tc>
        <w:tc>
          <w:tcPr>
            <w:tcW w:w="3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32,337</w:t>
            </w:r>
          </w:p>
        </w:tc>
        <w:tc>
          <w:tcPr>
            <w:tcW w:w="120" w:type="dxa"/>
            <w:vAlign w:val="bottom"/>
            <w:tcBorders>
              <w:bottom w:val="single" w:sz="8" w:color="CFF0FC"/>
            </w:tcBorders>
          </w:tcPr>
          <w:p>
            <w:pPr>
              <w:spacing w:after="0"/>
              <w:rPr>
                <w:sz w:val="23"/>
                <w:szCs w:val="23"/>
                <w:color w:val="auto"/>
              </w:rPr>
            </w:pPr>
          </w:p>
        </w:tc>
      </w:tr>
      <w:tr>
        <w:trPr>
          <w:trHeight w:val="208"/>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32,357</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5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2"/>
          </w:tcPr>
          <w:p>
            <w:pPr>
              <w:jc w:val="right"/>
              <w:ind w:right="740"/>
              <w:spacing w:after="0" w:line="131"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jc w:val="right"/>
              <w:ind w:right="436"/>
              <w:spacing w:after="0" w:line="131"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r>
      <w:tr>
        <w:trPr>
          <w:trHeight w:val="170"/>
        </w:trPr>
        <w:tc>
          <w:tcPr>
            <w:tcW w:w="55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1"/>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9"/>
                <w:szCs w:val="19"/>
                <w:color w:val="auto"/>
              </w:rPr>
            </w:pPr>
          </w:p>
        </w:tc>
      </w:tr>
      <w:tr>
        <w:trPr>
          <w:trHeight w:val="228"/>
        </w:trPr>
        <w:tc>
          <w:tcPr>
            <w:tcW w:w="5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8"/>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r>
      <w:tr>
        <w:trPr>
          <w:trHeight w:val="221"/>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 income</w:t>
            </w:r>
          </w:p>
        </w:tc>
        <w:tc>
          <w:tcPr>
            <w:tcW w:w="19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r>
      <w:tr>
        <w:trPr>
          <w:trHeight w:val="221"/>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4"/>
              </w:rPr>
              <w:t>Three Months Ended March 31,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246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4940" w:type="dxa"/>
            <w:vAlign w:val="bottom"/>
            <w:vMerge w:val="restart"/>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5"/>
              <w:spacing w:after="0" w:line="154"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5"/>
              <w:spacing w:after="0" w:line="154" w:lineRule="exact"/>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48,143</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Comprehensive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55,235</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49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4"/>
              </w:rPr>
              <w:t>Three Months Ended March 31, 2019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246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494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5"/>
              <w:spacing w:after="0" w:line="154"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5"/>
              <w:spacing w:after="0" w:line="154" w:lineRule="exact"/>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38,347</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7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1"/>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280" w:type="dxa"/>
            <w:vAlign w:val="bottom"/>
          </w:tcPr>
          <w:p>
            <w:pPr>
              <w:spacing w:after="0"/>
              <w:rPr>
                <w:sz w:val="19"/>
                <w:szCs w:val="19"/>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(1,194)</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Stock based compensation</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commissions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Loss (gain) on non-marketable equity investments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royalty expense</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(3,440)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Change in fair value of non-marketable equity investments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and unbilled receivables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(4,573)</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Prepaid royalties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(3,202)</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(2,820)</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prepaid expenses and other current assets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Deferred commissions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(1,382)</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(5,775)</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(5,386)</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royalties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FF0FC"/>
            </w:tcBorders>
          </w:tcPr>
          <w:p>
            <w:pPr>
              <w:spacing w:after="0"/>
              <w:rPr>
                <w:sz w:val="19"/>
                <w:szCs w:val="19"/>
                <w:color w:val="auto"/>
              </w:rPr>
            </w:pPr>
          </w:p>
        </w:tc>
      </w:tr>
      <w:tr>
        <w:trPr>
          <w:trHeight w:val="221"/>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16,085</w:t>
            </w:r>
          </w:p>
        </w:tc>
        <w:tc>
          <w:tcPr>
            <w:tcW w:w="100" w:type="dxa"/>
            <w:vAlign w:val="bottom"/>
            <w:shd w:val="clear" w:color="auto" w:fill="CFF0FC"/>
          </w:tcPr>
          <w:p>
            <w:pPr>
              <w:spacing w:after="0"/>
              <w:rPr>
                <w:sz w:val="19"/>
                <w:szCs w:val="19"/>
                <w:color w:val="auto"/>
              </w:rPr>
            </w:pPr>
          </w:p>
        </w:tc>
      </w:tr>
      <w:tr>
        <w:trPr>
          <w:trHeight w:val="228"/>
        </w:trPr>
        <w:tc>
          <w:tcPr>
            <w:tcW w:w="6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(21,421)</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(18,002)</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marketable securities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(14,130)</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(30,101)</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Payments to acquire non-marketable equity investments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(3,342)</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(4,068)</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(4,933)</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(11,338)</w:t>
            </w:r>
          </w:p>
        </w:tc>
      </w:tr>
      <w:tr>
        <w:trPr>
          <w:trHeight w:val="221"/>
        </w:trPr>
        <w:tc>
          <w:tcPr>
            <w:tcW w:w="67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(19,904)</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(39,379)</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Payments of earn-outs related to acquisitions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(9,876)</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 of cash dividends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21"/>
        </w:trPr>
        <w:tc>
          <w:tcPr>
            <w:tcW w:w="676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(10,279)</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(24,113)</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131,538</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134,321</w:t>
            </w:r>
          </w:p>
        </w:tc>
        <w:tc>
          <w:tcPr>
            <w:tcW w:w="100" w:type="dxa"/>
            <w:vAlign w:val="bottom"/>
            <w:tcBorders>
              <w:bottom w:val="single" w:sz="8" w:color="CFF0FC"/>
            </w:tcBorders>
          </w:tcPr>
          <w:p>
            <w:pPr>
              <w:spacing w:after="0"/>
              <w:rPr>
                <w:sz w:val="19"/>
                <w:szCs w:val="19"/>
                <w:color w:val="auto"/>
              </w:rPr>
            </w:pPr>
          </w:p>
        </w:tc>
      </w:tr>
      <w:tr>
        <w:trPr>
          <w:trHeight w:val="221"/>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107,425</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110,610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2020 are not necessarily indicative of the results that may be expected for the year ending December 31, 2020.</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The sale of the PX business resulted in the divestiture of the Company’s patient experience solutions business segment. The Company has classified the gain on sale of its previously owned PX business as discontinued operations in its Condensed Consolidated Statements of Income for all periods presented. See Note 10 for additional information.</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Condensed Consolidated Balance Sheet at December 31, 2019 was derived from the audited Consolidated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2019 (included in the Company's Annual Report on Form 10-K, filed with the Securities and Exchange Commission on February 26,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 Instruments</w:t>
      </w:r>
      <w:r>
        <w:rPr>
          <w:rFonts w:ascii="Arial" w:cs="Arial" w:eastAsia="Arial" w:hAnsi="Arial"/>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Company adopted this ASU on January 1, 2020, and the effect of adoption on the Company’s Consolidated Financial Statements and related disclosures was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4" w:lineRule="exact"/>
        <w:rPr>
          <w:sz w:val="20"/>
          <w:szCs w:val="20"/>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represents revenues disaggregated by revenue source for the three months ended March 31, 2020 and 2019 (in thousands). Sales taxes are excluded from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4"/>
              </w:rPr>
              <w:t>Three Months Ended March 31, 2020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7"/>
          </w:tcPr>
          <w:p>
            <w:pPr>
              <w:jc w:val="center"/>
              <w:ind w:right="115"/>
              <w:spacing w:after="0"/>
              <w:rPr>
                <w:sz w:val="20"/>
                <w:szCs w:val="20"/>
                <w:color w:val="auto"/>
              </w:rPr>
            </w:pPr>
            <w:r>
              <w:rPr>
                <w:rFonts w:ascii="Arial" w:cs="Arial" w:eastAsia="Arial" w:hAnsi="Arial"/>
                <w:sz w:val="14"/>
                <w:szCs w:val="14"/>
                <w:b w:val="1"/>
                <w:bCs w:val="1"/>
                <w:color w:val="auto"/>
                <w:w w:val="94"/>
              </w:rPr>
              <w:t>Three Months Ended March 31, 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80"/>
              <w:spacing w:after="0" w:line="131" w:lineRule="exact"/>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2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00"/>
              <w:spacing w:after="0" w:line="131" w:lineRule="exact"/>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58,344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52,805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54,295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three months ended March 31, 2020 and 2019, the Company recognized $288,000 and $2,000, respectively, in impairment losses on receivables and contract assets arising from the Company’s contracts with customers.</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March 31, 2020 and 2019, we recognized revenues of approximately $31.6 million and $31.2 million, respectively, from amounts included in deferred revenue at the beginning of the respective periods. As of March 31, 2020, approximately $402 million of revenue is expected to be recognized from remaining performance obligations under contracts with customers. We expect to recognize revenue related to approximately 47% of these remaining performance obligations over the next 12 months, with the remaining amounts recognized thereafter.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sales commission plan for 2020 typically includes two payments; the initial payment is due in the period a customer contract is obtained and the final payment is due 60 days after product implementation is completed. The sales commission plan for 2019 typically included an initial payment in the period a customer contract was obtained and subsequent payments either 15 or 27 months after the initial payment depending on the contract term. Under ASC 606, costs to acquire contracts with customers, such as the initial sales commission payment, are capitalized in the period a customer contract is obtained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Under the 2020 plan, both the initial payment and subsequent payment are capitalized in the period the contract is obtained, whereas under the 2019 plan, only the initial payment was capitalized, and the subsequent payment was expensed ratably through the payment date. The primary change from an accounting perspective under the 2020 plan compared to the 2019 plan is the time between when the contract is obtained and when it is implemented does not result in a substantive performance condition of the employee. The capitalized contract cost is included in Deferred commissions in the accompanying Condensed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$2.2 million and $2.1 million for the three months ended March 31, 2020 and 2019, respectively, which is included in sales and marketing expenses in the accompanying Condensed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During the three months ended March 31, 2020 and 2019, the Company recorded a provision for income taxes from continuing operations of approximately $1.9 million and $1.4 million, respectively. The Company’s effective tax rate for continuing operations for the three months ended March 31, 2020 and 2019 was 21% and 23%, respectively. The Company’s effective tax rate primarily reflects the statutory corporate income tax rate, the net effect of state taxes, and the effect of various permanent tax differences. During the three months ended March 31, 2020, the Company </w:t>
      </w:r>
      <w:r>
        <w:rPr>
          <w:rFonts w:ascii="Arial" w:cs="Arial" w:eastAsia="Arial" w:hAnsi="Arial"/>
          <w:sz w:val="16"/>
          <w:szCs w:val="16"/>
          <w:color w:val="212529"/>
        </w:rPr>
        <w:t xml:space="preserve">recorded a $1.2 million change in fair value of non-marketable equity investments </w:t>
      </w:r>
      <w:r>
        <w:rPr>
          <w:rFonts w:ascii="Arial" w:cs="Arial" w:eastAsia="Arial" w:hAnsi="Arial"/>
          <w:sz w:val="16"/>
          <w:szCs w:val="16"/>
          <w:color w:val="000000"/>
        </w:rPr>
        <w:t>as a result of the NurseGrid acquisition, which is not a taxable transaction, resulting in a tax benefit of $0.3 million. The</w:t>
      </w:r>
      <w:r>
        <w:rPr>
          <w:rFonts w:ascii="Arial" w:cs="Arial" w:eastAsia="Arial" w:hAnsi="Arial"/>
          <w:sz w:val="16"/>
          <w:szCs w:val="16"/>
          <w:color w:val="212529"/>
        </w:rPr>
        <w:t xml:space="preserve"> </w:t>
      </w:r>
      <w:r>
        <w:rPr>
          <w:rFonts w:ascii="Arial" w:cs="Arial" w:eastAsia="Arial" w:hAnsi="Arial"/>
          <w:sz w:val="16"/>
          <w:szCs w:val="16"/>
          <w:color w:val="000000"/>
        </w:rPr>
        <w:t>Company recognizes excess tax benefits and tax deficiencies associated with stock based awards as a component of its provision for income taxes. The Company recorded additional income tax expense associated with tax deficiencies of approximately $26,000 during the three months ended March 31, 2020 and recorded a reduction to income tax expense for excess tax benefits of approximately $83,000 during the three months ended March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stock awards outstanding under its 2016 Omnibus Incentive Plan. The Company accounts for its stock based compensation plan using the fair-value based method for costs related to share based payments, including restricted share units (“RSUs”). During the three months ended March 31, 2020, the Company issued 111,510 RSUs, subject to service-based time vesting, with a grant date fair value of $22.96 per share, measured based on the closing fair market value of the Company’s stock on the date of grant. During the three months ended March 31, 2019, the Company issued 86,220 RSUs, subject to service-based time vesting, with a weighted average grant date fair value of $27.39 per share, measured based on the closing fair market value of the Company’s stock on the date of grant.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June 30, 2018, the Company issued 70,000 performance-based RSUs, the vesting of which occurs over a five-year period and is contingent upon continued service and achieving certain performance criteria established by the Compensation Committee on an annual basis in increments of 10%, 15%, 20%, 25%, and 30% based on performance in 2018, 2019, 2020, 2021, and 2022, respectively. The performance criteria for 14,000 of these performance-based RSUs will be based on 2020 performance. The measurement date for these 14,000 performance-based RSUs was established during the three months ended March 31, 2020 with a grant date fair value of $22.96 per share, measured based on the closing fair market value of the Company’s stock on the date the performance criteria was established. The performance criteria for 17,500 of these performance-based RSUs was previously established based on performance in 2018 and 2019, as applicable, and the performance criteria for the remaining 38,500 performance-based RSUs has not yet been determined and will be established on an annual basis based on performance in 2021 and 2022, as applicable; therefore, the measurement date for these remaining 38,500 performance-based RSUs cannot be determined until the performance criteria have been established.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stock based compensation expense recognized for the three months ended March 31, 2020 and 2019 in the Condensed Consolidated Statements of Income is as follows (in thousands):</w:t>
      </w:r>
    </w:p>
    <w:p>
      <w:pPr>
        <w:spacing w:after="0" w:line="19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0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7"/>
        </w:trPr>
        <w:tc>
          <w:tcPr>
            <w:tcW w:w="6000" w:type="dxa"/>
            <w:vAlign w:val="bottom"/>
          </w:tcPr>
          <w:p>
            <w:pPr>
              <w:spacing w:after="0"/>
              <w:rPr>
                <w:sz w:val="20"/>
                <w:szCs w:val="20"/>
                <w:color w:val="auto"/>
              </w:rPr>
            </w:pPr>
            <w:r>
              <w:rPr>
                <w:rFonts w:ascii="Arial" w:cs="Arial" w:eastAsia="Arial" w:hAnsi="Arial"/>
                <w:sz w:val="18"/>
                <w:szCs w:val="18"/>
                <w:color w:val="auto"/>
              </w:rPr>
              <w:t>Product development</w:t>
            </w:r>
          </w:p>
        </w:tc>
        <w:tc>
          <w:tcPr>
            <w:tcW w:w="1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7"/>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7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FF0FC"/>
            </w:tcBorders>
          </w:tcPr>
          <w:p>
            <w:pPr>
              <w:spacing w:after="0"/>
              <w:rPr>
                <w:sz w:val="19"/>
                <w:szCs w:val="19"/>
                <w:color w:val="auto"/>
              </w:rPr>
            </w:pPr>
          </w:p>
        </w:tc>
      </w:tr>
      <w:tr>
        <w:trPr>
          <w:trHeight w:val="221"/>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17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13, 2020, the Company’s Board of Directors authorized a share repurchase program to repurchase up to $30.0 million of outstanding shares of common stock. The share repurchase program will terminate on the earlier of March 12, 2021 or when the maximum dollar amount has been expended.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The share repurchase program does not require the Company to acquire any amount of shares and may be suspended or discontinued at any time. Under this program during the first quarter of 2020, the Company repurchased 438,142 shares at an aggregate fair value of $9.9 million, reflecting an average price per share of $22.52 (excluding the cost of broker commissions).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106,000 and 136,000 for the three months ended March 31, 2020 and 2019,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2020 and 2019 (in thousands, except per share data):</w:t>
      </w:r>
    </w:p>
    <w:p>
      <w:pPr>
        <w:jc w:val="center"/>
        <w:ind w:left="7600"/>
        <w:spacing w:after="0" w:line="234" w:lineRule="auto"/>
        <w:rPr>
          <w:sz w:val="20"/>
          <w:szCs w:val="20"/>
          <w:color w:val="auto"/>
        </w:rPr>
      </w:pPr>
      <w:r>
        <w:rPr>
          <w:rFonts w:ascii="Arial" w:cs="Arial" w:eastAsia="Arial" w:hAnsi="Arial"/>
          <w:sz w:val="14"/>
          <w:szCs w:val="14"/>
          <w:b w:val="1"/>
          <w:bCs w:val="1"/>
          <w:color w:val="auto"/>
        </w:rPr>
        <w:t>Three Months Ended</w:t>
      </w:r>
    </w:p>
    <w:p>
      <w:pPr>
        <w:jc w:val="center"/>
        <w:ind w:left="7600"/>
        <w:spacing w:after="0" w:line="229"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4"/>
        </w:trPr>
        <w:tc>
          <w:tcPr>
            <w:tcW w:w="532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
              <w:spacing w:after="0" w:line="154"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3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34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7,092</w:t>
            </w:r>
          </w:p>
        </w:tc>
        <w:tc>
          <w:tcPr>
            <w:tcW w:w="28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r>
      <w:tr>
        <w:trPr>
          <w:trHeight w:val="228"/>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9"/>
                <w:szCs w:val="19"/>
                <w:color w:val="auto"/>
              </w:rPr>
            </w:pPr>
          </w:p>
        </w:tc>
      </w:tr>
      <w:tr>
        <w:trPr>
          <w:trHeight w:val="261"/>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FF0FC"/>
            </w:tcBorders>
          </w:tcPr>
          <w:p>
            <w:pPr>
              <w:spacing w:after="0"/>
              <w:rPr>
                <w:sz w:val="22"/>
                <w:szCs w:val="22"/>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532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2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32,337</w:t>
            </w:r>
          </w:p>
        </w:tc>
        <w:tc>
          <w:tcPr>
            <w:tcW w:w="100" w:type="dxa"/>
            <w:vAlign w:val="bottom"/>
          </w:tcPr>
          <w:p>
            <w:pPr>
              <w:spacing w:after="0"/>
              <w:rPr>
                <w:sz w:val="19"/>
                <w:szCs w:val="19"/>
                <w:color w:val="auto"/>
              </w:rPr>
            </w:pPr>
          </w:p>
        </w:tc>
      </w:tr>
      <w:tr>
        <w:trPr>
          <w:trHeight w:val="228"/>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dilutive shares</w:t>
            </w:r>
          </w:p>
        </w:tc>
        <w:tc>
          <w:tcPr>
            <w:tcW w:w="24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61"/>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Weighted-average diluted shares</w:t>
            </w:r>
          </w:p>
        </w:tc>
        <w:tc>
          <w:tcPr>
            <w:tcW w:w="24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32,357</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tcBorders>
              <w:bottom w:val="single" w:sz="8" w:color="CFF0FC"/>
            </w:tcBorders>
          </w:tcPr>
          <w:p>
            <w:pPr>
              <w:spacing w:after="0"/>
              <w:rPr>
                <w:sz w:val="22"/>
                <w:szCs w:val="22"/>
                <w:color w:val="auto"/>
              </w:rPr>
            </w:pPr>
          </w:p>
        </w:tc>
      </w:tr>
      <w:tr>
        <w:trPr>
          <w:trHeight w:val="208"/>
        </w:trPr>
        <w:tc>
          <w:tcPr>
            <w:tcW w:w="532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Continuing operations</w:t>
            </w:r>
          </w:p>
        </w:tc>
        <w:tc>
          <w:tcPr>
            <w:tcW w:w="34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r>
      <w:tr>
        <w:trPr>
          <w:trHeight w:val="227"/>
        </w:trPr>
        <w:tc>
          <w:tcPr>
            <w:tcW w:w="532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r>
      <w:tr>
        <w:trPr>
          <w:trHeight w:val="221"/>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5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2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32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34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r>
      <w:tr>
        <w:trPr>
          <w:trHeight w:val="228"/>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2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r>
      <w:tr>
        <w:trPr>
          <w:trHeight w:val="221"/>
        </w:trPr>
        <w:tc>
          <w:tcPr>
            <w:tcW w:w="53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4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March 31, 2020 and December 31, 2019, the fair value of marketable securities, which were all classified as available for sale, included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22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34,686</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22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37,325</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Government-sponsored enterprise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41,326</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2020, the Company did not recognize any allowance for credit impairments on its available for sale debt securities. All investments in marketable securities are classified as current assets on the balance sheet because the underlying securities mature within one year from the balance sheet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COMBINATIONS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CrendentialMyDoc</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12529"/>
        </w:rPr>
        <w:t>On December 16, 2019, the Company acquired substantially all the assets of Covenant Technology Group, LLC (“CredentialMyDoc”), a Savannah, Georgia-based company focusing on intuitive, easy to use, and fast to implement software-as-a-service solution, especially in ambulatory care settings. The consideration paid for CredentialMyDoc consisted of $9.0 million in cash, subject to a post-closing working capital adjustment. Of the purchase price paid at closing, $1.1 million is being held in escrow for a period of time following the closing to serve as a source of recovery for the working capital adjustment and certain potential indemnification claims by the Company. The results of operations for CredentialMyDoc have been included in the Provider Solutions segment of the Company’s Financial Statements from the date of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212529"/>
        </w:rPr>
        <w:t>A summary of the purchase price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7,920</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held in escrow</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FF0FC"/>
            </w:tcBorders>
          </w:tcPr>
          <w:p>
            <w:pPr>
              <w:spacing w:after="0"/>
              <w:rPr>
                <w:sz w:val="18"/>
                <w:szCs w:val="18"/>
                <w:color w:val="auto"/>
              </w:rPr>
            </w:pPr>
          </w:p>
        </w:tc>
      </w:tr>
      <w:tr>
        <w:trPr>
          <w:trHeight w:val="208"/>
        </w:trPr>
        <w:tc>
          <w:tcPr>
            <w:tcW w:w="9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consideration paid</w:t>
            </w: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212529"/>
        </w:rPr>
        <w:t>The following table summarizes the preliminary fair value of the assets acquired and liabilities assumed as of the date of acquisition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4,657</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r>
      <w:tr>
        <w:trPr>
          <w:trHeight w:val="205"/>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212529"/>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primary intangible assets acquired were customer relationships and developed technology. The fair value estimate for customer relationships intangible asset included significant assumptions in the prospective financial information, such as revenue growth, customer attrition, and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intangible assets and working capital. The goodwill balance is primarily attributed to the assembled workforce, additional market opportunities from offering CredentialMyDoc products, and expected synergies from integrating CredentialMyDoc with other products or other combined functional areas within the Company. The goodwill balance is deductible for U.S. income tax purposes. The net tangible assets include deferred revenue, which was adjusted down from a book value at the acquisition date of $595,000 to an estimated fair value of $280,000. The $315,000 write-down of deferred revenue will result in lower revenues than would have otherwise been recognized for such services.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212529"/>
        </w:rPr>
        <w:t>The following table sets forth the preliminary components of identifiable intangible assets and their estimated useful lives as of the acquisition date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Preliminary Fair</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5640" w:type="dxa"/>
            <w:vAlign w:val="bottom"/>
            <w:tcBorders>
              <w:bottom w:val="single" w:sz="8" w:color="CFF0FC"/>
            </w:tcBorders>
          </w:tcPr>
          <w:p>
            <w:pPr>
              <w:spacing w:after="0"/>
              <w:rPr>
                <w:sz w:val="18"/>
                <w:szCs w:val="18"/>
                <w:color w:val="auto"/>
              </w:rPr>
            </w:pPr>
          </w:p>
        </w:tc>
        <w:tc>
          <w:tcPr>
            <w:tcW w:w="25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Useful life</w:t>
            </w:r>
          </w:p>
        </w:tc>
      </w:tr>
      <w:tr>
        <w:trPr>
          <w:trHeight w:val="210"/>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346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2,100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9 years</w:t>
            </w:r>
          </w:p>
        </w:tc>
      </w:tr>
      <w:tr>
        <w:trPr>
          <w:trHeight w:val="211"/>
        </w:trPr>
        <w:tc>
          <w:tcPr>
            <w:tcW w:w="5640" w:type="dxa"/>
            <w:vAlign w:val="bottom"/>
          </w:tcPr>
          <w:p>
            <w:pPr>
              <w:spacing w:after="0"/>
              <w:rPr>
                <w:sz w:val="20"/>
                <w:szCs w:val="20"/>
                <w:color w:val="auto"/>
              </w:rPr>
            </w:pPr>
            <w:r>
              <w:rPr>
                <w:rFonts w:ascii="Arial" w:cs="Arial" w:eastAsia="Arial" w:hAnsi="Arial"/>
                <w:sz w:val="16"/>
                <w:szCs w:val="16"/>
                <w:color w:val="auto"/>
              </w:rPr>
              <w:t>Developed technology</w:t>
            </w: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2,100</w:t>
            </w:r>
          </w:p>
        </w:tc>
        <w:tc>
          <w:tcPr>
            <w:tcW w:w="280" w:type="dxa"/>
            <w:vAlign w:val="bottom"/>
          </w:tcPr>
          <w:p>
            <w:pPr>
              <w:spacing w:after="0"/>
              <w:rPr>
                <w:sz w:val="18"/>
                <w:szCs w:val="18"/>
                <w:color w:val="auto"/>
              </w:rPr>
            </w:pPr>
          </w:p>
        </w:tc>
        <w:tc>
          <w:tcPr>
            <w:tcW w:w="1440" w:type="dxa"/>
            <w:vAlign w:val="bottom"/>
          </w:tcPr>
          <w:p>
            <w:pPr>
              <w:ind w:left="960"/>
              <w:spacing w:after="0"/>
              <w:rPr>
                <w:sz w:val="20"/>
                <w:szCs w:val="20"/>
                <w:color w:val="auto"/>
              </w:rPr>
            </w:pPr>
            <w:r>
              <w:rPr>
                <w:rFonts w:ascii="Arial" w:cs="Arial" w:eastAsia="Arial" w:hAnsi="Arial"/>
                <w:sz w:val="16"/>
                <w:szCs w:val="16"/>
                <w:color w:val="auto"/>
                <w:w w:val="87"/>
              </w:rPr>
              <w:t>4 years</w:t>
            </w:r>
          </w:p>
        </w:tc>
      </w:tr>
      <w:tr>
        <w:trPr>
          <w:trHeight w:val="217"/>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2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5 years</w:t>
            </w:r>
          </w:p>
        </w:tc>
      </w:tr>
      <w:tr>
        <w:trPr>
          <w:trHeight w:val="211"/>
        </w:trPr>
        <w:tc>
          <w:tcPr>
            <w:tcW w:w="5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25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ind w:left="960"/>
              <w:spacing w:after="0"/>
              <w:rPr>
                <w:sz w:val="20"/>
                <w:szCs w:val="20"/>
                <w:color w:val="auto"/>
              </w:rPr>
            </w:pPr>
            <w:r>
              <w:rPr>
                <w:rFonts w:ascii="Arial" w:cs="Arial" w:eastAsia="Arial" w:hAnsi="Arial"/>
                <w:sz w:val="16"/>
                <w:szCs w:val="16"/>
                <w:color w:val="auto"/>
                <w:w w:val="87"/>
              </w:rPr>
              <w:t>3 years</w:t>
            </w:r>
          </w:p>
        </w:tc>
      </w:tr>
      <w:tr>
        <w:trPr>
          <w:trHeight w:val="208"/>
        </w:trPr>
        <w:tc>
          <w:tcPr>
            <w:tcW w:w="5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intangible assets subject to amortization</w:t>
            </w:r>
          </w:p>
        </w:tc>
        <w:tc>
          <w:tcPr>
            <w:tcW w:w="346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4,340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following unaudited pro forma financial information summarizes the results of operations of the Company and CredentialMyDoc as though the companies were combined as of January 1, 2019 (in thousands, except per share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61,703</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65,678</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tcBorders>
              <w:bottom w:val="single" w:sz="8" w:color="CFF0FC"/>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7,191</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4,684</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7,191</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Net income per share - basic</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tcBorders>
              <w:bottom w:val="single" w:sz="8" w:color="CFF0FC"/>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0.22</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94"/>
        </w:trPr>
        <w:tc>
          <w:tcPr>
            <w:tcW w:w="856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0.22</w:t>
            </w: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8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12529"/>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NurseGrid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212529"/>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$21.4 million, subject to a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 of Income. Additionally, the Company’s previously recorded non-marketable equity investment in NurseGrid was de-recognized from the Company’s Condensed Consolidated Balance Sheet. The financial results of NurseGrid have been included in the Workforce Solutions segment from March 9, 2020.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212529"/>
        </w:rPr>
        <w:t>A summary of the purchase price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Cash acquired</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(4,064)</w:t>
            </w:r>
          </w:p>
        </w:tc>
      </w:tr>
      <w:tr>
        <w:trPr>
          <w:trHeight w:val="210"/>
        </w:trPr>
        <w:tc>
          <w:tcPr>
            <w:tcW w:w="95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1"/>
        </w:trPr>
        <w:tc>
          <w:tcPr>
            <w:tcW w:w="9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Fair value of existing equity interest in NurseGrid</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bottom w:val="single" w:sz="8" w:color="CFF0FC"/>
            </w:tcBorders>
          </w:tcPr>
          <w:p>
            <w:pPr>
              <w:spacing w:after="0"/>
              <w:rPr>
                <w:sz w:val="18"/>
                <w:szCs w:val="18"/>
                <w:color w:val="auto"/>
              </w:rPr>
            </w:pPr>
          </w:p>
        </w:tc>
      </w:tr>
      <w:tr>
        <w:trPr>
          <w:trHeight w:val="208"/>
        </w:trPr>
        <w:tc>
          <w:tcPr>
            <w:tcW w:w="9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purchase price</w:t>
            </w: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212529"/>
        </w:rPr>
        <w:t>The following table summarizes the preliminary fair value of the assets acquired and liabilities assumed as of the date of acquisition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21,087</w:t>
            </w:r>
          </w:p>
        </w:tc>
        <w:tc>
          <w:tcPr>
            <w:tcW w:w="100" w:type="dxa"/>
            <w:vAlign w:val="bottom"/>
            <w:shd w:val="clear" w:color="auto" w:fill="CFF0FC"/>
          </w:tcPr>
          <w:p>
            <w:pPr>
              <w:spacing w:after="0"/>
              <w:rPr>
                <w:sz w:val="18"/>
                <w:szCs w:val="18"/>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w:t>
            </w: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r>
      <w:tr>
        <w:trPr>
          <w:trHeight w:val="205"/>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25,015</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12529"/>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intangible assets, income tax attributes, and working capital.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$78,000 write-down of deferred revenue will result in lower revenues than would have otherwise been recognized for such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212529"/>
        </w:rPr>
        <w:t>The following table sets forth the preliminary components of identifiable intangible assets and their estimated useful lives as of the acquisition date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Preliminary Fair</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8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Useful life</w:t>
            </w: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years</w:t>
            </w:r>
          </w:p>
        </w:tc>
      </w:tr>
      <w:tr>
        <w:trPr>
          <w:trHeight w:val="211"/>
        </w:trPr>
        <w:tc>
          <w:tcPr>
            <w:tcW w:w="8220" w:type="dxa"/>
            <w:vAlign w:val="bottom"/>
          </w:tcPr>
          <w:p>
            <w:pPr>
              <w:spacing w:after="0"/>
              <w:rPr>
                <w:sz w:val="20"/>
                <w:szCs w:val="20"/>
                <w:color w:val="auto"/>
              </w:rPr>
            </w:pPr>
            <w:r>
              <w:rPr>
                <w:rFonts w:ascii="Arial" w:cs="Arial" w:eastAsia="Arial" w:hAnsi="Arial"/>
                <w:sz w:val="16"/>
                <w:szCs w:val="16"/>
                <w:color w:val="auto"/>
              </w:rPr>
              <w:t>Developed technology</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Indefinite</w:t>
            </w:r>
          </w:p>
        </w:tc>
      </w:tr>
      <w:tr>
        <w:trPr>
          <w:trHeight w:val="205"/>
        </w:trPr>
        <w:tc>
          <w:tcPr>
            <w:tcW w:w="8220" w:type="dxa"/>
            <w:vAlign w:val="bottom"/>
          </w:tcPr>
          <w:p>
            <w:pPr>
              <w:ind w:left="120"/>
              <w:spacing w:after="0"/>
              <w:rPr>
                <w:sz w:val="20"/>
                <w:szCs w:val="20"/>
                <w:color w:val="auto"/>
              </w:rPr>
            </w:pPr>
            <w:r>
              <w:rPr>
                <w:rFonts w:ascii="Arial" w:cs="Arial" w:eastAsia="Arial" w:hAnsi="Arial"/>
                <w:sz w:val="16"/>
                <w:szCs w:val="16"/>
                <w:color w:val="auto"/>
              </w:rPr>
              <w:t>Total intangible assets subject to amortization</w:t>
            </w: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amounts of revenue and operating loss of NurseGrid included in the Company’s Consolidated Statement of Income since the date of acquisition of March 9, 2020 for the three months ended March 31, 2020 are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580" w:type="dxa"/>
            <w:vAlign w:val="bottom"/>
            <w:vMerge w:val="continue"/>
          </w:tcPr>
          <w:p>
            <w:pPr>
              <w:spacing w:after="0"/>
              <w:rPr>
                <w:sz w:val="16"/>
                <w:szCs w:val="16"/>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following unaudited pro forma financial information summarizes the results of operations of the Company and NurseGrid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61,644</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65,375</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tcBorders>
              <w:bottom w:val="single" w:sz="8" w:color="CFF0FC"/>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6,515</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6,515</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5,071</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Net income per share - basic</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tcBorders>
              <w:bottom w:val="single" w:sz="8" w:color="CFF0FC"/>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0.20</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94"/>
        </w:trPr>
        <w:tc>
          <w:tcPr>
            <w:tcW w:w="856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0.20</w:t>
            </w: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8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212529"/>
        </w:rPr>
        <w:t xml:space="preserve">These unaudited pro forma combined results of operations include certain adjustments arising from the acquisition, such as amortization of intangible assets, depreciation of property and equipment, </w:t>
      </w:r>
      <w:r>
        <w:rPr>
          <w:rFonts w:ascii="Arial" w:cs="Arial" w:eastAsia="Arial" w:hAnsi="Arial"/>
          <w:sz w:val="15"/>
          <w:szCs w:val="15"/>
          <w:color w:val="000000"/>
        </w:rPr>
        <w:t>interest expense related to NurseGrid’s previously outstanding debt, and fair value adjustments of acquired deferred revenue balances</w:t>
      </w:r>
      <w:r>
        <w:rPr>
          <w:rFonts w:ascii="Arial" w:cs="Arial" w:eastAsia="Arial" w:hAnsi="Arial"/>
          <w:sz w:val="15"/>
          <w:szCs w:val="15"/>
          <w:color w:val="212529"/>
        </w:rPr>
        <w:t>.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(Workforce Solutions) and provider credentialing, privileging, and enrollment products and services (Provider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for the three months ended March 31, 2020 and 2019 and as of March 31, 2020 and December 31,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8"/>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8"/>
          </w:tcPr>
          <w:p>
            <w:pPr>
              <w:jc w:val="right"/>
              <w:ind w:right="1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16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16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11,748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1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80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0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13,370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(7,323)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1"/>
        </w:trPr>
        <w:tc>
          <w:tcPr>
            <w:tcW w:w="580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80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21"/>
        </w:trPr>
        <w:tc>
          <w:tcPr>
            <w:tcW w:w="5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146,895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118,382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148,398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1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190,774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400" w:hanging="393"/>
        <w:spacing w:after="0" w:line="236"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royalties, prepaid and other current assets, other assets, capitalized software development, deferred commissions, certain property and equipment,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DISCONTINUED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the Company divested its PX business to Press Ganey for $65.2 million in cash (after giving effect to the post-closing working capital adjustment), resulting in a gain, net of tax, of $20.5 million, of which $19.0 million was recorded during the year ended December 31, 2018 and $1.5 million was recorded during the year ended December 31, 2019. This sale of the PX business resulted in the divestiture of the Company’s patient experience solutions business segment. The Company has classified the gain on sale of its PX business segment as discontinued operations in its Condensed Consolidated Statements of Income for all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w:t>
      </w:r>
    </w:p>
    <w:p>
      <w:pPr>
        <w:spacing w:after="0" w:line="5" w:lineRule="exact"/>
        <w:rPr>
          <w:sz w:val="20"/>
          <w:szCs w:val="20"/>
          <w:color w:val="auto"/>
        </w:rPr>
      </w:pPr>
    </w:p>
    <w:p>
      <w:pPr>
        <w:jc w:val="both"/>
        <w:ind w:firstLine="7"/>
        <w:spacing w:after="0" w:line="250"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required to pay a commitment fee ranging between 20 and 30 basis points per annum of the average daily unused portion of the Revolving Credit Facility, depending on the Company’s funded debt leverage ratio.</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4" w:lineRule="exact"/>
        <w:rPr>
          <w:sz w:val="20"/>
          <w:szCs w:val="20"/>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4" w:lineRule="exact"/>
        <w:rPr>
          <w:rFonts w:ascii="Arial" w:cs="Arial" w:eastAsia="Arial" w:hAnsi="Arial"/>
          <w:sz w:val="18"/>
          <w:szCs w:val="18"/>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2020, the Company was in compliance with all covenants. There were no balances outstanding on the Revolving Credit Facility as of or during the three months ended March 31,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NON-MARKETABLE EQUITY INVESTMENTS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Non-marketable equity investments where the Company is not able to exercise significant influence over the investee are accounted for using the measurement alternative for equity investments that do not have readily determinable fair values. ASU 2016-01, Financial Instruments – Overall (Subtopic 825-10) requires equity investments (except those accounted for under the equity method of accounting or those that result in consolidation of the investee) to be measured at fair value with changes in fair value recognized in net income. The aggregate carrying amount of all non-marketable equity investments was $3.0 million and $5.4 million as of March 31, 2020 and December 31, 2019, respectively, which carrying value we evaluate for impairment at each reporting period. During the three months ended March 31, 2020, the Company recorded a $1.2 million upward adjustment to the carrying value of our non-marketable equity investment in NurseGrid due to a change in fair value based on the consideration paid upon our acquisition of NurseGrid on March 9, 2020 (See Note 8). Cumulatively, the Company has recorded $0.1 million in downward adjustments to the carrying value of non-marketable equity investments. Such is the combination of cumulative downward adjustments of $1.3 million offset by cumulative upward adjustments of $1.2 million. These adjustments are the result of changes in fair value based on observable prices from orderly transactions for similar investments made in investees. The fair value of non-marketable equity investments is not estimated if there are no identified events or changes in circumstances that may have a significant adverse effect on the fair value of the investment.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CONTRACTUAL ADJUSTMENT</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In June 2018, a contract with one of our royalty partners expired and was not renewed. However, the contract required continued royalty payments for any subscriptions that extended beyond the contract termination date. Following the contract termination, there was a mutual disagreement related to various elements of this past partnership, and the Company accrued but did not pay royalties to the partner following the contract expiration. During the first quarter of 2020, the Company received a release of liability from the partner associated with this contract, resulting in no royalties to be paid to the partner. The de-recognition of this royalty liability and related expense was recorded as a $3.4 million reduction to cost of revenues in the first quarter of 2020.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4200"/>
        <w:spacing w:after="0" w:line="277" w:lineRule="exact"/>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Special Cautionary Notice Regarding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2019, appearing in our Annual Report on Form 10-K that was filed with the Securities and Exchange Commission (“SEC”) on February 26, 2020 (the “2019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Part II, Item 1A. Risk Factors in this Quarterly Report and under the caption Part I, Item 1A. Risk Factors in our 2019 Form 10-K and the information regarding forward-looking statements and other disclosures in our 2019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HealthStream provides workforce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March 31, 2020, we had approximately 3.40 million contracted subscriptions to hStream</w:t>
      </w:r>
      <w:r>
        <w:rPr>
          <w:rFonts w:ascii="Arial" w:cs="Arial" w:eastAsia="Arial" w:hAnsi="Arial"/>
          <w:sz w:val="15"/>
          <w:szCs w:val="15"/>
          <w:color w:val="auto"/>
        </w:rPr>
        <w:t>TM</w:t>
      </w:r>
      <w:r>
        <w:rPr>
          <w:rFonts w:ascii="Arial" w:cs="Arial" w:eastAsia="Arial" w:hAnsi="Arial"/>
          <w:sz w:val="18"/>
          <w:szCs w:val="18"/>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12, 2018, the Company divested its Patient Experience (“PX”) business to Press Ganey for $65.2 million in cash (after giving effect to the post-closing adjustment). Prior to the disposition of the PX business, our Patient Experience Solutions products provided our customers information about patients’ experiences and how to improve them, workforce engagement, physician relations, and community perceptions of their services. The gain on sale of the PX business recorded in prior periods are reflected in the Company’s Consolidated Financial Statements as discontinued operations. This sale of the PX business resulted in the Company’s divestiture of the patient experience solutions business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first quarter of 2020 are set forth in the bullets below.</w:t>
      </w:r>
    </w:p>
    <w:p>
      <w:pPr>
        <w:sectPr>
          <w:pgSz w:w="11900" w:h="16838" w:orient="portrait"/>
          <w:cols w:equalWidth="0" w:num="1">
            <w:col w:w="11240"/>
          </w:cols>
          <w:pgMar w:left="320" w:top="349" w:right="3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Revenues of $61.6 million in the first quarter of 2020, down 6% from $65.2 million in the first quarter of 2019.</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Operating income of $7.2 million in the first quarter of 2020, up 35% from $5.4 million in the first quarter of 2019, which comparison was positively impacted by a favorable contractual adjustment to cost of revenues in the amount of $3.4 million during the first quarter of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of $7.1 million in the first quarter of 2020, up 48% from $4.8 million in the first quarter of 2019, which comparison was positively impacted by $2.6 million from the favorable adjustment referenced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(“EPS”) from continuing operations of $0.22 per share (diluted) in the first quarter of 2020, which was positively impacted by $0.08 from the favorable adjustment referenced above, compared to $0.15 per share (diluted) in the first quarter of 2019.</w:t>
      </w:r>
    </w:p>
    <w:p>
      <w:pPr>
        <w:spacing w:after="0" w:line="6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Adjusted EBITDA</w:t>
      </w:r>
      <w:r>
        <w:rPr>
          <w:rFonts w:ascii="Arial" w:cs="Arial" w:eastAsia="Arial" w:hAnsi="Arial"/>
          <w:sz w:val="11"/>
          <w:szCs w:val="11"/>
          <w:color w:val="auto"/>
        </w:rPr>
        <w:t>1</w:t>
      </w:r>
      <w:r>
        <w:rPr>
          <w:rFonts w:ascii="Arial" w:cs="Arial" w:eastAsia="Arial" w:hAnsi="Arial"/>
          <w:sz w:val="16"/>
          <w:szCs w:val="16"/>
          <w:color w:val="auto"/>
        </w:rPr>
        <w:t xml:space="preserve"> from continuing operations of $11.8 million in the first quarter of 2020, down 6% from $12.5 million in the first quarter of 2019.</w:t>
      </w:r>
    </w:p>
    <w:p>
      <w:pPr>
        <w:spacing w:after="0" w:line="23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226060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100" w:space="300"/>
            <w:col w:w="10840"/>
          </w:cols>
          <w:pgMar w:left="320" w:top="349" w:right="339" w:bottom="1440" w:gutter="0" w:footer="0" w:header="0"/>
          <w:type w:val="continuous"/>
        </w:sectPr>
      </w:pPr>
    </w:p>
    <w:bookmarkStart w:id="17" w:name="page18"/>
    <w:bookmarkEnd w:id="17"/>
    <w:p>
      <w:pPr>
        <w:ind w:left="400" w:hanging="393"/>
        <w:spacing w:after="0" w:line="249"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from continuing operations is a non-GAAP financial measure. A reconciliation of adjusted EBITDA from continuing operations to income from continuing operations and disclosure regarding why we believe adjusted EBITDA from continuing operations provides useful information to investors is included later in this report.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9, 2020, the Company acquired all of the outstanding equity of HcT2 Co. dba NurseGrid (“NurseGrid”), a Portland, Oregon-based healthcare technology company offering NurseGrid Mobile and its corollary application for nurse managers, NurseGrid Enterprise, for $25.0 million, subject to a post-closing working capital adjustment. The net cash paid for NurseGrid was approximately $21.4 million after taking into consideration the existing minority non-marketable equity investment in NurseGrid that the Company previously had held since January 31, 2019. The financial results of NurseGrid have been included in the Workforce Solutions segment from the date of acquisition.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have adversely impacted consumer confidence and spending. Moreover, differing approaches among governmental authorities in the United States regarding whether and how to begin lifting shelter-in-place and business restriction orders have caused additional uncertainty. This pandemic has also led to significant disruption and volatility in financial and capital markets.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focused on providing workforce and provider solutions to healthcare organizations, such that an adverse impact on healthcare organizations is likely to result in an adverse impact on our Company. Though COVID-19 did not have a significant impact on our first quarter financial results, developments related to the COVID-19 have negatively impacted, and are expected to continue to negatively impact, our financial results beginning in the second quarter of 2020. The extent, timing, and duration of such impacts on our business remain uncertain, and will depend upon, among other things, the length and severity of the COVID-19 pandemic, particularly with respect to its impact on healthcare organizations.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closely monitoring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focused efforts of providing COVID-19 courses, free of charge, to all caregivers in support of their preparation to provide safe and effective care to COVID-19 patients. Additionally, as previously announced, HealthStream, in partnership with the State of Tennessee Office of the Governor, is providing its COVID-19 Rapid Response Program, which includes training bundles and its workforce platform, along with other workforce resources to support the state’s efforts to rapidly train new, returning, and current caregivers who are volunteering to work in Alternate Healthcare Facilities being set-up across the state. This COVID-19 Rapid Response Program is being provided free of charge for 90 days.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to promote the safety and well-being of our employees, we required our entire workforce to begin working remotely from home beginning March 16, 2020, and the entire workforce continues to work remotely to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Trends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healthcare organizations have been, and will likely continue to be, substantially adversely impacted by the COVID-19 pandemic. The period of time over which this adverse impact continues and whether conditions continue to deteriorate are important factors that may impact our business. The pandemic has resulted in a significant reduction of revenue generating services for many healthcare organizations, such as elective surgeries and other elective procedures, while, in some cases, their cost of providing emergency care as the result of treating COVID-19 patients has increased. Adverse COVID-19 impacts such as these are resulting, and will likely continue to result, in healthcare organizations curtailing operations, furloughing employees, eliminating positions, and even, in some instances, declaring bankruptcy.</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light of adverse developments with respect to healthcare organizations as noted above, we are continuing to monitor the ability or willingness of our customers to:</w:t>
      </w:r>
    </w:p>
    <w:p>
      <w:pPr>
        <w:spacing w:after="0" w:line="68" w:lineRule="exact"/>
        <w:rPr>
          <w:sz w:val="20"/>
          <w:szCs w:val="20"/>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for our solutions in a timely manner, in full, or at all;</w:t>
      </w:r>
    </w:p>
    <w:p>
      <w:pPr>
        <w:spacing w:after="0" w:line="20"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solutions they have purchased from us; and</w:t>
      </w:r>
    </w:p>
    <w:p>
      <w:pPr>
        <w:spacing w:after="0" w:line="7"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 existing or purchase new products or services from us.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monitor our cash position and credit exposure by evaluating, among other things, weekly cash receipts, “days sales outstanding” or “DSO”, customer requests to modify payment or contract terms, and bankruptcy notices. Since March, each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8" w:name="page19"/>
    <w:bookmarkEnd w:id="18"/>
    <w:p>
      <w:pPr>
        <w:jc w:val="both"/>
        <w:spacing w:after="0" w:line="260" w:lineRule="auto"/>
        <w:rPr>
          <w:sz w:val="20"/>
          <w:szCs w:val="20"/>
          <w:color w:val="auto"/>
        </w:rPr>
      </w:pPr>
      <w:r>
        <w:rPr>
          <w:rFonts w:ascii="Arial" w:cs="Arial" w:eastAsia="Arial" w:hAnsi="Arial"/>
          <w:sz w:val="18"/>
          <w:szCs w:val="18"/>
          <w:color w:val="auto"/>
        </w:rPr>
        <w:t>these areas has begun to show signs of adverse impacts, though we are unable to quantify the impacts of such negative trends or know whether or to what extent such trends may increase over time. Any deterioration in the collectability (or the timing of payments) of our accounts receivable will adversely impact our financial results.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timing of implementation of our services is also relevant to our business because our software solutions do not result in revenue recognition until they are implemented. To the extent our customers delay or fail to implement products they have previously purchased, our financial results will be adversely impacted. Implementation delays driven by our customers are increasing as their focus becomes redirected to addressing COVID-19. Our Provider Solutions business segment may be more sensitive to implementation delays than our Workforce Solutions segment as the result of complexities associated with implementing certain of the solutions offered through that business segment.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Conditions related to the pandemic may also adversely impact the ability or willingness of our customers to renew their contracts with us, to renew contracts on comparable terms, or to expand the quantity and type of solutions they purchase from us. Pandemic-related conditions are also delaying or otherwise adversely impacting our ability to enter into contracts with new potential customers, as such potential customers may be focused on the dealing with the impact and demands COVID-19 is having on their business. In this regard, many of our customers are not currently allowing vendors, including representatives of the Company, on their premises, which is reducing the ability of our sales team to make sales they otherwise would likely make but for the impact of COVID-19.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Management Initiatives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Given the uncertainty surrounding the adverse impact that COVID-19 may have on our business, we have taken certain expense management measures. These include:</w:t>
      </w:r>
    </w:p>
    <w:p>
      <w:pPr>
        <w:spacing w:after="0" w:line="68" w:lineRule="exact"/>
        <w:rPr>
          <w:sz w:val="20"/>
          <w:szCs w:val="20"/>
          <w:color w:val="auto"/>
        </w:rPr>
      </w:pPr>
    </w:p>
    <w:p>
      <w:pPr>
        <w:ind w:left="780" w:right="20" w:hanging="385"/>
        <w:spacing w:after="0" w:line="255"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Indefinitely postponing, and potentially foregoing, increases to base salaries, including executive base salaries. Normally, base salary increase become effective May 1</w:t>
      </w:r>
      <w:r>
        <w:rPr>
          <w:rFonts w:ascii="Arial" w:cs="Arial" w:eastAsia="Arial" w:hAnsi="Arial"/>
          <w:sz w:val="15"/>
          <w:szCs w:val="15"/>
          <w:color w:val="auto"/>
        </w:rPr>
        <w:t>st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80" w:hanging="385"/>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hiring to critical positions.</w:t>
      </w:r>
    </w:p>
    <w:p>
      <w:pPr>
        <w:spacing w:after="0" w:line="7" w:lineRule="exact"/>
        <w:rPr>
          <w:rFonts w:ascii="Arial" w:cs="Arial" w:eastAsia="Arial" w:hAnsi="Arial"/>
          <w:sz w:val="18"/>
          <w:szCs w:val="18"/>
          <w:color w:val="auto"/>
        </w:rPr>
      </w:pPr>
    </w:p>
    <w:p>
      <w:pPr>
        <w:ind w:left="780" w:hanging="385"/>
        <w:spacing w:after="0" w:line="24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the Company’s match to the 401(k) Plan to the previously approved 1% level, rather than providing a greater match as we have in the previous two years.</w:t>
      </w:r>
    </w:p>
    <w:p>
      <w:pPr>
        <w:ind w:left="780" w:hanging="385"/>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Requesting key vendors of ours to allow payment term extension without penalty.</w:t>
      </w:r>
    </w:p>
    <w:p>
      <w:pPr>
        <w:spacing w:after="0" w:line="7" w:lineRule="exact"/>
        <w:rPr>
          <w:rFonts w:ascii="Arial" w:cs="Arial" w:eastAsia="Arial" w:hAnsi="Arial"/>
          <w:sz w:val="18"/>
          <w:szCs w:val="18"/>
          <w:color w:val="auto"/>
        </w:rPr>
      </w:pPr>
    </w:p>
    <w:p>
      <w:pPr>
        <w:ind w:left="780" w:hanging="385"/>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iterative reductions to our capital expenditures to be deployed on an as-needed basis.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mentioned above, we are continuing to monitor developments regarding the COVID-19 pandemic and may undertake further expense management initiatives if we deem necessary.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 These performance indicators include measurements of gross margin, adjusted EBITDA, and hStream subscriptions.</w:t>
      </w:r>
    </w:p>
    <w:p>
      <w:pPr>
        <w:spacing w:after="0" w:line="68" w:lineRule="exact"/>
        <w:rPr>
          <w:sz w:val="20"/>
          <w:szCs w:val="20"/>
          <w:color w:val="auto"/>
        </w:rPr>
      </w:pPr>
    </w:p>
    <w:p>
      <w:pPr>
        <w:jc w:val="both"/>
        <w:ind w:left="780" w:hanging="385"/>
        <w:spacing w:after="0" w:line="288"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Operating Income</w:t>
      </w:r>
      <w:r>
        <w:rPr>
          <w:rFonts w:ascii="Arial" w:cs="Arial" w:eastAsia="Arial" w:hAnsi="Arial"/>
          <w:sz w:val="16"/>
          <w:szCs w:val="16"/>
          <w:color w:val="auto"/>
        </w:rPr>
        <w:t>. Operating income represents the amount of profit realized from our operations and is calculated as the difference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net and operating costs and expenses. Operating income was $7.2 million for the three months ended March 31, 2020 compared to $5.4 million for the three months ended March 31, 2019. Operating income for the three months ended March 31, 2020 was positively impacted by the favorable contractual adjustment to cost of revenues in the amount of $3.4 million. Management utilizes operating income in connection with managing our business as a key indicator of profitability. We also believe it is useful to investors as a key measure of our profitability, which is among the reasons we have included such measure as among the metrics for which we have generally provided forward-looking guidance. For 2020, and for several previous years, executive bonuses have been based on the achievement of operating income targets as well.</w:t>
      </w:r>
    </w:p>
    <w:p>
      <w:pPr>
        <w:spacing w:after="0" w:line="61" w:lineRule="exact"/>
        <w:rPr>
          <w:rFonts w:ascii="Arial" w:cs="Arial" w:eastAsia="Arial" w:hAnsi="Arial"/>
          <w:sz w:val="16"/>
          <w:szCs w:val="16"/>
          <w:color w:val="auto"/>
        </w:rPr>
      </w:pPr>
    </w:p>
    <w:p>
      <w:pPr>
        <w:jc w:val="both"/>
        <w:ind w:left="780" w:hanging="385"/>
        <w:spacing w:after="0" w:line="287"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Adjusted EBITDA</w:t>
      </w:r>
      <w:r>
        <w:rPr>
          <w:rFonts w:ascii="Arial" w:cs="Arial" w:eastAsia="Arial" w:hAnsi="Arial"/>
          <w:sz w:val="16"/>
          <w:szCs w:val="16"/>
          <w:color w:val="auto"/>
        </w:rPr>
        <w:t>. Adjusted EBITDA, calculated as set forth below under “Reconciliation of Non-GAAP Financial Measures,” is utilized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 connection with managing our business, and provides useful information to investors,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gain on sale in connection with the sale of the PX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from continuing operations was $11.8 million for the three months ended March 31, 2020, compared to $12.5 million for the three months ended March 31, 2019.</w:t>
      </w:r>
    </w:p>
    <w:p>
      <w:pPr>
        <w:spacing w:after="0" w:line="60" w:lineRule="exact"/>
        <w:rPr>
          <w:rFonts w:ascii="Arial" w:cs="Arial" w:eastAsia="Arial" w:hAnsi="Arial"/>
          <w:sz w:val="16"/>
          <w:szCs w:val="16"/>
          <w:color w:val="auto"/>
        </w:rPr>
      </w:pPr>
    </w:p>
    <w:p>
      <w:pPr>
        <w:jc w:val="both"/>
        <w:ind w:left="780" w:hanging="385"/>
        <w:spacing w:after="0" w:line="26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hStream Subscriptions</w:t>
      </w:r>
      <w:r>
        <w:rPr>
          <w:rFonts w:ascii="Arial" w:cs="Arial" w:eastAsia="Arial" w:hAnsi="Arial"/>
          <w:sz w:val="18"/>
          <w:szCs w:val="18"/>
          <w:color w:val="auto"/>
        </w:rPr>
        <w:t>. hStream subscriptions are determined as the number of subscriptions under contract for hStream, our Platform-as-a-Service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enables healthcare organizations and their respective workforces to easily connect to and gain value from the growing HealthStream ecosystem of applications, tools, and content.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9" w:name="page20"/>
    <w:bookmarkEnd w:id="19"/>
    <w:p>
      <w:pPr>
        <w:jc w:val="both"/>
        <w:ind w:left="780"/>
        <w:spacing w:after="0" w:line="260" w:lineRule="auto"/>
        <w:rPr>
          <w:sz w:val="20"/>
          <w:szCs w:val="20"/>
          <w:color w:val="auto"/>
        </w:rPr>
      </w:pPr>
      <w:r>
        <w:rPr>
          <w:rFonts w:ascii="Arial" w:cs="Arial" w:eastAsia="Arial" w:hAnsi="Arial"/>
          <w:sz w:val="18"/>
          <w:szCs w:val="18"/>
          <w:color w:val="auto"/>
        </w:rPr>
        <w:t>management utilizes hStream subscriptions in connection with managing our business, and believes that this metric provides useful information to investors, as a measure of our progress in growing the value of our customer base. At March 31, 2020, we had approximately 3.40 million contracted subscriptions to hStream, compared to 1.84 million as of March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240"/>
          </w:cols>
          <w:pgMar w:left="320" w:top="460" w:right="339" w:bottom="1440" w:gutter="0" w:footer="0" w:header="0"/>
        </w:sectPr>
      </w:pPr>
    </w:p>
    <w:p>
      <w:pPr>
        <w:spacing w:after="0" w:line="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00" w:lineRule="exact"/>
        <w:rPr>
          <w:sz w:val="20"/>
          <w:szCs w:val="20"/>
          <w:color w:val="auto"/>
        </w:rPr>
      </w:pPr>
    </w:p>
    <w:p>
      <w:pPr>
        <w:sectPr>
          <w:pgSz w:w="11900" w:h="16838" w:orient="portrait"/>
          <w:cols w:equalWidth="0" w:num="2">
            <w:col w:w="480" w:space="300"/>
            <w:col w:w="10460"/>
          </w:cols>
          <w:pgMar w:left="320" w:top="460" w:right="339" w:bottom="1440" w:gutter="0" w:footer="0" w:header="0"/>
          <w:type w:val="continuous"/>
        </w:sectPr>
      </w:pPr>
    </w:p>
    <w:p>
      <w:pPr>
        <w:jc w:val="both"/>
        <w:spacing w:after="0" w:line="272"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2019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2019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decreased approximately $3.6 million, or 6%, to $61.6 million for the three months ended March 31, 2020 from $65.2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00" w:type="dxa"/>
            <w:vAlign w:val="bottom"/>
            <w:tcBorders>
              <w:bottom w:val="single" w:sz="8" w:color="CFF0FC"/>
            </w:tcBorders>
            <w:vMerge w:val="continue"/>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54,295</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3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1"/>
              <w:spacing w:after="0"/>
              <w:rPr>
                <w:sz w:val="20"/>
                <w:szCs w:val="20"/>
                <w:color w:val="auto"/>
              </w:rPr>
            </w:pPr>
            <w:r>
              <w:rPr>
                <w:rFonts w:ascii="Arial" w:cs="Arial" w:eastAsia="Arial" w:hAnsi="Arial"/>
                <w:sz w:val="18"/>
                <w:szCs w:val="18"/>
                <w:color w:val="auto"/>
              </w:rPr>
              <w:t>81%</w:t>
            </w:r>
          </w:p>
        </w:tc>
        <w:tc>
          <w:tcPr>
            <w:tcW w:w="2660" w:type="dxa"/>
            <w:vAlign w:val="bottom"/>
          </w:tcPr>
          <w:p>
            <w:pPr>
              <w:jc w:val="right"/>
              <w:ind w:right="1591"/>
              <w:spacing w:after="0"/>
              <w:rPr>
                <w:sz w:val="20"/>
                <w:szCs w:val="20"/>
                <w:color w:val="auto"/>
              </w:rPr>
            </w:pPr>
            <w:r>
              <w:rPr>
                <w:rFonts w:ascii="Arial" w:cs="Arial" w:eastAsia="Arial" w:hAnsi="Arial"/>
                <w:sz w:val="18"/>
                <w:szCs w:val="18"/>
                <w:color w:val="auto"/>
              </w:rPr>
              <w:t>83%</w:t>
            </w:r>
          </w:p>
        </w:tc>
      </w:tr>
      <w:tr>
        <w:trPr>
          <w:trHeight w:val="228"/>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19%</w:t>
            </w:r>
          </w:p>
        </w:tc>
        <w:tc>
          <w:tcPr>
            <w:tcW w:w="266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17%</w:t>
            </w:r>
          </w:p>
        </w:tc>
      </w:tr>
    </w:tbl>
    <w:p>
      <w:pPr>
        <w:spacing w:after="0" w:line="3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Revenues for Workforce Solutions decreased $4.5 million, or 8%, to $49.8 million for the three months ended March 31, 2020 from $54.3 million for the three months ended March 31, 2019. Revenue from our legacy resuscitation products declined by $6.1 million, while revenue from other workforce solutions products increased by $1.6 million. Revenues from legacy resuscitation products were $11.2 million in the first quarter of 2020, compared to $17.3 million in the first quarter of 2019. Revenues from NurseGrid acquisition, which was completed on March 9, 2020, were not material to the first quarter of 2020.</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for Provider Solutions increased $0.8 million, or 8%, to $11.7 million for the three months ended March 31, 2020 from $10.9 million for the three months ended March 31, 2019. Revenue growth of $0.8 million was primarily attributable to new VerityStream subscriptions and professional services for client implementations, along with $0.4 million of revenues from the Covenant Technology Group, LLC (referred to above as “CredentialMyDoc”) acquisition, which occurred in December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type w:val="continuous"/>
        </w:sectPr>
      </w:pPr>
    </w:p>
    <w:bookmarkStart w:id="20" w:name="page21"/>
    <w:bookmarkEnd w:id="20"/>
    <w:p>
      <w:pPr>
        <w:jc w:val="both"/>
        <w:spacing w:after="0" w:line="260"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$6.5 million, or 24%, to $20.4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from $26.9 million for the three months ended March 31, 2019. Cost of revenues as a percentage of revenues was 33% and 41% for the three months ended March 31, 2020 and 2019, respectively.</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revenues for Workforce Solutions decreased $6.8 million to $16.5 million for the three months ended March 31, 2020 and approximated 33% and 43% of revenues for Workforce Solutions for the three months ended March 31, 2020 and 2019, respectively. The decrease is primarily associated with a $3.4 million favorable contractual adjustment that resulted in a decrease to royalty expense upon the resolution of a mutual disagreement relating to various elements of a past partnership. In addition, cost of revenues for Workforce Solutions benefited from lower royalty expense associated with the decline in the legacy resuscitation revenues. Cost of revenues for Provider Solutions increased $0.3 million to $3.9 million for the three months ended March 31, 2020 and approximated 33% of Provider Solutions revenues for both the three months ended March 31, 2020 and 2019. The increase is primarily associated with increases in implementation and customer support personnel over the prior year period.</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$0.6 million, or 8%, to $7.5 million for the three months ended March 31, 2020 from $6.9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2019. Product development expenses as a percentage of revenues were 12% and 11% for the three months ended March 31, 2020 and 2019, respectively.</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development expenses for Workforce Solutions increased $60,000 to $5.9 million for the three months ended March 31, 2020 and approximated 12% and 11% of revenues for Workforce Solutions for the three months ended March 31, 2020 and 2019, respectively. Product development expenses for Provider Solutions increased $0.5 million to $1.6 million for the three months ended March 31, 2020 and approximated 14% and 10% of revenues for Provider Solutions for the three months ended March 31, 2020 and 2019, respectively. The increase in product development expenses is primarily due to personnel additions over the prior year period as well as an increase in contract labor associated with software development.</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$0.3 million, or 3%, to $9.2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from $9.5 million for the three months ended March 31, 2019. Sales and marketing expenses were 15% of revenues for both the three months ended March 31, 2020 and 2019.</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and marketing expenses for Workforce Solutions decreased $0.5 million to $7.4 million for the three months ended March 31, 2020 and approximated 15% and 14% of revenues for Workforce Solutions for the three months ended March 31, 2020 and 2019, respectively. The decrease in amount is primarily due to lower sales commissions, consistent with the decreases in revenues, as well as lower marketing expenses. Sales and marketing expenses for Provider Solutions increased $0.2 million to $1.6 million for the three months ended March 31, 2020 and approximated 13% of revenues for Provider Solutions for both the three months ended March 31, 2020 and 2019. The increase in amount is primarily due to higher sales commissions, consistent with the increase in revenues. The unallocated corporate portion of sales and marketing expenses decreased $16,000 to $0.2 million for the three months ended March 31, 2020 compared to the prior year period.</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$0.1 million, or 1%, to $9.9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from $10.0 million for the three months ended March 31, 2019. Other general and administrative expenses as a percentage of revenues were 16% and 15% of revenues for the three months ended March 31, 2020 and 2019, respectively.</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general and administrative expenses for Workforce Solutions increased $0.6 million to $3.9 million for the three months ended March 31, 2020 and approximated 8% and 6% of Workforce Solutions revenues for the three months ended March 31, 2020 and 2019, respectively. The increase is primarily due to higher software costs as well as an increase in bad debt expense. Other general and administrative expenses for Provider Solutions decreased $0.1 million to $0.8 million for the three months ended March 31, 2020 and approximated 7% and 9% of Provider Solutions revenues for the three months ended March 31, 2020 and 2019, respectively. The decrease is due to a reduction in bad debt expense. The unallocated corporate portion of other general and administrative expenses decreased $0.6 million to $5.2 million for the three months ended March 31, 2020 compared to the prior year period primarily due to reductions in contract labor and software costs.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was $7.4 million and $6.5 million for the three months ended March 31,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This increase is primarily a result of amortization associated with capitalized software and depreciation of property and equipment associated with the relocation of our corporate offices in 2019.</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$1.7 million for the three months ended March 31, 2020 compared to $0.8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The increase resulted from a $1.2 million gain associated with the change in fair value of the non-marketable equity investment in NurseGrid prior to the acquisition of NurseGrid on March 9, 2020.</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from continuing operations of $1.9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compared to $1.4 million for the three months ended March 31, 2019. The Company’s effective tax rate was 21% for the three months ended March 31, 2020 compared to 23% for the three months ended March 31, 2019. During the three months ended March 31, 2020, the Company </w:t>
      </w:r>
      <w:r>
        <w:rPr>
          <w:rFonts w:ascii="Arial" w:cs="Arial" w:eastAsia="Arial" w:hAnsi="Arial"/>
          <w:sz w:val="16"/>
          <w:szCs w:val="16"/>
          <w:color w:val="212529"/>
        </w:rPr>
        <w:t>recorded a $1.2 million</w:t>
      </w:r>
      <w:r>
        <w:rPr>
          <w:rFonts w:ascii="Arial" w:cs="Arial" w:eastAsia="Arial" w:hAnsi="Arial"/>
          <w:sz w:val="16"/>
          <w:szCs w:val="16"/>
          <w:color w:val="auto"/>
        </w:rPr>
        <w:t xml:space="preserve"> </w:t>
      </w:r>
      <w:r>
        <w:rPr>
          <w:rFonts w:ascii="Arial" w:cs="Arial" w:eastAsia="Arial" w:hAnsi="Arial"/>
          <w:sz w:val="16"/>
          <w:szCs w:val="16"/>
          <w:color w:val="212529"/>
        </w:rPr>
        <w:t xml:space="preserve">change in fair value of non-marketable equity investments </w:t>
      </w:r>
      <w:r>
        <w:rPr>
          <w:rFonts w:ascii="Arial" w:cs="Arial" w:eastAsia="Arial" w:hAnsi="Arial"/>
          <w:sz w:val="16"/>
          <w:szCs w:val="16"/>
          <w:color w:val="000000"/>
        </w:rPr>
        <w:t>as a result of the NurseGrid acquisition, which is not a taxable transaction, resulting in a tax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18"/>
          <w:szCs w:val="18"/>
          <w:color w:val="auto"/>
        </w:rPr>
        <w:t>benefit of $0.3 million. The Company recorded an increase to the provision for income taxes associated with tax deficiencies resulting from stock based awards of $26,000 during the three months ended March 31, 2020 and recognized excess tax deductions of $83,000 resulting from stock based awards during the three months ended March 31, 2019.</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$7.1 million for the three months ended March 31, 2020, up 48% from $4.8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2019, and EPS from continuing operations was $0.22 per share (diluted) and $0.15 per share (diluted) for the three months ended March 31, 2020 and 2019, respectively, both of which were positively impacted in the amount of $2.6 million, or $0.08 per share, from the favorable adjustment to cost of revenues referenced above.</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Income from discontinued operations was zero for the three months ended March 31, 2020 compared to $1.2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three months ended March 31, 2019. </w:t>
      </w:r>
      <w:r>
        <w:rPr>
          <w:rFonts w:ascii="Arial" w:cs="Arial" w:eastAsia="Arial" w:hAnsi="Arial"/>
          <w:sz w:val="18"/>
          <w:szCs w:val="18"/>
          <w:color w:val="212529"/>
        </w:rPr>
        <w:t>The $1.2 million gain, net of tax, recorded during the three months ended March 31, 2019 was the result of a release of</w:t>
      </w:r>
      <w:r>
        <w:rPr>
          <w:rFonts w:ascii="Arial" w:cs="Arial" w:eastAsia="Arial" w:hAnsi="Arial"/>
          <w:sz w:val="18"/>
          <w:szCs w:val="18"/>
          <w:color w:val="auto"/>
        </w:rPr>
        <w:t xml:space="preserve"> </w:t>
      </w:r>
      <w:r>
        <w:rPr>
          <w:rFonts w:ascii="Arial" w:cs="Arial" w:eastAsia="Arial" w:hAnsi="Arial"/>
          <w:sz w:val="18"/>
          <w:szCs w:val="18"/>
          <w:color w:val="212529"/>
        </w:rPr>
        <w:t xml:space="preserve">escrow funds to us in connection with the PX disposition. </w:t>
      </w:r>
      <w:r>
        <w:rPr>
          <w:rFonts w:ascii="Arial" w:cs="Arial" w:eastAsia="Arial" w:hAnsi="Arial"/>
          <w:sz w:val="18"/>
          <w:szCs w:val="18"/>
          <w:color w:val="000000"/>
        </w:rPr>
        <w:t>Refer to Note 10 in the Notes to the Condensed Consolidated Financial Statements for further</w:t>
      </w:r>
      <w:r>
        <w:rPr>
          <w:rFonts w:ascii="Arial" w:cs="Arial" w:eastAsia="Arial" w:hAnsi="Arial"/>
          <w:sz w:val="18"/>
          <w:szCs w:val="18"/>
          <w:color w:val="212529"/>
        </w:rPr>
        <w:t xml:space="preserve"> </w:t>
      </w:r>
      <w:r>
        <w:rPr>
          <w:rFonts w:ascii="Arial" w:cs="Arial" w:eastAsia="Arial" w:hAnsi="Arial"/>
          <w:sz w:val="18"/>
          <w:szCs w:val="18"/>
          <w:color w:val="000000"/>
        </w:rPr>
        <w:t>information.</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$7.1 million and $6.0 million for the three months ended March 31, 2020 and 2019, respectively. EPS was $0.22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(diluted) and $0.18 per share (diluted) for the three months ended March 31, 2020 and 2019, respectively.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Adjusted EBITDA from continuing operations decreased 6% to $11.8 million for the three months ended March 31, 2020 from $12.5 million for the three months ended March 31, 2019.</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(from continuing and discontinued operations) was $11.8 million for the three months ended March 31, 2020 compared to $14.1 million for the three months ended March 31, 2019. See “Reconciliation of Non-GAAP Financial Measures” below for our reconciliation of Adjusted EBITDA from continuing operations and adjusted EBITDA to the most directly comparable measures under US GAAP and disclosure regarding why we believe these non-GAAP financial measures provide useful information to investors.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$20.5 million, of which $19.0 million was recorded during the year ended December 31, 2018 and $1.5 million was recorded during the year ended December 31, 2019. With the proceeds of this sale, our Board of Directors declared a $1.00 per common share special cash dividend, which was paid on April 3, 2018 to shareholders of record on March 6, 2018.</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have classified the gain on sale of our PX business segment as discontinued operations in our Condensed Consolidated Statements of Income for all periods presented. See Note 10 to our Condensed Consolidated Financial Statements included in this report for additional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Revenue generated by HeartCode and RQI products pursuant to the Legacy Agreements was $58.9 million and $54.6 million in 2019 and 2018, respectively. During the three months ended March 31, 2020, as noted above we recorded revenue of $11.2 million related to HeartCode and RQI products under the Legacy Agreements compared to $17.3 million for the three months ended March 31, 2019. For the remainder of 2020, we expect quarterly revenue from these products generated pursuant to the Legacy Agreements to continue to decline sequentially each quarter as follows: approximately $10.5 million in the second quarter, approximately $8.5 million in the third quarter, and approximately $6.0 million in the fourth quarter. We also continue to expect revenue from HeartCode and RQI products sold pursuant to the Legacy Agreements to be approximately zero in the first quarter of 2021.</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 and no material revenues have been recognized under this agreement through March 31,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we believe that the solution is gaining acceptance in the market.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order to better assess the Company’s financial results, management believes that net income before interest, income taxes, share-based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costs of revenues in the first quarter of 2020 as described above.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gain on sale in connection with the sale of the PX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76"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A reconciliation of adjusted EBITDA and adjusted EBITDA from continuing operations to the most directly comparable GAAP measures is set forth below (in thousands).</w:t>
      </w:r>
    </w:p>
    <w:p>
      <w:pPr>
        <w:spacing w:after="0" w:line="180"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6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
              <w:spacing w:after="0" w:line="154"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1"/>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(1,152)</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5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27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(1,152)</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Net cash provided by operating activities decreased by $10.0 million to $6.1 million during the three months ended March 31, 2020 from $16.1 million during the three months ended March 31, 2019. Such decrease was primarily driven by an increase in accounts receivable balances and payments of accrued royalties. Our DSO was 44 days for the first quarter of 2020 compared to 52 days for the first quarter of 2019 and 39 days for the fourth quarter of 2019. We believe that developments related to the COVID-19 pandemic have contributed to an increase in DSO in the first quarter of 2020 compared to the fourth quarter of 2019, and this trend may continue if negative economic conditions arising from the pandemic persist or continue to deteriorate.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used in investing activities was approximately $19.9 million for the three months ended March 31, 2020 compared to $39.4 million for the three months ended March 31, 2019. During the three months ended March 31, 2020, the Company spent $21.4 million to acquire NurseGrid, invested in marketable securities of $14.1 million, made payments for capitalized software development of $4.1 million, and purchased property and equipment of $1.0 million. These uses of cash were partially offset by $20.7 million in maturities of marketable securities. During the three months ended March 31, 2019, the Company spent $18.0 million to acquire Providigm, invested in marketable securities of $30.1 million, purchased property and equipment of $11.3 million, made payments for capitalized software development of $4.9 million, and invested $3.3 million in cost method investments. These uses of cash were partially offset by $28.3 million in maturities of marketable securities.</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financing activities was approximately $10.3 million for the three months ended March 31, 2020 compared to $0.4 million for the three months ended March 31, 2019. The uses of cash for the three months ended March 31, 2020 primarily included $9.9 million for common stock repurchases, $0.4 million for the payment of employee payroll taxes in relation to the vesting of restricted share units, and $30,000 of cash dividend payments. The uses of cash for the three months ended March 31, 2019 included $0.4 million for the payment of employee payroll taxes in relation to the vesting of restricted share units, $52,000 of cash dividends payments, and $37,000 of earn-out payments related to prior acquisitions. The source of cash from financing activities for the three months ended March 31, 2019 was from the exercise of stock options of $31,000.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Our balance sheet reflects positive working capital of $98.2 million at March 31, 2020 compared to $119.4 million at December 31, 2019. The decrease in working capital is primarily a result of the reduction in cash to fund the acquisition of NurseGrid and share repurchases. The Company’s primary source of liquidity as of March 31, 2020 was $107.4 million of cash and cash equivalents and $34.6 million of marketable securities. The Company also has a $50.0 million revolving credit facility, all of which was available for additional borrowing at March 31, 2020. The revolving credit facility expires on November 24, 2020, unless earlier renewed or amended.</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13, 2020, we announced a share repurchase program authorized by our Board of Directors under which we may purchase up to $30,000,000 of our common stock.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the first quarter of 2020, we repurchased 438,142 shares at an aggregate fair value of $9.9 million, reflecting an average price per share of $22.52 (excluding the cost of broker commissions). We may continue to make repurchases under this share repurchase program based on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any additional repurchases under our share repurchase program, and capital expenditures for at least the next 12 months. If the impact of COVID-19 persists longer than expected or causes economic conditions to further deteriorate, we are prepared to curtail or discontinue new product development and/or repurchases under the share repurchase authorization as we deem in the best interest of shareholders and the Company.</w:t>
      </w:r>
    </w:p>
    <w:p>
      <w:pPr>
        <w:spacing w:after="0" w:line="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2020,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 Moreover, the COVID-19 pandemic has resulted in, and may continue to result in, significant disruptions of financial and capital markets, which could impair our ability to access additional capital if needed.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exposed to market risk from changes in interest rates. We do not have any material foreign currency exchange rate risk or commodity price risk. As of March 31, 2020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$142.0 million at March 31, 2020. Assuming a hypothetical 10% decrease in interest rates for invested balances, interest income from cash and investments would decrease on an annualized basis by approximately $228,000.</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4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2020 that has materially affected, or that is reasonably likely to materially affect, HealthStream’s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6" w:name="page27"/>
    <w:bookmarkEnd w:id="26"/>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following supplements the Company’s risk factors previously disclosed in the 2019 Form 10-K by adding the following risk factor that takes into account developments with respect to COVID-19 since the filing of the 2019 Form 10-K. Except as set forth below, there have been no material changes with regard to the risk factors previously disclosed in the 2019 Form 10-K.</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coronavirus pandemic is significantly affecting our business, and may have material adverse impacts on our business, financial condition, results of operations, and/or cash flows.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adversely impacted consumer confidence and spending. This pandemic has also led to significant disruption and volatility in financial and capital markets.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is focused on providing workforce and provider solutions to healthcare organizations. Many healthcare organizations have been, and will likely continue to be, substantially adversely impacted by the COVID-19 pandemic which has resulted in a substantial reduction in the number of elective surgeries, physician office visits, and other healthcare procedures due to restrictive measures, including quarantines and shelter-in-place orders, as well as general concerns related to the risk of contracting COVID-19 from interacting with the healthcare system. Moreover, some healthcare organizations, such as ambulatory surgery centers, have been forced to reduce or close their operations due to the impact of the pandemic. Additionally, adverse conditions related to the pandemic are causing, and could continue to cause, certain of our customers to be unable to pay for our products and services in a timely and fulsome manner, or unable to pay at all, which will likely have an adverse impact on our financial results. Moreover, our “days sales outstanding” have increased as the result of the COVID-19 pandemic, , and to the extent this trend continues, or our customers are unable to pay due to bankruptcy or the deterioration of their business as the result of COVID-19, our bad debt may increase and future revenue generating opportunities with those customers may be limited.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Conditions related to the pandemic may also adversely impact the ability or willingness of our customers to renew their contracts with us (or to renew contracts on comparable terms) and to expand the quantity and type of solutions they purchase from us. The COVID-19 pandemic has begun to, and will likely continue to, adversely impact our ability to enter into contracts with new potential customers. Customers may also be unwilling or unable to pay the same prices for our products and solutions than they have paid in the past, which could negatively impact our results and growth. Many of our customers are not currently allowing vendors, including ourselves, on their premises, which is reducing the ability of our sales team to make sales they otherwise would likely make but for the impact of COVID-19. Additionally, we do not recognize revenue until a software product is implemented and “live” for a customer to use. To the extent our customers delay or fail to implement products they have previously purchased, or to the extent we are unable to fulfill our own implementation backlogs due to COVID-19, which certain of our customers are doing, our financial results will likely suffer, as may our future prospects.</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Our business also relies on a network of partners whose solutions we resell or whose solutions are sold and delivered over our platform. To the extent COVID-19 results in business disruption or adverse impacts to our partners, such disruptions and adverse impacts could adversely impact our business as well.</w:t>
      </w:r>
    </w:p>
    <w:p>
      <w:pPr>
        <w:spacing w:after="0" w:line="7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At the time of filing, due to COVID-19 our entire workforce is working remotely from home consistent with stay-at-home or shelter-in-place regulations. While we have not observed a disruption to productivity to date, operating on a prolonged basis as a remote workforce could result in decreases in productivity, increased security risks, impair our ability to manage our business, and harm our ability to attract, retain, and onboard employees.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continue to be significant uncertainties associated with the COVID-19 pandemic, including with respect to the severity and duration of the pandemic, actions that may be taken by governmental authorities and private businesses to mitigate against the impact of the pandemic, and the ongoing impact of COVID-19 on economic activity and unemployment and underemployment levels. Moreover, COVID-19 developments continue to evolve quickly, and additional developments may occur which we are unable to predict.</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Developments related to COVID-19 could have a material adverse effect on our business, financial condition, results of operations, and/or cash flows, particularly if negative conditions impacting healthcare organizations persist for a significant period of time or continue to deteriorate. In addition, the impact of COVID-19 may exacerbate other risks discussed in Part I, Item 1A. Risk Factors in our Annual Report on Form 10-K, any of which could have a material effect on us.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March 13, 2020, the Company announced a share repurchase program authorized by the Company’s Board of Directors under which the Company may purchase up to $30,000,000 of its common stock. Pursuant to this authorization, repurchases have been made and may continue to be made, in the open market through privately negotiated transactions or otherwise, including under a Rule 105b-1 plan, which permits shares to be repurchased when the Company might otherwise be precluded from doing so under insider trading laws in accordance with specific prearranged terms related to timing, price, and volume (among others), without further direction from the Company.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 The table below sets forth activity under the stock repurchase plan for the three months ended March 31, 2020.</w:t>
      </w:r>
    </w:p>
    <w:tbl>
      <w:tblPr>
        <w:tblLayout w:type="fixed"/>
        <w:tblInd w:w="0" w:type="dxa"/>
        <w:tblCellMar>
          <w:top w:w="0" w:type="dxa"/>
          <w:left w:w="0" w:type="dxa"/>
          <w:bottom w:w="0" w:type="dxa"/>
          <w:right w:w="0" w:type="dxa"/>
        </w:tblCellMar>
      </w:tblPr>
      <w:tr>
        <w:trPr>
          <w:trHeight w:val="143"/>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Total number of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17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(or units) purchased as</w:t>
            </w:r>
          </w:p>
        </w:tc>
        <w:tc>
          <w:tcPr>
            <w:tcW w:w="300" w:type="dxa"/>
            <w:vAlign w:val="bottom"/>
          </w:tcPr>
          <w:p>
            <w:pPr>
              <w:spacing w:after="0"/>
              <w:rPr>
                <w:sz w:val="12"/>
                <w:szCs w:val="12"/>
                <w:color w:val="auto"/>
              </w:rPr>
            </w:pPr>
          </w:p>
        </w:tc>
        <w:tc>
          <w:tcPr>
            <w:tcW w:w="16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value) of shares (or units)</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part of publicly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47"/>
        </w:trPr>
        <w:tc>
          <w:tcPr>
            <w:tcW w:w="39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1"/>
              </w:rPr>
              <w:t>Total number of shares</w:t>
            </w:r>
          </w:p>
        </w:tc>
        <w:tc>
          <w:tcPr>
            <w:tcW w:w="186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1"/>
              </w:rPr>
              <w:t>Average price paid per</w:t>
            </w: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announced plans 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0"/>
        </w:trPr>
        <w:tc>
          <w:tcPr>
            <w:tcW w:w="3980" w:type="dxa"/>
            <w:vAlign w:val="bottom"/>
            <w:vMerge w:val="continue"/>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(or units) purchased</w:t>
            </w:r>
          </w:p>
        </w:tc>
        <w:tc>
          <w:tcPr>
            <w:tcW w:w="16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share (or unit)</w:t>
            </w:r>
            <w:r>
              <w:rPr>
                <w:rFonts w:ascii="Arial" w:cs="Arial" w:eastAsia="Arial" w:hAnsi="Arial"/>
                <w:sz w:val="12"/>
                <w:szCs w:val="12"/>
                <w:b w:val="1"/>
                <w:bCs w:val="1"/>
                <w:color w:val="auto"/>
                <w:w w:val="93"/>
              </w:rPr>
              <w:t>(2)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programs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color w:val="auto"/>
              </w:rPr>
              <w:t>Month #1 (January 1 - January 31)</w:t>
            </w:r>
            <w:r>
              <w:rPr>
                <w:rFonts w:ascii="Arial" w:cs="Arial" w:eastAsia="Arial" w:hAnsi="Arial"/>
                <w:sz w:val="15"/>
                <w:szCs w:val="15"/>
                <w:color w:val="auto"/>
              </w:rPr>
              <w:t>(1)</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Month #2 (February 1 - February 29)</w:t>
            </w:r>
            <w:r>
              <w:rPr>
                <w:rFonts w:ascii="Arial" w:cs="Arial" w:eastAsia="Arial" w:hAnsi="Arial"/>
                <w:sz w:val="15"/>
                <w:szCs w:val="15"/>
                <w:color w:val="auto"/>
              </w:rPr>
              <w:t>(1)</w:t>
            </w:r>
          </w:p>
        </w:tc>
        <w:tc>
          <w:tcPr>
            <w:tcW w:w="1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Month #3 (March 1 - March 31)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438,142</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20,132,659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438,142</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438,142</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20,132,659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07"/>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stock repurchase plan was not in place during this period.</w:t>
      </w:r>
    </w:p>
    <w:p>
      <w:pPr>
        <w:spacing w:after="0" w:line="6" w:lineRule="exact"/>
        <w:rPr>
          <w:rFonts w:ascii="Arial" w:cs="Arial" w:eastAsia="Arial" w:hAnsi="Arial"/>
          <w:sz w:val="14"/>
          <w:szCs w:val="14"/>
          <w:color w:val="auto"/>
        </w:rPr>
      </w:pPr>
    </w:p>
    <w:p>
      <w:pPr>
        <w:ind w:left="580" w:hanging="207"/>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price paid per share of common stock does not include the cost of broker commissions.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18" w:lineRule="exact"/>
        <w:rPr>
          <w:sz w:val="20"/>
          <w:szCs w:val="20"/>
          <w:color w:val="auto"/>
        </w:rPr>
      </w:pPr>
    </w:p>
    <w:p>
      <w:pPr>
        <w:ind w:left="780" w:hanging="385"/>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920" w:type="dxa"/>
            <w:vAlign w:val="bottom"/>
          </w:tcPr>
          <w:p>
            <w:pPr>
              <w:spacing w:after="0"/>
              <w:rPr>
                <w:sz w:val="20"/>
                <w:szCs w:val="20"/>
                <w:color w:val="auto"/>
              </w:rPr>
            </w:pPr>
            <w:r>
              <w:rPr>
                <w:rFonts w:ascii="Arial" w:cs="Arial" w:eastAsia="Arial" w:hAnsi="Arial"/>
                <w:sz w:val="16"/>
                <w:szCs w:val="16"/>
                <w:color w:val="auto"/>
              </w:rPr>
              <w:t>10.18^</w:t>
            </w:r>
          </w:p>
        </w:tc>
        <w:tc>
          <w:tcPr>
            <w:tcW w:w="10240" w:type="dxa"/>
            <w:vAlign w:val="bottom"/>
          </w:tcPr>
          <w:p>
            <w:pPr>
              <w:ind w:left="20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HealthStream, Inc. 2020 Executive and Corporate Management Cash Incentive Bonus Plan</w:t>
              </w:r>
            </w:hyperlink>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10.19^</w:t>
            </w:r>
          </w:p>
        </w:tc>
        <w:tc>
          <w:tcPr>
            <w:tcW w:w="10240" w:type="dxa"/>
            <w:vAlign w:val="bottom"/>
          </w:tcPr>
          <w:p>
            <w:pPr>
              <w:ind w:left="20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HealthStream, Inc. 2020 Provider Solutions Cash Incentive Bonus Plan</w:t>
              </w:r>
            </w:hyperlink>
          </w:p>
        </w:tc>
      </w:tr>
      <w:tr>
        <w:trPr>
          <w:trHeight w:val="321"/>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10240" w:type="dxa"/>
            <w:vAlign w:val="bottom"/>
          </w:tcPr>
          <w:p>
            <w:pPr>
              <w:ind w:left="20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Certification of the Chief Executive Officer Pursuant to Section 302 of the Sarbanes-Oxley Act of 2002</w:t>
              </w:r>
            </w:hyperlink>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10240" w:type="dxa"/>
            <w:vAlign w:val="bottom"/>
          </w:tcPr>
          <w:p>
            <w:pPr>
              <w:ind w:left="20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Certification of the Principal Financial Officer Pursuant to Section 302 of the Sarbanes-Oxley Act of 2002</w:t>
              </w:r>
            </w:hyperlink>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10240" w:type="dxa"/>
            <w:vAlign w:val="bottom"/>
          </w:tcPr>
          <w:p>
            <w:pPr>
              <w:ind w:left="20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Certification Pursuant to 18 U.S.C. Section 1350, as Adopted Pursuant to Section 906 of the Sarbanes-Oxley Act of 2002</w:t>
              </w:r>
            </w:hyperlink>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10240" w:type="dxa"/>
            <w:vAlign w:val="bottom"/>
          </w:tcPr>
          <w:p>
            <w:pPr>
              <w:ind w:left="20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Certification Pursuant to 18 U.S.C. Section 1350, as Adopted Pursuant to Section 906 of the Sarbanes-Oxley Act of 2002</w:t>
              </w:r>
            </w:hyperlink>
          </w:p>
        </w:tc>
      </w:tr>
      <w:tr>
        <w:trPr>
          <w:trHeight w:val="330"/>
        </w:trPr>
        <w:tc>
          <w:tcPr>
            <w:tcW w:w="920" w:type="dxa"/>
            <w:vAlign w:val="bottom"/>
          </w:tcPr>
          <w:p>
            <w:pPr>
              <w:spacing w:after="0"/>
              <w:rPr>
                <w:sz w:val="20"/>
                <w:szCs w:val="20"/>
                <w:color w:val="auto"/>
              </w:rPr>
            </w:pPr>
            <w:r>
              <w:rPr>
                <w:rFonts w:ascii="Arial" w:cs="Arial" w:eastAsia="Arial" w:hAnsi="Arial"/>
                <w:sz w:val="16"/>
                <w:szCs w:val="16"/>
                <w:color w:val="auto"/>
              </w:rPr>
              <w:t>101.1 INS</w:t>
            </w:r>
          </w:p>
        </w:tc>
        <w:tc>
          <w:tcPr>
            <w:tcW w:w="10240" w:type="dxa"/>
            <w:vAlign w:val="bottom"/>
          </w:tcPr>
          <w:p>
            <w:pPr>
              <w:ind w:left="200"/>
              <w:spacing w:after="0"/>
              <w:rPr>
                <w:sz w:val="20"/>
                <w:szCs w:val="20"/>
                <w:color w:val="auto"/>
              </w:rPr>
            </w:pPr>
            <w:r>
              <w:rPr>
                <w:rFonts w:ascii="Arial" w:cs="Arial" w:eastAsia="Arial" w:hAnsi="Arial"/>
                <w:sz w:val="16"/>
                <w:szCs w:val="16"/>
                <w:color w:val="auto"/>
                <w:w w:val="94"/>
              </w:rPr>
              <w:t>XBRL Instance Document – The instant document does not appear in the Interactive Data File because its XBRL tags are embedded within the Inline</w:t>
            </w:r>
          </w:p>
        </w:tc>
      </w:tr>
      <w:tr>
        <w:trPr>
          <w:trHeight w:val="205"/>
        </w:trPr>
        <w:tc>
          <w:tcPr>
            <w:tcW w:w="920" w:type="dxa"/>
            <w:vAlign w:val="bottom"/>
          </w:tcPr>
          <w:p>
            <w:pPr>
              <w:spacing w:after="0"/>
              <w:rPr>
                <w:sz w:val="17"/>
                <w:szCs w:val="17"/>
                <w:color w:val="auto"/>
              </w:rPr>
            </w:pPr>
          </w:p>
        </w:tc>
        <w:tc>
          <w:tcPr>
            <w:tcW w:w="10240" w:type="dxa"/>
            <w:vAlign w:val="bottom"/>
          </w:tcPr>
          <w:p>
            <w:pPr>
              <w:ind w:left="200"/>
              <w:spacing w:after="0"/>
              <w:rPr>
                <w:sz w:val="20"/>
                <w:szCs w:val="20"/>
                <w:color w:val="auto"/>
              </w:rPr>
            </w:pPr>
            <w:r>
              <w:rPr>
                <w:rFonts w:ascii="Arial" w:cs="Arial" w:eastAsia="Arial" w:hAnsi="Arial"/>
                <w:sz w:val="16"/>
                <w:szCs w:val="16"/>
                <w:color w:val="auto"/>
              </w:rPr>
              <w:t>XBRL document.</w:t>
            </w:r>
          </w:p>
        </w:tc>
      </w:tr>
      <w:tr>
        <w:trPr>
          <w:trHeight w:val="321"/>
        </w:trPr>
        <w:tc>
          <w:tcPr>
            <w:tcW w:w="920" w:type="dxa"/>
            <w:vAlign w:val="bottom"/>
          </w:tcPr>
          <w:p>
            <w:pPr>
              <w:spacing w:after="0"/>
              <w:rPr>
                <w:sz w:val="20"/>
                <w:szCs w:val="20"/>
                <w:color w:val="auto"/>
              </w:rPr>
            </w:pPr>
            <w:r>
              <w:rPr>
                <w:rFonts w:ascii="Arial" w:cs="Arial" w:eastAsia="Arial" w:hAnsi="Arial"/>
                <w:sz w:val="16"/>
                <w:szCs w:val="16"/>
                <w:color w:val="auto"/>
              </w:rPr>
              <w:t>101.1 SCH</w:t>
            </w:r>
          </w:p>
        </w:tc>
        <w:tc>
          <w:tcPr>
            <w:tcW w:w="10240" w:type="dxa"/>
            <w:vAlign w:val="bottom"/>
          </w:tcPr>
          <w:p>
            <w:pPr>
              <w:ind w:left="200"/>
              <w:spacing w:after="0"/>
              <w:rPr>
                <w:sz w:val="20"/>
                <w:szCs w:val="20"/>
                <w:color w:val="auto"/>
              </w:rPr>
            </w:pPr>
            <w:r>
              <w:rPr>
                <w:rFonts w:ascii="Arial" w:cs="Arial" w:eastAsia="Arial" w:hAnsi="Arial"/>
                <w:sz w:val="16"/>
                <w:szCs w:val="16"/>
                <w:color w:val="auto"/>
              </w:rPr>
              <w:t>XBRL Taxonomy Extension Schema</w:t>
            </w: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101.1 CAL</w:t>
            </w:r>
          </w:p>
        </w:tc>
        <w:tc>
          <w:tcPr>
            <w:tcW w:w="1024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w:t>
            </w: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101.1 DEF</w:t>
            </w:r>
          </w:p>
        </w:tc>
        <w:tc>
          <w:tcPr>
            <w:tcW w:w="1024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w:t>
            </w: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101.1 LAB</w:t>
            </w:r>
          </w:p>
        </w:tc>
        <w:tc>
          <w:tcPr>
            <w:tcW w:w="10240" w:type="dxa"/>
            <w:vAlign w:val="bottom"/>
          </w:tcPr>
          <w:p>
            <w:pPr>
              <w:ind w:left="200"/>
              <w:spacing w:after="0"/>
              <w:rPr>
                <w:sz w:val="20"/>
                <w:szCs w:val="20"/>
                <w:color w:val="auto"/>
              </w:rPr>
            </w:pPr>
            <w:r>
              <w:rPr>
                <w:rFonts w:ascii="Arial" w:cs="Arial" w:eastAsia="Arial" w:hAnsi="Arial"/>
                <w:sz w:val="16"/>
                <w:szCs w:val="16"/>
                <w:color w:val="auto"/>
              </w:rPr>
              <w:t>XBRL Taxonomy Extension Label Linkbase</w:t>
            </w: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auto"/>
              </w:rPr>
              <w:t>101.1 PRE</w:t>
            </w:r>
          </w:p>
        </w:tc>
        <w:tc>
          <w:tcPr>
            <w:tcW w:w="1024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w:t>
            </w:r>
          </w:p>
        </w:tc>
      </w:tr>
      <w:tr>
        <w:trPr>
          <w:trHeight w:val="321"/>
        </w:trPr>
        <w:tc>
          <w:tcPr>
            <w:tcW w:w="920" w:type="dxa"/>
            <w:vAlign w:val="bottom"/>
          </w:tcPr>
          <w:p>
            <w:pPr>
              <w:spacing w:after="0"/>
              <w:rPr>
                <w:sz w:val="20"/>
                <w:szCs w:val="20"/>
                <w:color w:val="auto"/>
              </w:rPr>
            </w:pPr>
            <w:r>
              <w:rPr>
                <w:rFonts w:ascii="Arial" w:cs="Arial" w:eastAsia="Arial" w:hAnsi="Arial"/>
                <w:sz w:val="16"/>
                <w:szCs w:val="16"/>
                <w:color w:val="auto"/>
              </w:rPr>
              <w:t>104</w:t>
            </w:r>
          </w:p>
        </w:tc>
        <w:tc>
          <w:tcPr>
            <w:tcW w:w="10240" w:type="dxa"/>
            <w:vAlign w:val="bottom"/>
          </w:tcPr>
          <w:p>
            <w:pPr>
              <w:ind w:left="200"/>
              <w:spacing w:after="0"/>
              <w:rPr>
                <w:sz w:val="20"/>
                <w:szCs w:val="20"/>
                <w:color w:val="auto"/>
              </w:rPr>
            </w:pPr>
            <w:r>
              <w:rPr>
                <w:rFonts w:ascii="Arial" w:cs="Arial" w:eastAsia="Arial" w:hAnsi="Arial"/>
                <w:sz w:val="16"/>
                <w:szCs w:val="16"/>
                <w:color w:val="auto"/>
                <w:w w:val="99"/>
              </w:rPr>
              <w:t>The cover page from the Company’s Quarterly Report on Form 10-Q for the quarter ended March 31, 2020, has been formatted in Inline XBRL</w:t>
            </w:r>
          </w:p>
        </w:tc>
      </w:tr>
    </w:tbl>
    <w:p>
      <w:pPr>
        <w:spacing w:after="0" w:line="116" w:lineRule="exact"/>
        <w:rPr>
          <w:sz w:val="20"/>
          <w:szCs w:val="20"/>
          <w:color w:val="auto"/>
        </w:rPr>
      </w:pPr>
    </w:p>
    <w:p>
      <w:pPr>
        <w:ind w:left="1160" w:hanging="111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7680" w:type="dxa"/>
            <w:vAlign w:val="bottom"/>
            <w:gridSpan w:val="2"/>
          </w:tcPr>
          <w:p>
            <w:pPr>
              <w:ind w:left="2520"/>
              <w:spacing w:after="0"/>
              <w:rPr>
                <w:sz w:val="20"/>
                <w:szCs w:val="20"/>
                <w:color w:val="auto"/>
              </w:rPr>
            </w:pPr>
            <w:r>
              <w:rPr>
                <w:rFonts w:ascii="Arial" w:cs="Arial" w:eastAsia="Arial" w:hAnsi="Arial"/>
                <w:sz w:val="18"/>
                <w:szCs w:val="18"/>
                <w:color w:val="auto"/>
              </w:rPr>
              <w:t>HEALTHSTREAM, INC.</w:t>
            </w:r>
          </w:p>
        </w:tc>
      </w:tr>
      <w:tr>
        <w:trPr>
          <w:trHeight w:val="456"/>
        </w:trPr>
        <w:tc>
          <w:tcPr>
            <w:tcW w:w="3560" w:type="dxa"/>
            <w:vAlign w:val="bottom"/>
          </w:tcPr>
          <w:p>
            <w:pPr>
              <w:spacing w:after="0"/>
              <w:rPr>
                <w:sz w:val="20"/>
                <w:szCs w:val="20"/>
                <w:color w:val="auto"/>
              </w:rPr>
            </w:pPr>
            <w:r>
              <w:rPr>
                <w:rFonts w:ascii="Arial" w:cs="Arial" w:eastAsia="Arial" w:hAnsi="Arial"/>
                <w:sz w:val="18"/>
                <w:szCs w:val="18"/>
                <w:color w:val="auto"/>
              </w:rPr>
              <w:t>April 30, 2020</w:t>
            </w:r>
          </w:p>
        </w:tc>
        <w:tc>
          <w:tcPr>
            <w:tcW w:w="7680" w:type="dxa"/>
            <w:vAlign w:val="bottom"/>
            <w:gridSpan w:val="2"/>
          </w:tcPr>
          <w:p>
            <w:pPr>
              <w:ind w:left="252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4"/>
        </w:trPr>
        <w:tc>
          <w:tcPr>
            <w:tcW w:w="35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27"/>
        </w:trPr>
        <w:tc>
          <w:tcPr>
            <w:tcW w:w="3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1"/>
          <w:szCs w:val="21"/>
          <w:color w:val="auto"/>
        </w:rPr>
        <w:t>EXHIBIT 10.18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jc w:val="center"/>
        <w:spacing w:after="0"/>
        <w:rPr>
          <w:sz w:val="20"/>
          <w:szCs w:val="20"/>
          <w:color w:val="auto"/>
        </w:rPr>
      </w:pPr>
      <w:r>
        <w:rPr>
          <w:rFonts w:ascii="Arial" w:cs="Arial" w:eastAsia="Arial" w:hAnsi="Arial"/>
          <w:sz w:val="21"/>
          <w:szCs w:val="21"/>
          <w:b w:val="1"/>
          <w:bCs w:val="1"/>
          <w:color w:val="auto"/>
        </w:rPr>
        <w:t>Board of Directors</w:t>
      </w:r>
    </w:p>
    <w:p>
      <w:pPr>
        <w:jc w:val="center"/>
        <w:spacing w:after="0"/>
        <w:rPr>
          <w:sz w:val="20"/>
          <w:szCs w:val="20"/>
          <w:color w:val="auto"/>
        </w:rPr>
      </w:pPr>
      <w:r>
        <w:rPr>
          <w:rFonts w:ascii="Arial" w:cs="Arial" w:eastAsia="Arial" w:hAnsi="Arial"/>
          <w:sz w:val="21"/>
          <w:szCs w:val="21"/>
          <w:b w:val="1"/>
          <w:bCs w:val="1"/>
          <w:color w:val="auto"/>
        </w:rPr>
        <w:t>Compensation Committee</w:t>
      </w:r>
    </w:p>
    <w:p>
      <w:pPr>
        <w:jc w:val="center"/>
        <w:spacing w:after="0"/>
        <w:rPr>
          <w:sz w:val="20"/>
          <w:szCs w:val="20"/>
          <w:color w:val="auto"/>
        </w:rPr>
      </w:pPr>
      <w:r>
        <w:rPr>
          <w:rFonts w:ascii="Arial" w:cs="Arial" w:eastAsia="Arial" w:hAnsi="Arial"/>
          <w:sz w:val="21"/>
          <w:szCs w:val="21"/>
          <w:b w:val="1"/>
          <w:bCs w:val="1"/>
          <w:color w:val="auto"/>
        </w:rPr>
        <w:t>2020 Executive and Corporate Management Cash Incentive Bonus Plan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47" w:lineRule="exact"/>
        <w:rPr>
          <w:sz w:val="20"/>
          <w:szCs w:val="20"/>
          <w:color w:val="auto"/>
        </w:rPr>
      </w:pPr>
    </w:p>
    <w:p>
      <w:pPr>
        <w:ind w:right="60" w:firstLine="864"/>
        <w:spacing w:after="0" w:line="257" w:lineRule="auto"/>
        <w:rPr>
          <w:sz w:val="20"/>
          <w:szCs w:val="20"/>
          <w:color w:val="auto"/>
        </w:rPr>
      </w:pPr>
      <w:r>
        <w:rPr>
          <w:rFonts w:ascii="Arial" w:cs="Arial" w:eastAsia="Arial" w:hAnsi="Arial"/>
          <w:sz w:val="20"/>
          <w:szCs w:val="20"/>
          <w:color w:val="auto"/>
        </w:rPr>
        <w:t>Pursuant to the HealthStream, Inc. 2016 Omnibus Incentive Plan, the Compensation Committee (the “Committee”) of the Board of Directors of HealthStream, Inc. (the “Company”) hereby establishes this 2020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2020 fiscal year in order to reward Management for the Company’s financial performance during fiscal year 2020 and to further align their interests with those of the shareholders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41" w:lineRule="exact"/>
        <w:rPr>
          <w:sz w:val="20"/>
          <w:szCs w:val="20"/>
          <w:color w:val="auto"/>
        </w:rPr>
      </w:pPr>
    </w:p>
    <w:p>
      <w:pPr>
        <w:ind w:left="1300" w:right="40" w:hanging="436"/>
        <w:spacing w:after="0" w:line="276" w:lineRule="auto"/>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Actual Operating Income before bonuses </w:t>
      </w:r>
      <w:r>
        <w:rPr>
          <w:rFonts w:ascii="Arial" w:cs="Arial" w:eastAsia="Arial" w:hAnsi="Arial"/>
          <w:sz w:val="21"/>
          <w:szCs w:val="21"/>
          <w:color w:val="auto"/>
        </w:rPr>
        <w:t>– The Company’s Operating Income achieved in fiscal 2020, excluding</w:t>
      </w:r>
      <w:r>
        <w:rPr>
          <w:rFonts w:ascii="Arial" w:cs="Arial" w:eastAsia="Arial" w:hAnsi="Arial"/>
          <w:sz w:val="21"/>
          <w:szCs w:val="21"/>
          <w:b w:val="1"/>
          <w:bCs w:val="1"/>
          <w:color w:val="auto"/>
        </w:rPr>
        <w:t xml:space="preserve"> </w:t>
      </w:r>
      <w:r>
        <w:rPr>
          <w:rFonts w:ascii="Arial" w:cs="Arial" w:eastAsia="Arial" w:hAnsi="Arial"/>
          <w:sz w:val="21"/>
          <w:szCs w:val="21"/>
          <w:color w:val="auto"/>
        </w:rPr>
        <w:t>bonuses.</w:t>
      </w:r>
    </w:p>
    <w:p>
      <w:pPr>
        <w:spacing w:after="0" w:line="167" w:lineRule="exact"/>
        <w:rPr>
          <w:rFonts w:ascii="Arial" w:cs="Arial" w:eastAsia="Arial" w:hAnsi="Arial"/>
          <w:sz w:val="21"/>
          <w:szCs w:val="21"/>
          <w:color w:val="auto"/>
        </w:rPr>
      </w:pPr>
    </w:p>
    <w:p>
      <w:pPr>
        <w:ind w:left="1300" w:right="280" w:hanging="436"/>
        <w:spacing w:after="0" w:line="276" w:lineRule="auto"/>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Annual Bonus </w:t>
      </w:r>
      <w:r>
        <w:rPr>
          <w:rFonts w:ascii="Arial" w:cs="Arial" w:eastAsia="Arial" w:hAnsi="Arial"/>
          <w:sz w:val="21"/>
          <w:szCs w:val="21"/>
          <w:color w:val="auto"/>
        </w:rPr>
        <w:t>– The annual bonus paid to Management after the Committee determines the applicable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measure has been achieved.</w:t>
      </w:r>
    </w:p>
    <w:p>
      <w:pPr>
        <w:spacing w:after="0" w:line="167" w:lineRule="exact"/>
        <w:rPr>
          <w:rFonts w:ascii="Arial" w:cs="Arial" w:eastAsia="Arial" w:hAnsi="Arial"/>
          <w:sz w:val="21"/>
          <w:szCs w:val="21"/>
          <w:color w:val="auto"/>
        </w:rPr>
      </w:pPr>
    </w:p>
    <w:p>
      <w:pPr>
        <w:ind w:left="1300" w:hanging="436"/>
        <w:spacing w:after="0"/>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Incremental Operating Income </w:t>
      </w:r>
      <w:r>
        <w:rPr>
          <w:rFonts w:ascii="Arial" w:cs="Arial" w:eastAsia="Arial" w:hAnsi="Arial"/>
          <w:sz w:val="21"/>
          <w:szCs w:val="21"/>
          <w:color w:val="auto"/>
        </w:rPr>
        <w:t>- Actual Operating Income before bonuses less Target Operating Income.</w:t>
      </w:r>
    </w:p>
    <w:p>
      <w:pPr>
        <w:spacing w:after="0" w:line="240" w:lineRule="exact"/>
        <w:rPr>
          <w:rFonts w:ascii="Arial" w:cs="Arial" w:eastAsia="Arial" w:hAnsi="Arial"/>
          <w:sz w:val="21"/>
          <w:szCs w:val="21"/>
          <w:color w:val="auto"/>
        </w:rPr>
      </w:pPr>
    </w:p>
    <w:p>
      <w:pPr>
        <w:ind w:left="1300" w:right="120" w:hanging="436"/>
        <w:spacing w:after="0" w:line="258"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 The Company’s operating income for the 2020 fiscal year calculated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generally accepted 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2020 budget; and (ii) operating income (loss) from acquisitions and divestitures consummated during the calendar year (collectively, the “Excluded Expenses”). The Committee has the negative discretion to include the Excluded Expenses in the calculation of Operating Income.</w:t>
      </w:r>
    </w:p>
    <w:p>
      <w:pPr>
        <w:spacing w:after="0" w:line="191" w:lineRule="exact"/>
        <w:rPr>
          <w:rFonts w:ascii="Arial" w:cs="Arial" w:eastAsia="Arial" w:hAnsi="Arial"/>
          <w:sz w:val="20"/>
          <w:szCs w:val="20"/>
          <w:color w:val="auto"/>
        </w:rPr>
      </w:pPr>
    </w:p>
    <w:p>
      <w:pPr>
        <w:ind w:left="1300" w:right="40" w:hanging="436"/>
        <w:spacing w:after="0" w:line="276" w:lineRule="auto"/>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Target Operating Income </w:t>
      </w:r>
      <w:r>
        <w:rPr>
          <w:rFonts w:ascii="Arial" w:cs="Arial" w:eastAsia="Arial" w:hAnsi="Arial"/>
          <w:sz w:val="21"/>
          <w:szCs w:val="21"/>
          <w:color w:val="auto"/>
        </w:rPr>
        <w:t>– Operating Income for the 2020 fiscal year in an amount established by the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by resolution within the first 90 days of the Company’s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7150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b w:val="1"/>
          <w:bCs w:val="1"/>
          <w:color w:val="auto"/>
        </w:rPr>
        <w:t>2020 Financial Measure and Plan Principles:</w:t>
      </w:r>
    </w:p>
    <w:p>
      <w:pPr>
        <w:spacing w:after="0" w:line="241" w:lineRule="exact"/>
        <w:rPr>
          <w:sz w:val="20"/>
          <w:szCs w:val="20"/>
          <w:color w:val="auto"/>
        </w:rPr>
      </w:pPr>
    </w:p>
    <w:p>
      <w:pPr>
        <w:ind w:left="860" w:hanging="424"/>
        <w:spacing w:after="0"/>
        <w:tabs>
          <w:tab w:leader="none" w:pos="86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The financial measure for is Operating Income </w:t>
      </w:r>
      <w:r>
        <w:rPr>
          <w:rFonts w:ascii="Arial" w:cs="Arial" w:eastAsia="Arial" w:hAnsi="Arial"/>
          <w:sz w:val="21"/>
          <w:szCs w:val="21"/>
          <w:color w:val="auto"/>
        </w:rPr>
        <w:t>- Operating Income will be the financial measure for 2020.</w:t>
      </w:r>
    </w:p>
    <w:p>
      <w:pPr>
        <w:spacing w:after="0" w:line="240" w:lineRule="exact"/>
        <w:rPr>
          <w:rFonts w:ascii="Arial" w:cs="Arial" w:eastAsia="Arial" w:hAnsi="Arial"/>
          <w:sz w:val="21"/>
          <w:szCs w:val="21"/>
          <w:color w:val="auto"/>
        </w:rPr>
      </w:pPr>
    </w:p>
    <w:p>
      <w:pPr>
        <w:ind w:left="860" w:hanging="424"/>
        <w:spacing w:after="0" w:line="276" w:lineRule="auto"/>
        <w:tabs>
          <w:tab w:leader="none" w:pos="86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The Annual Bonus is funded by Incremental Operating Income </w:t>
      </w:r>
      <w:r>
        <w:rPr>
          <w:rFonts w:ascii="Arial" w:cs="Arial" w:eastAsia="Arial" w:hAnsi="Arial"/>
          <w:sz w:val="21"/>
          <w:szCs w:val="21"/>
          <w:color w:val="auto"/>
        </w:rPr>
        <w:t>- The Annual Bonus will be earned from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of Incremental Operating Income.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Plan</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Eligibility</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Three groups are eligible for participation in the Plan:</w:t>
      </w:r>
    </w:p>
    <w:p>
      <w:pPr>
        <w:spacing w:after="0" w:line="235" w:lineRule="exact"/>
        <w:rPr>
          <w:sz w:val="20"/>
          <w:szCs w:val="20"/>
          <w:color w:val="auto"/>
        </w:rPr>
      </w:pPr>
    </w:p>
    <w:p>
      <w:pPr>
        <w:ind w:left="1720" w:right="20" w:hanging="856"/>
        <w:spacing w:after="0" w:line="271" w:lineRule="auto"/>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Executive Team </w:t>
      </w:r>
      <w:r>
        <w:rPr>
          <w:rFonts w:ascii="Arial" w:cs="Arial" w:eastAsia="Arial" w:hAnsi="Arial"/>
          <w:sz w:val="19"/>
          <w:szCs w:val="19"/>
          <w:color w:val="auto"/>
        </w:rPr>
        <w:t>– The maximum Annual Bonus that Executive Team members, other than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HealthStream and the President &amp; Chief Operating Officer of HealthStream, shall be eligible to receive under the Plan shall be an amount equal to 30% of such member’s base salary; provided the CEO and the President &amp; COO shall be eligible to receive an amount equal to 40% of their base</w:t>
      </w:r>
    </w:p>
    <w:p>
      <w:pPr>
        <w:spacing w:after="0" w:line="1" w:lineRule="exact"/>
        <w:rPr>
          <w:rFonts w:ascii="Arial" w:cs="Arial" w:eastAsia="Arial" w:hAnsi="Arial"/>
          <w:sz w:val="19"/>
          <w:szCs w:val="19"/>
          <w:color w:val="auto"/>
        </w:rPr>
      </w:pPr>
    </w:p>
    <w:p>
      <w:pPr>
        <w:ind w:left="1720" w:right="400"/>
        <w:spacing w:after="0" w:line="304" w:lineRule="auto"/>
        <w:rPr>
          <w:rFonts w:ascii="Arial" w:cs="Arial" w:eastAsia="Arial" w:hAnsi="Arial"/>
          <w:sz w:val="19"/>
          <w:szCs w:val="19"/>
          <w:color w:val="auto"/>
        </w:rPr>
      </w:pPr>
      <w:r>
        <w:rPr>
          <w:rFonts w:ascii="Arial" w:cs="Arial" w:eastAsia="Arial" w:hAnsi="Arial"/>
          <w:sz w:val="19"/>
          <w:szCs w:val="19"/>
          <w:color w:val="auto"/>
        </w:rPr>
        <w:t>salary. Unless otherwise excluded below, the Executive Team eligible for participation includes the Chief Executive Officer, President &amp; Chief Operating Officer, and Senior Vice Presidents of the Company.</w:t>
      </w:r>
    </w:p>
    <w:p>
      <w:pPr>
        <w:spacing w:after="0" w:line="145" w:lineRule="exact"/>
        <w:rPr>
          <w:rFonts w:ascii="Arial" w:cs="Arial" w:eastAsia="Arial" w:hAnsi="Arial"/>
          <w:sz w:val="19"/>
          <w:szCs w:val="19"/>
          <w:color w:val="auto"/>
        </w:rPr>
      </w:pPr>
    </w:p>
    <w:p>
      <w:pPr>
        <w:ind w:left="1620" w:right="2800" w:hanging="756"/>
        <w:spacing w:after="0" w:line="286" w:lineRule="auto"/>
        <w:tabs>
          <w:tab w:leader="none" w:pos="1609"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Leadership Team (Vice Presidents and Associate Vice Presidents)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maximum Annual Bonus that Vice Presidents and Associate Vice Presidents of the Business Unit shall be eligible to receive under the Plan shall be an amount equal to 16% of such Vice President or Associate Vice President’s base salary.</w:t>
      </w:r>
    </w:p>
    <w:p>
      <w:pPr>
        <w:spacing w:after="0" w:line="163" w:lineRule="exact"/>
        <w:rPr>
          <w:rFonts w:ascii="Arial" w:cs="Arial" w:eastAsia="Arial" w:hAnsi="Arial"/>
          <w:sz w:val="19"/>
          <w:szCs w:val="19"/>
          <w:color w:val="auto"/>
        </w:rPr>
      </w:pPr>
    </w:p>
    <w:p>
      <w:pPr>
        <w:ind w:left="1720" w:hanging="856"/>
        <w:spacing w:after="0" w:line="251" w:lineRule="auto"/>
        <w:tabs>
          <w:tab w:leader="none" w:pos="172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Senior Directors </w:t>
      </w:r>
      <w:r>
        <w:rPr>
          <w:rFonts w:ascii="Arial" w:cs="Arial" w:eastAsia="Arial" w:hAnsi="Arial"/>
          <w:sz w:val="21"/>
          <w:szCs w:val="21"/>
          <w:color w:val="auto"/>
        </w:rPr>
        <w:t>- The maximum Annual Bonus that Senior Directors of the Business Unit shall be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under the Plan shall be an amount equal to 8% of such Senior Director’s base salary. For purposes of clarity, Directors do not include members of the Board of Directors, but are management-level employees of the Company.</w:t>
      </w:r>
    </w:p>
    <w:p>
      <w:pPr>
        <w:spacing w:after="0" w:line="194" w:lineRule="exact"/>
        <w:rPr>
          <w:rFonts w:ascii="Arial" w:cs="Arial" w:eastAsia="Arial" w:hAnsi="Arial"/>
          <w:sz w:val="21"/>
          <w:szCs w:val="21"/>
          <w:color w:val="auto"/>
        </w:rPr>
      </w:pPr>
    </w:p>
    <w:p>
      <w:pPr>
        <w:ind w:left="1720" w:right="40" w:hanging="856"/>
        <w:spacing w:after="0" w:line="297" w:lineRule="auto"/>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Directors </w:t>
      </w:r>
      <w:r>
        <w:rPr>
          <w:rFonts w:ascii="Arial" w:cs="Arial" w:eastAsia="Arial" w:hAnsi="Arial"/>
          <w:sz w:val="19"/>
          <w:szCs w:val="19"/>
          <w:color w:val="auto"/>
        </w:rPr>
        <w:t>- The maximum Annual Bonus that Directors of the Business Unit shall be eligible to receive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shall be an amount equal to 6% of such Director’s base salary. For purposes of clarity, Directors do not include members of the Board of Directors, but are management-level employees of the Company.</w:t>
      </w:r>
    </w:p>
    <w:p>
      <w:pPr>
        <w:spacing w:after="0" w:line="152" w:lineRule="exact"/>
        <w:rPr>
          <w:rFonts w:ascii="Arial" w:cs="Arial" w:eastAsia="Arial" w:hAnsi="Arial"/>
          <w:sz w:val="19"/>
          <w:szCs w:val="19"/>
          <w:color w:val="auto"/>
        </w:rPr>
      </w:pPr>
    </w:p>
    <w:p>
      <w:pPr>
        <w:ind w:left="1620" w:hanging="756"/>
        <w:spacing w:after="0"/>
        <w:tabs>
          <w:tab w:leader="none" w:pos="162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Employment Requirements </w:t>
      </w:r>
      <w:r>
        <w:rPr>
          <w:rFonts w:ascii="Arial" w:cs="Arial" w:eastAsia="Arial" w:hAnsi="Arial"/>
          <w:sz w:val="21"/>
          <w:szCs w:val="21"/>
          <w:color w:val="auto"/>
        </w:rPr>
        <w:t>– Participants in the Plan who were employed with</w:t>
      </w:r>
    </w:p>
    <w:p>
      <w:pPr>
        <w:spacing w:after="0" w:line="24" w:lineRule="exact"/>
        <w:rPr>
          <w:sz w:val="20"/>
          <w:szCs w:val="20"/>
          <w:color w:val="auto"/>
        </w:rPr>
      </w:pPr>
    </w:p>
    <w:p>
      <w:pPr>
        <w:ind w:left="1740" w:right="180"/>
        <w:spacing w:after="0" w:line="251" w:lineRule="auto"/>
        <w:rPr>
          <w:sz w:val="20"/>
          <w:szCs w:val="20"/>
          <w:color w:val="auto"/>
        </w:rPr>
      </w:pPr>
      <w:r>
        <w:rPr>
          <w:rFonts w:ascii="Arial" w:cs="Arial" w:eastAsia="Arial" w:hAnsi="Arial"/>
          <w:sz w:val="20"/>
          <w:szCs w:val="20"/>
          <w:color w:val="auto"/>
        </w:rPr>
        <w:t>the Company through December 31, 2020 shall be eligible to receive bonus payments, if any, under the Plan regardless of whether such employees are employed on the date such payments are actually</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made. Notwithstanding the foregoing, in the case of death or disability, the participant’s pro rata share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715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835" w:right="379" w:bottom="1440" w:gutter="0" w:footer="0" w:header="0"/>
        </w:sectPr>
      </w:pPr>
    </w:p>
    <w:bookmarkStart w:id="31" w:name="page32"/>
    <w:bookmarkEnd w:id="31"/>
    <w:p>
      <w:pPr>
        <w:ind w:left="1740"/>
        <w:spacing w:after="0"/>
        <w:rPr>
          <w:sz w:val="20"/>
          <w:szCs w:val="20"/>
          <w:color w:val="auto"/>
        </w:rPr>
      </w:pPr>
      <w:r>
        <w:rPr>
          <w:rFonts w:ascii="Arial" w:cs="Arial" w:eastAsia="Arial" w:hAnsi="Arial"/>
          <w:sz w:val="21"/>
          <w:szCs w:val="21"/>
          <w:color w:val="auto"/>
        </w:rPr>
        <w:t>January 1, 2020 through the date of participant’s death or disability shall be awarded.</w:t>
      </w:r>
    </w:p>
    <w:p>
      <w:pPr>
        <w:spacing w:after="0" w:line="235" w:lineRule="exact"/>
        <w:rPr>
          <w:sz w:val="20"/>
          <w:szCs w:val="20"/>
          <w:color w:val="auto"/>
        </w:rPr>
      </w:pPr>
    </w:p>
    <w:p>
      <w:pPr>
        <w:ind w:left="1720" w:hanging="856"/>
        <w:spacing w:after="0" w:line="268" w:lineRule="auto"/>
        <w:tabs>
          <w:tab w:leader="none" w:pos="172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 Members of the Executive Team with a commission based incentive compensation plan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eligible to participate in the Plan. Additionally, members of the Executive Team who are eligible to participate in any one of the following shall not be eligible to participate in the Plan: (i) the 2020 Workforce Development Cash Bonus Incentive Plan, or (ii) the 2020 Provider Solutions Cash Bonus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Payout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Payouts under the Plan shall be determined as follows:</w:t>
      </w:r>
    </w:p>
    <w:p>
      <w:pPr>
        <w:spacing w:after="0" w:line="241" w:lineRule="exact"/>
        <w:rPr>
          <w:sz w:val="20"/>
          <w:szCs w:val="20"/>
          <w:color w:val="auto"/>
        </w:rPr>
      </w:pPr>
    </w:p>
    <w:p>
      <w:pPr>
        <w:ind w:left="860" w:hanging="424"/>
        <w:spacing w:after="0" w:line="247" w:lineRule="auto"/>
        <w:tabs>
          <w:tab w:leader="none" w:pos="8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Incremental Operating Income will be determined by subtracting the Target Operating Income from Actual Operating Income before bonuses. The Incremental Operating Income will then be multiplied by 30% of base salary for each member of the Executive Team other than the Chief Executive Officer and the President &amp; COO, 40% of base salary for the CEO and the President &amp; COO, 16% of base salary for each member of the Leadership Team, 8% of base salary for each Senior Director, and 6% of base salary for each Director.</w:t>
      </w:r>
    </w:p>
    <w:p>
      <w:pPr>
        <w:spacing w:after="0" w:line="203" w:lineRule="exact"/>
        <w:rPr>
          <w:rFonts w:ascii="Arial" w:cs="Arial" w:eastAsia="Arial" w:hAnsi="Arial"/>
          <w:sz w:val="21"/>
          <w:szCs w:val="21"/>
          <w:color w:val="auto"/>
        </w:rPr>
      </w:pPr>
    </w:p>
    <w:p>
      <w:pPr>
        <w:ind w:left="860" w:right="200" w:hanging="424"/>
        <w:spacing w:after="0" w:line="324"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Annual Bonus payouts made to the Executive Team, Leadership Team, Senior Directors, or Directors pursuant to the Plan shall be payable at such time as bonuses are paid generally to executive officers of the Company.</w:t>
      </w:r>
    </w:p>
    <w:p>
      <w:pPr>
        <w:sectPr>
          <w:pgSz w:w="11900" w:h="16838" w:orient="portrait"/>
          <w:cols w:equalWidth="0" w:num="1">
            <w:col w:w="11180"/>
          </w:cols>
          <w:pgMar w:left="320" w:top="359" w:right="399" w:bottom="1440" w:gutter="0" w:footer="0" w:header="0"/>
        </w:sectPr>
      </w:pPr>
    </w:p>
    <w:bookmarkStart w:id="32" w:name="page33"/>
    <w:bookmarkEnd w:id="32"/>
    <w:p>
      <w:pPr>
        <w:jc w:val="right"/>
        <w:spacing w:after="0"/>
        <w:rPr>
          <w:sz w:val="20"/>
          <w:szCs w:val="20"/>
          <w:color w:val="auto"/>
        </w:rPr>
      </w:pPr>
      <w:r>
        <w:rPr>
          <w:rFonts w:ascii="Arial" w:cs="Arial" w:eastAsia="Arial" w:hAnsi="Arial"/>
          <w:sz w:val="21"/>
          <w:szCs w:val="21"/>
          <w:color w:val="auto"/>
        </w:rPr>
        <w:t>EXHIBIT 10.19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jc w:val="center"/>
        <w:spacing w:after="0"/>
        <w:rPr>
          <w:sz w:val="20"/>
          <w:szCs w:val="20"/>
          <w:color w:val="auto"/>
        </w:rPr>
      </w:pPr>
      <w:r>
        <w:rPr>
          <w:rFonts w:ascii="Arial" w:cs="Arial" w:eastAsia="Arial" w:hAnsi="Arial"/>
          <w:sz w:val="21"/>
          <w:szCs w:val="21"/>
          <w:b w:val="1"/>
          <w:bCs w:val="1"/>
          <w:color w:val="auto"/>
        </w:rPr>
        <w:t>Board of Directors</w:t>
      </w:r>
    </w:p>
    <w:p>
      <w:pPr>
        <w:jc w:val="center"/>
        <w:spacing w:after="0"/>
        <w:rPr>
          <w:sz w:val="20"/>
          <w:szCs w:val="20"/>
          <w:color w:val="auto"/>
        </w:rPr>
      </w:pPr>
      <w:r>
        <w:rPr>
          <w:rFonts w:ascii="Arial" w:cs="Arial" w:eastAsia="Arial" w:hAnsi="Arial"/>
          <w:sz w:val="21"/>
          <w:szCs w:val="21"/>
          <w:b w:val="1"/>
          <w:bCs w:val="1"/>
          <w:color w:val="auto"/>
        </w:rPr>
        <w:t>Compensation Committee</w:t>
      </w:r>
    </w:p>
    <w:p>
      <w:pPr>
        <w:jc w:val="center"/>
        <w:spacing w:after="0"/>
        <w:rPr>
          <w:sz w:val="20"/>
          <w:szCs w:val="20"/>
          <w:color w:val="auto"/>
        </w:rPr>
      </w:pPr>
      <w:r>
        <w:rPr>
          <w:rFonts w:ascii="Arial" w:cs="Arial" w:eastAsia="Arial" w:hAnsi="Arial"/>
          <w:sz w:val="21"/>
          <w:szCs w:val="21"/>
          <w:b w:val="1"/>
          <w:bCs w:val="1"/>
          <w:color w:val="auto"/>
        </w:rPr>
        <w:t>2020 Provider Solutions Cash Incentive Bonus Plan</w:t>
      </w:r>
    </w:p>
    <w:p>
      <w:pPr>
        <w:jc w:val="center"/>
        <w:spacing w:after="0"/>
        <w:rPr>
          <w:sz w:val="20"/>
          <w:szCs w:val="20"/>
          <w:color w:val="auto"/>
        </w:rPr>
      </w:pPr>
      <w:r>
        <w:rPr>
          <w:rFonts w:ascii="Arial" w:cs="Arial" w:eastAsia="Arial" w:hAnsi="Arial"/>
          <w:sz w:val="21"/>
          <w:szCs w:val="21"/>
          <w:b w:val="1"/>
          <w:bCs w:val="1"/>
          <w:color w:val="auto"/>
        </w:rPr>
        <w:t>For the Business Segment President</w:t>
      </w:r>
    </w:p>
    <w:p>
      <w:pPr>
        <w:spacing w:after="0"/>
        <w:rPr>
          <w:sz w:val="20"/>
          <w:szCs w:val="20"/>
          <w:color w:val="auto"/>
        </w:rPr>
      </w:pPr>
      <w:r>
        <w:rPr>
          <w:rFonts w:ascii="Arial" w:cs="Arial" w:eastAsia="Arial" w:hAnsi="Arial"/>
          <w:sz w:val="21"/>
          <w:szCs w:val="21"/>
          <w:b w:val="1"/>
          <w:bCs w:val="1"/>
          <w:color w:val="auto"/>
        </w:rPr>
        <w:t>Overview:</w:t>
      </w:r>
    </w:p>
    <w:p>
      <w:pPr>
        <w:spacing w:after="0" w:line="223" w:lineRule="exact"/>
        <w:rPr>
          <w:sz w:val="20"/>
          <w:szCs w:val="20"/>
          <w:color w:val="auto"/>
        </w:rPr>
      </w:pPr>
    </w:p>
    <w:p>
      <w:pPr>
        <w:ind w:right="100" w:firstLine="864"/>
        <w:spacing w:after="0" w:line="257" w:lineRule="auto"/>
        <w:rPr>
          <w:sz w:val="20"/>
          <w:szCs w:val="20"/>
          <w:color w:val="auto"/>
        </w:rPr>
      </w:pPr>
      <w:r>
        <w:rPr>
          <w:rFonts w:ascii="Arial" w:cs="Arial" w:eastAsia="Arial" w:hAnsi="Arial"/>
          <w:sz w:val="20"/>
          <w:szCs w:val="20"/>
          <w:color w:val="auto"/>
        </w:rPr>
        <w:t>Pursuant to the HealthStream, Inc. 2016 Omnibus Incentive Plan, the Compensation Committee (the “Committee”) of the Board of Directors of HealthStream, Inc. (the “Company”) hereby establishes this Amended 2020 Provider Solutions Cash Incentive Bonus Plan for the Business Segment President (the “Plan”). The Plan is a cash-based, short-term incentive portion of the Company’s Provider Solutions segment (the “Business Unit”) incentive compensation structure for the president (“President”) of the Business Unit. The purpose of the Plan is to specify appropriate opportunities to earn a cash bonus with respect to the (i) Business Unit’s 2020 fiscal year performance and/or (ii) the Company’s overall 2020 fiscal year performance, each in order to reward the President for the Business Unit’s and/or the Company’s financial performance during fiscal year 2019 and to further align his interest with those of the shareholders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00" w:lineRule="exact"/>
        <w:rPr>
          <w:sz w:val="20"/>
          <w:szCs w:val="20"/>
          <w:color w:val="auto"/>
        </w:rPr>
      </w:pPr>
    </w:p>
    <w:p>
      <w:pPr>
        <w:spacing w:after="0" w:line="282" w:lineRule="exact"/>
        <w:rPr>
          <w:sz w:val="20"/>
          <w:szCs w:val="20"/>
          <w:color w:val="auto"/>
        </w:rPr>
      </w:pPr>
    </w:p>
    <w:p>
      <w:pPr>
        <w:ind w:left="1300" w:right="8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Provider Solutions Actual Operating Income before bonuses </w:t>
      </w:r>
      <w:r>
        <w:rPr>
          <w:rFonts w:ascii="Arial" w:cs="Arial" w:eastAsia="Arial" w:hAnsi="Arial"/>
          <w:sz w:val="21"/>
          <w:szCs w:val="21"/>
          <w:color w:val="auto"/>
        </w:rPr>
        <w:t>– The Business Unit’s Operating Income achieved</w:t>
      </w:r>
      <w:r>
        <w:rPr>
          <w:rFonts w:ascii="Arial" w:cs="Arial" w:eastAsia="Arial" w:hAnsi="Arial"/>
          <w:sz w:val="21"/>
          <w:szCs w:val="21"/>
          <w:b w:val="1"/>
          <w:bCs w:val="1"/>
          <w:color w:val="auto"/>
        </w:rPr>
        <w:t xml:space="preserve"> </w:t>
      </w:r>
      <w:r>
        <w:rPr>
          <w:rFonts w:ascii="Arial" w:cs="Arial" w:eastAsia="Arial" w:hAnsi="Arial"/>
          <w:sz w:val="21"/>
          <w:szCs w:val="21"/>
          <w:color w:val="auto"/>
        </w:rPr>
        <w:t>in fiscal 2020, excluding bonuses.</w:t>
      </w:r>
    </w:p>
    <w:p>
      <w:pPr>
        <w:spacing w:after="0" w:line="167" w:lineRule="exact"/>
        <w:rPr>
          <w:rFonts w:ascii="Arial" w:cs="Arial" w:eastAsia="Arial" w:hAnsi="Arial"/>
          <w:sz w:val="21"/>
          <w:szCs w:val="21"/>
          <w:color w:val="auto"/>
        </w:rPr>
      </w:pPr>
    </w:p>
    <w:p>
      <w:pPr>
        <w:ind w:left="1300" w:right="44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Enterprise Actual Operating Income before bonuses </w:t>
      </w:r>
      <w:r>
        <w:rPr>
          <w:rFonts w:ascii="Arial" w:cs="Arial" w:eastAsia="Arial" w:hAnsi="Arial"/>
          <w:sz w:val="21"/>
          <w:szCs w:val="21"/>
          <w:color w:val="auto"/>
        </w:rPr>
        <w:t>– The Company’s Operating Income achieved in fiscal</w:t>
      </w:r>
      <w:r>
        <w:rPr>
          <w:rFonts w:ascii="Arial" w:cs="Arial" w:eastAsia="Arial" w:hAnsi="Arial"/>
          <w:sz w:val="21"/>
          <w:szCs w:val="21"/>
          <w:b w:val="1"/>
          <w:bCs w:val="1"/>
          <w:color w:val="auto"/>
        </w:rPr>
        <w:t xml:space="preserve"> </w:t>
      </w:r>
      <w:r>
        <w:rPr>
          <w:rFonts w:ascii="Arial" w:cs="Arial" w:eastAsia="Arial" w:hAnsi="Arial"/>
          <w:sz w:val="21"/>
          <w:szCs w:val="21"/>
          <w:color w:val="auto"/>
        </w:rPr>
        <w:t>2020, excluding bonuses.</w:t>
      </w:r>
    </w:p>
    <w:p>
      <w:pPr>
        <w:spacing w:after="0" w:line="167" w:lineRule="exact"/>
        <w:rPr>
          <w:rFonts w:ascii="Arial" w:cs="Arial" w:eastAsia="Arial" w:hAnsi="Arial"/>
          <w:sz w:val="21"/>
          <w:szCs w:val="21"/>
          <w:color w:val="auto"/>
        </w:rPr>
      </w:pPr>
    </w:p>
    <w:p>
      <w:pPr>
        <w:ind w:left="1300" w:right="6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Annual Bonus </w:t>
      </w:r>
      <w:r>
        <w:rPr>
          <w:rFonts w:ascii="Arial" w:cs="Arial" w:eastAsia="Arial" w:hAnsi="Arial"/>
          <w:sz w:val="21"/>
          <w:szCs w:val="21"/>
          <w:color w:val="auto"/>
        </w:rPr>
        <w:t>– The annual bonus paid to President after the Committee determines the applicable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measure has been achieved.</w:t>
      </w:r>
    </w:p>
    <w:p>
      <w:pPr>
        <w:spacing w:after="0" w:line="167" w:lineRule="exact"/>
        <w:rPr>
          <w:rFonts w:ascii="Arial" w:cs="Arial" w:eastAsia="Arial" w:hAnsi="Arial"/>
          <w:sz w:val="21"/>
          <w:szCs w:val="21"/>
          <w:color w:val="auto"/>
        </w:rPr>
      </w:pPr>
    </w:p>
    <w:p>
      <w:pPr>
        <w:ind w:left="1300" w:right="7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Provider Solutions Incremental Operating Income </w:t>
      </w:r>
      <w:r>
        <w:rPr>
          <w:rFonts w:ascii="Arial" w:cs="Arial" w:eastAsia="Arial" w:hAnsi="Arial"/>
          <w:sz w:val="21"/>
          <w:szCs w:val="21"/>
          <w:color w:val="auto"/>
        </w:rPr>
        <w:t>– Provider Solutions Actual Operating Income before</w:t>
      </w:r>
      <w:r>
        <w:rPr>
          <w:rFonts w:ascii="Arial" w:cs="Arial" w:eastAsia="Arial" w:hAnsi="Arial"/>
          <w:sz w:val="21"/>
          <w:szCs w:val="21"/>
          <w:b w:val="1"/>
          <w:bCs w:val="1"/>
          <w:color w:val="auto"/>
        </w:rPr>
        <w:t xml:space="preserve"> </w:t>
      </w:r>
      <w:r>
        <w:rPr>
          <w:rFonts w:ascii="Arial" w:cs="Arial" w:eastAsia="Arial" w:hAnsi="Arial"/>
          <w:sz w:val="21"/>
          <w:szCs w:val="21"/>
          <w:color w:val="auto"/>
        </w:rPr>
        <w:t>bonuses less Provider Solutions Target Operating Income.</w:t>
      </w:r>
    </w:p>
    <w:p>
      <w:pPr>
        <w:spacing w:after="0" w:line="167" w:lineRule="exact"/>
        <w:rPr>
          <w:rFonts w:ascii="Arial" w:cs="Arial" w:eastAsia="Arial" w:hAnsi="Arial"/>
          <w:sz w:val="21"/>
          <w:szCs w:val="21"/>
          <w:color w:val="auto"/>
        </w:rPr>
      </w:pPr>
    </w:p>
    <w:p>
      <w:pPr>
        <w:ind w:left="1300" w:right="1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Enterprise Incremental Operating Income </w:t>
      </w:r>
      <w:r>
        <w:rPr>
          <w:rFonts w:ascii="Arial" w:cs="Arial" w:eastAsia="Arial" w:hAnsi="Arial"/>
          <w:sz w:val="21"/>
          <w:szCs w:val="21"/>
          <w:color w:val="auto"/>
        </w:rPr>
        <w:t>– Enterprise Actual Operating Income before bonuses less Enterprise</w:t>
      </w:r>
      <w:r>
        <w:rPr>
          <w:rFonts w:ascii="Arial" w:cs="Arial" w:eastAsia="Arial" w:hAnsi="Arial"/>
          <w:sz w:val="21"/>
          <w:szCs w:val="21"/>
          <w:b w:val="1"/>
          <w:bCs w:val="1"/>
          <w:color w:val="auto"/>
        </w:rPr>
        <w:t xml:space="preserve"> </w:t>
      </w:r>
      <w:r>
        <w:rPr>
          <w:rFonts w:ascii="Arial" w:cs="Arial" w:eastAsia="Arial" w:hAnsi="Arial"/>
          <w:sz w:val="21"/>
          <w:szCs w:val="21"/>
          <w:color w:val="auto"/>
        </w:rPr>
        <w:t>Target Operating Income.</w:t>
      </w:r>
    </w:p>
    <w:p>
      <w:pPr>
        <w:spacing w:after="0" w:line="167" w:lineRule="exact"/>
        <w:rPr>
          <w:rFonts w:ascii="Arial" w:cs="Arial" w:eastAsia="Arial" w:hAnsi="Arial"/>
          <w:sz w:val="21"/>
          <w:szCs w:val="21"/>
          <w:color w:val="auto"/>
        </w:rPr>
      </w:pPr>
    </w:p>
    <w:p>
      <w:pPr>
        <w:ind w:left="1300" w:hanging="436"/>
        <w:spacing w:after="0" w:line="24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Provider Solutions Operating Income </w:t>
      </w:r>
      <w:r>
        <w:rPr>
          <w:rFonts w:ascii="Arial" w:cs="Arial" w:eastAsia="Arial" w:hAnsi="Arial"/>
          <w:sz w:val="21"/>
          <w:szCs w:val="21"/>
          <w:color w:val="auto"/>
        </w:rPr>
        <w:t>– The Business Unit’s Operating Income for the 2020 fiscal year calculated</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generally accepted accounting principles under ASC 606 and consistent with the Company’s past practice and presented in the Company’s audited financial statements, provided the following expenses are excluded from the calculation of Provider Solutions Operating Income: for acquisitions and divestitures within or directly impacting the Business Unit, (i) acquisition and divestiture expenses incurred within the calendar year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507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9"/>
          <w:szCs w:val="19"/>
          <w:color w:val="auto"/>
        </w:rPr>
        <w:t>such expenses are in excess of the amount originally allocated to such purpose in the Company’s 2020 budget and</w:t>
      </w:r>
    </w:p>
    <w:p>
      <w:pPr>
        <w:spacing w:after="0" w:line="41" w:lineRule="exact"/>
        <w:rPr>
          <w:sz w:val="20"/>
          <w:szCs w:val="20"/>
          <w:color w:val="auto"/>
        </w:rPr>
      </w:pPr>
    </w:p>
    <w:p>
      <w:pPr>
        <w:ind w:left="1300"/>
        <w:spacing w:after="0" w:line="246" w:lineRule="auto"/>
        <w:rPr>
          <w:sz w:val="20"/>
          <w:szCs w:val="20"/>
          <w:color w:val="auto"/>
        </w:rPr>
      </w:pPr>
      <w:r>
        <w:rPr>
          <w:rFonts w:ascii="Arial" w:cs="Arial" w:eastAsia="Arial" w:hAnsi="Arial"/>
          <w:sz w:val="21"/>
          <w:szCs w:val="21"/>
          <w:color w:val="auto"/>
        </w:rPr>
        <w:t>(ii) operating income (loss) from acquisitions and divestitures consummated during the calendar year (the “Provider Solutions Excluded Expenses”). The Committee has the negative discretion to include the Provider Solutions Excluded Expenses in the calculation of Provider Solutions Operating Income.</w:t>
      </w:r>
    </w:p>
    <w:p>
      <w:pPr>
        <w:spacing w:after="0" w:line="197" w:lineRule="exact"/>
        <w:rPr>
          <w:sz w:val="20"/>
          <w:szCs w:val="20"/>
          <w:color w:val="auto"/>
        </w:rPr>
      </w:pPr>
    </w:p>
    <w:p>
      <w:pPr>
        <w:ind w:left="1300" w:right="140" w:hanging="436"/>
        <w:spacing w:after="0" w:line="258"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Enterprise Operating Income </w:t>
      </w:r>
      <w:r>
        <w:rPr>
          <w:rFonts w:ascii="Arial" w:cs="Arial" w:eastAsia="Arial" w:hAnsi="Arial"/>
          <w:sz w:val="20"/>
          <w:szCs w:val="20"/>
          <w:color w:val="auto"/>
        </w:rPr>
        <w:t>- The Company’s Operating Income for the 2019 fiscal year calculated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generally accepted 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2020 budget; and (ii) operating income (loss) from acquisitions and divestitures consummated during the calendar year(collectively, the “Excluded Expenses”). The Committee has the negative discretion to include the Excluded Expenses in the calculation of Enterprise Operating Income.</w:t>
      </w:r>
    </w:p>
    <w:p>
      <w:pPr>
        <w:spacing w:after="0" w:line="191" w:lineRule="exact"/>
        <w:rPr>
          <w:rFonts w:ascii="Arial" w:cs="Arial" w:eastAsia="Arial" w:hAnsi="Arial"/>
          <w:sz w:val="20"/>
          <w:szCs w:val="20"/>
          <w:color w:val="auto"/>
        </w:rPr>
      </w:pPr>
    </w:p>
    <w:p>
      <w:pPr>
        <w:jc w:val="both"/>
        <w:ind w:left="1300" w:right="160" w:hanging="436"/>
        <w:spacing w:after="0" w:line="331"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Provider Solutions Target Operating Income </w:t>
      </w:r>
      <w:r>
        <w:rPr>
          <w:rFonts w:ascii="Arial" w:cs="Arial" w:eastAsia="Arial" w:hAnsi="Arial"/>
          <w:sz w:val="19"/>
          <w:szCs w:val="19"/>
          <w:color w:val="auto"/>
        </w:rPr>
        <w:t>– Provider Solutions Operating Income for the 2020 fiscal year in</w:t>
      </w:r>
      <w:r>
        <w:rPr>
          <w:rFonts w:ascii="Arial" w:cs="Arial" w:eastAsia="Arial" w:hAnsi="Arial"/>
          <w:sz w:val="19"/>
          <w:szCs w:val="19"/>
          <w:b w:val="1"/>
          <w:bCs w:val="1"/>
          <w:color w:val="auto"/>
        </w:rPr>
        <w:t xml:space="preserve"> </w:t>
      </w:r>
      <w:r>
        <w:rPr>
          <w:rFonts w:ascii="Arial" w:cs="Arial" w:eastAsia="Arial" w:hAnsi="Arial"/>
          <w:sz w:val="19"/>
          <w:szCs w:val="19"/>
          <w:color w:val="auto"/>
        </w:rPr>
        <w:t>an amount established by the Committee by resolution within the first 90 days of the Company’s 2020 fiscal year.</w:t>
      </w:r>
    </w:p>
    <w:p>
      <w:pPr>
        <w:spacing w:after="0" w:line="120" w:lineRule="exact"/>
        <w:rPr>
          <w:rFonts w:ascii="Arial" w:cs="Arial" w:eastAsia="Arial" w:hAnsi="Arial"/>
          <w:sz w:val="19"/>
          <w:szCs w:val="19"/>
          <w:color w:val="auto"/>
        </w:rPr>
      </w:pPr>
    </w:p>
    <w:p>
      <w:pPr>
        <w:ind w:left="1300" w:right="660" w:hanging="436"/>
        <w:spacing w:after="0" w:line="331"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Enterprise Target Operating Income </w:t>
      </w:r>
      <w:r>
        <w:rPr>
          <w:rFonts w:ascii="Arial" w:cs="Arial" w:eastAsia="Arial" w:hAnsi="Arial"/>
          <w:sz w:val="19"/>
          <w:szCs w:val="19"/>
          <w:color w:val="auto"/>
        </w:rPr>
        <w:t>– Enterprise Operating Income for the 2020 fiscal year in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by the Committee by resolution within the first 90 days of the Company’s 2020 fiscal year.</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2020 Financial Measure and Plan Principles:</w:t>
      </w:r>
    </w:p>
    <w:p>
      <w:pPr>
        <w:spacing w:after="0" w:line="241" w:lineRule="exact"/>
        <w:rPr>
          <w:sz w:val="20"/>
          <w:szCs w:val="20"/>
          <w:color w:val="auto"/>
        </w:rPr>
      </w:pPr>
    </w:p>
    <w:p>
      <w:pPr>
        <w:ind w:left="860" w:right="100" w:hanging="424"/>
        <w:spacing w:after="0" w:line="276" w:lineRule="auto"/>
        <w:tabs>
          <w:tab w:leader="none" w:pos="860"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The financial measures for 2020 are Provider Solutions and/or Enterprise Operating Income </w:t>
      </w:r>
      <w:r>
        <w:rPr>
          <w:rFonts w:ascii="Arial" w:cs="Arial" w:eastAsia="Arial" w:hAnsi="Arial"/>
          <w:sz w:val="21"/>
          <w:szCs w:val="21"/>
          <w:color w:val="auto"/>
        </w:rPr>
        <w:t>– Provider Solutions</w:t>
      </w:r>
      <w:r>
        <w:rPr>
          <w:rFonts w:ascii="Arial" w:cs="Arial" w:eastAsia="Arial" w:hAnsi="Arial"/>
          <w:sz w:val="21"/>
          <w:szCs w:val="21"/>
          <w:b w:val="1"/>
          <w:bCs w:val="1"/>
          <w:color w:val="auto"/>
        </w:rPr>
        <w:t xml:space="preserve"> </w:t>
      </w:r>
      <w:r>
        <w:rPr>
          <w:rFonts w:ascii="Arial" w:cs="Arial" w:eastAsia="Arial" w:hAnsi="Arial"/>
          <w:sz w:val="21"/>
          <w:szCs w:val="21"/>
          <w:color w:val="auto"/>
        </w:rPr>
        <w:t>and/or Enterprise Operating Income will be the financial measure for 2020.</w:t>
      </w:r>
    </w:p>
    <w:p>
      <w:pPr>
        <w:spacing w:after="0" w:line="167" w:lineRule="exact"/>
        <w:rPr>
          <w:rFonts w:ascii="Arial" w:cs="Arial" w:eastAsia="Arial" w:hAnsi="Arial"/>
          <w:sz w:val="21"/>
          <w:szCs w:val="21"/>
          <w:color w:val="auto"/>
        </w:rPr>
      </w:pPr>
    </w:p>
    <w:p>
      <w:pPr>
        <w:ind w:left="860" w:right="280" w:hanging="424"/>
        <w:spacing w:after="0" w:line="331" w:lineRule="auto"/>
        <w:tabs>
          <w:tab w:leader="none" w:pos="860"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The Annual Bonus is funded by Provider Solutions and/or Enterprise Incremental Operating Income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Annual Bonus will be earned from an amount of Provider Solutions and/or Enterprise Incremental Operating Income.</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Plan</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Eligibility</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One individual is eligible for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71507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4" w:name="page35"/>
    <w:bookmarkEnd w:id="34"/>
    <w:p>
      <w:pPr>
        <w:ind w:left="1300" w:hanging="436"/>
        <w:spacing w:after="0" w:line="264"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President </w:t>
      </w:r>
      <w:r>
        <w:rPr>
          <w:rFonts w:ascii="Arial" w:cs="Arial" w:eastAsia="Arial" w:hAnsi="Arial"/>
          <w:sz w:val="20"/>
          <w:szCs w:val="20"/>
          <w:color w:val="auto"/>
        </w:rPr>
        <w:t>– The maximum Annual Bonus the President shall be eligible to receive under the Plan shall be an</w:t>
      </w:r>
      <w:r>
        <w:rPr>
          <w:rFonts w:ascii="Arial" w:cs="Arial" w:eastAsia="Arial" w:hAnsi="Arial"/>
          <w:sz w:val="20"/>
          <w:szCs w:val="20"/>
          <w:b w:val="1"/>
          <w:bCs w:val="1"/>
          <w:color w:val="auto"/>
        </w:rPr>
        <w:t xml:space="preserve"> </w:t>
      </w:r>
      <w:r>
        <w:rPr>
          <w:rFonts w:ascii="Arial" w:cs="Arial" w:eastAsia="Arial" w:hAnsi="Arial"/>
          <w:sz w:val="20"/>
          <w:szCs w:val="20"/>
          <w:color w:val="auto"/>
        </w:rPr>
        <w:t>amount equal to 40 percent of the President’s base salary, with that 40% being comprised as follows: 32% from Provider Solutions Incremental Operating Income and 8% from Enterprise Incremental Income.. Therefore, 80% of the President’s Annual Bonus is based on achieving and exceeding Provider Solutions Target Operating Income and the other 20% is based on achieving and exceeding Enterprise Target Operating Income.</w:t>
      </w:r>
    </w:p>
    <w:p>
      <w:pPr>
        <w:spacing w:after="0" w:line="181" w:lineRule="exact"/>
        <w:rPr>
          <w:rFonts w:ascii="Arial" w:cs="Arial" w:eastAsia="Arial" w:hAnsi="Arial"/>
          <w:sz w:val="20"/>
          <w:szCs w:val="20"/>
          <w:color w:val="auto"/>
        </w:rPr>
      </w:pPr>
    </w:p>
    <w:p>
      <w:pPr>
        <w:ind w:left="1300" w:hanging="436"/>
        <w:spacing w:after="0"/>
        <w:tabs>
          <w:tab w:leader="none" w:pos="1300"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Employment Requirements </w:t>
      </w:r>
      <w:r>
        <w:rPr>
          <w:rFonts w:ascii="Arial" w:cs="Arial" w:eastAsia="Arial" w:hAnsi="Arial"/>
          <w:sz w:val="21"/>
          <w:szCs w:val="21"/>
          <w:color w:val="auto"/>
        </w:rPr>
        <w:t>– Participants in the Plan who were employed with</w:t>
      </w:r>
    </w:p>
    <w:p>
      <w:pPr>
        <w:spacing w:after="0" w:line="23" w:lineRule="exact"/>
        <w:rPr>
          <w:rFonts w:ascii="Arial" w:cs="Arial" w:eastAsia="Arial" w:hAnsi="Arial"/>
          <w:sz w:val="21"/>
          <w:szCs w:val="21"/>
          <w:color w:val="auto"/>
        </w:rPr>
      </w:pPr>
    </w:p>
    <w:p>
      <w:pPr>
        <w:ind w:left="1300" w:right="640"/>
        <w:spacing w:after="0" w:line="251" w:lineRule="auto"/>
        <w:rPr>
          <w:rFonts w:ascii="Arial" w:cs="Arial" w:eastAsia="Arial" w:hAnsi="Arial"/>
          <w:sz w:val="21"/>
          <w:szCs w:val="21"/>
          <w:color w:val="auto"/>
        </w:rPr>
      </w:pPr>
      <w:r>
        <w:rPr>
          <w:rFonts w:ascii="Arial" w:cs="Arial" w:eastAsia="Arial" w:hAnsi="Arial"/>
          <w:sz w:val="20"/>
          <w:szCs w:val="20"/>
          <w:color w:val="auto"/>
        </w:rPr>
        <w:t>the Company through December 31, 2020 shall be eligible to receive bonus payments, if any, under the Plan regardless of whether such employees are employed on the date such payments are actually</w:t>
      </w:r>
    </w:p>
    <w:p>
      <w:pPr>
        <w:ind w:left="1300" w:right="660"/>
        <w:spacing w:after="0" w:line="252" w:lineRule="auto"/>
        <w:rPr>
          <w:rFonts w:ascii="Arial" w:cs="Arial" w:eastAsia="Arial" w:hAnsi="Arial"/>
          <w:sz w:val="21"/>
          <w:szCs w:val="21"/>
          <w:color w:val="auto"/>
        </w:rPr>
      </w:pPr>
      <w:r>
        <w:rPr>
          <w:rFonts w:ascii="Arial" w:cs="Arial" w:eastAsia="Arial" w:hAnsi="Arial"/>
          <w:sz w:val="21"/>
          <w:szCs w:val="21"/>
          <w:color w:val="auto"/>
        </w:rPr>
        <w:t>made. Notwithstanding the foregoing, in the case of death or disability, the participant’s pro rata share from January 1, 2020 through the date of participant’s death or disability shall be awarded.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Payout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Payouts under the Plan shall be determined as follows:</w:t>
      </w:r>
    </w:p>
    <w:p>
      <w:pPr>
        <w:spacing w:after="0" w:line="241" w:lineRule="exact"/>
        <w:rPr>
          <w:sz w:val="20"/>
          <w:szCs w:val="20"/>
          <w:color w:val="auto"/>
        </w:rPr>
      </w:pPr>
    </w:p>
    <w:p>
      <w:pPr>
        <w:jc w:val="both"/>
        <w:ind w:left="860" w:right="580" w:hanging="424"/>
        <w:spacing w:after="0" w:line="255"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Provider Solutions Incremental Operating Income will be determined by subtracting the Provider Solutions Target Operating Income from Actual Operating Income before bonuses. The Provider Solutions Incremental Operating Income will then be multiplied by 32% for the President.</w:t>
      </w:r>
    </w:p>
    <w:p>
      <w:pPr>
        <w:spacing w:after="0" w:line="194" w:lineRule="exact"/>
        <w:rPr>
          <w:rFonts w:ascii="Arial" w:cs="Arial" w:eastAsia="Arial" w:hAnsi="Arial"/>
          <w:sz w:val="21"/>
          <w:szCs w:val="21"/>
          <w:color w:val="auto"/>
        </w:rPr>
      </w:pPr>
    </w:p>
    <w:p>
      <w:pPr>
        <w:ind w:left="860" w:right="260" w:hanging="424"/>
        <w:spacing w:after="0" w:line="255"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Enterprise Incremental Operating Income will be determined by subtracting the Enterprise Target Operating Income from Enterprise Actual Operating Income before bonuses. The Enterprise Incremental Operating Income will then be multiplied by 8% for the President.</w:t>
      </w:r>
    </w:p>
    <w:p>
      <w:pPr>
        <w:spacing w:after="0" w:line="194" w:lineRule="exact"/>
        <w:rPr>
          <w:rFonts w:ascii="Arial" w:cs="Arial" w:eastAsia="Arial" w:hAnsi="Arial"/>
          <w:sz w:val="21"/>
          <w:szCs w:val="21"/>
          <w:color w:val="auto"/>
        </w:rPr>
      </w:pPr>
    </w:p>
    <w:p>
      <w:pPr>
        <w:ind w:left="860" w:right="360" w:hanging="424"/>
        <w:spacing w:after="0" w:line="270"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such Annual Bonus made to the President pursuant to the Plan shall be payable at such time as bonuses are paid generally to executive officers of the Company.</w:t>
      </w:r>
    </w:p>
    <w:p>
      <w:pPr>
        <w:sectPr>
          <w:pgSz w:w="11900" w:h="16838" w:orient="portrait"/>
          <w:cols w:equalWidth="0" w:num="1">
            <w:col w:w="11220"/>
          </w:cols>
          <w:pgMar w:left="320" w:top="353" w:right="359" w:bottom="1440" w:gutter="0" w:footer="0" w:header="0"/>
        </w:sectPr>
      </w:pPr>
    </w:p>
    <w:bookmarkStart w:id="35" w:name="page36"/>
    <w:bookmarkEnd w:id="35"/>
    <w:p>
      <w:pPr>
        <w:jc w:val="right"/>
        <w:ind w:right="100"/>
        <w:spacing w:after="0"/>
        <w:rPr>
          <w:sz w:val="20"/>
          <w:szCs w:val="20"/>
          <w:color w:val="auto"/>
        </w:rPr>
      </w:pPr>
      <w:r>
        <w:rPr>
          <w:rFonts w:ascii="Arial" w:cs="Arial" w:eastAsia="Arial" w:hAnsi="Arial"/>
          <w:sz w:val="17"/>
          <w:szCs w:val="17"/>
          <w:color w:val="auto"/>
        </w:rPr>
        <w:t>EXHIBIT 31.1</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Robert A. Frist, Jr., certify that:</w:t>
      </w:r>
    </w:p>
    <w:p>
      <w:pPr>
        <w:spacing w:after="0" w:line="220" w:lineRule="exact"/>
        <w:rPr>
          <w:sz w:val="20"/>
          <w:szCs w:val="20"/>
          <w:color w:val="auto"/>
        </w:rPr>
      </w:pPr>
    </w:p>
    <w:p>
      <w:pPr>
        <w:ind w:left="180" w:hanging="173"/>
        <w:spacing w:after="0"/>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20"/>
                <w:szCs w:val="20"/>
                <w:color w:val="auto"/>
              </w:rPr>
            </w:pPr>
            <w:r>
              <w:rPr>
                <w:rFonts w:ascii="Arial" w:cs="Arial" w:eastAsia="Arial" w:hAnsi="Arial"/>
                <w:sz w:val="17"/>
                <w:szCs w:val="17"/>
                <w:color w:val="auto"/>
              </w:rPr>
              <w:t>Date: April 30,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tc>
      </w:tr>
      <w:tr>
        <w:trPr>
          <w:trHeight w:val="178"/>
        </w:trPr>
        <w:tc>
          <w:tcPr>
            <w:tcW w:w="684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7"/>
                <w:szCs w:val="17"/>
                <w:color w:val="auto"/>
              </w:rPr>
              <w:t>Robert A. Frist, Jr.</w:t>
            </w:r>
          </w:p>
        </w:tc>
      </w:tr>
      <w:tr>
        <w:trPr>
          <w:trHeight w:val="215"/>
        </w:trPr>
        <w:tc>
          <w:tcPr>
            <w:tcW w:w="68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340"/>
          </w:cols>
          <w:pgMar w:left="320" w:top="349" w:right="239" w:bottom="1440" w:gutter="0" w:footer="0" w:header="0"/>
        </w:sectPr>
      </w:pPr>
    </w:p>
    <w:bookmarkStart w:id="36" w:name="page37"/>
    <w:bookmarkEnd w:id="36"/>
    <w:p>
      <w:pPr>
        <w:jc w:val="right"/>
        <w:ind w:right="100"/>
        <w:spacing w:after="0"/>
        <w:rPr>
          <w:sz w:val="20"/>
          <w:szCs w:val="20"/>
          <w:color w:val="auto"/>
        </w:rPr>
      </w:pPr>
      <w:r>
        <w:rPr>
          <w:rFonts w:ascii="Arial" w:cs="Arial" w:eastAsia="Arial" w:hAnsi="Arial"/>
          <w:sz w:val="17"/>
          <w:szCs w:val="17"/>
          <w:color w:val="auto"/>
        </w:rPr>
        <w:t>EXHIBIT 31.2</w:t>
      </w: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Scott A. Roberts, certify that:</w:t>
      </w:r>
    </w:p>
    <w:p>
      <w:pPr>
        <w:spacing w:after="0" w:line="220" w:lineRule="exact"/>
        <w:rPr>
          <w:sz w:val="20"/>
          <w:szCs w:val="20"/>
          <w:color w:val="auto"/>
        </w:rPr>
      </w:pPr>
    </w:p>
    <w:p>
      <w:pPr>
        <w:ind w:left="180" w:hanging="173"/>
        <w:spacing w:after="0"/>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7"/>
                <w:szCs w:val="17"/>
                <w:color w:val="auto"/>
              </w:rPr>
              <w:t>Date: April 30, 2020</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tc>
      </w:tr>
      <w:tr>
        <w:trPr>
          <w:trHeight w:val="178"/>
        </w:trPr>
        <w:tc>
          <w:tcPr>
            <w:tcW w:w="6960" w:type="dxa"/>
            <w:vAlign w:val="bottom"/>
          </w:tcPr>
          <w:p>
            <w:pPr>
              <w:spacing w:after="0"/>
              <w:rPr>
                <w:sz w:val="15"/>
                <w:szCs w:val="15"/>
                <w:color w:val="auto"/>
              </w:rPr>
            </w:pPr>
          </w:p>
        </w:tc>
        <w:tc>
          <w:tcPr>
            <w:tcW w:w="4380" w:type="dxa"/>
            <w:vAlign w:val="bottom"/>
          </w:tcPr>
          <w:p>
            <w:pPr>
              <w:spacing w:after="0" w:line="178" w:lineRule="exact"/>
              <w:rPr>
                <w:sz w:val="20"/>
                <w:szCs w:val="20"/>
                <w:color w:val="auto"/>
              </w:rPr>
            </w:pPr>
            <w:r>
              <w:rPr>
                <w:rFonts w:ascii="Arial" w:cs="Arial" w:eastAsia="Arial" w:hAnsi="Arial"/>
                <w:sz w:val="17"/>
                <w:szCs w:val="17"/>
                <w:color w:val="auto"/>
              </w:rPr>
              <w:t>Scott A. Roberts</w:t>
            </w:r>
          </w:p>
        </w:tc>
      </w:tr>
      <w:tr>
        <w:trPr>
          <w:trHeight w:val="215"/>
        </w:trPr>
        <w:tc>
          <w:tcPr>
            <w:tcW w:w="69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340"/>
          </w:cols>
          <w:pgMar w:left="320" w:top="34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2020,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p>
      <w:pPr>
        <w:sectPr>
          <w:pgSz w:w="11900" w:h="16838" w:orient="portrait"/>
          <w:cols w:equalWidth="0" w:num="1">
            <w:col w:w="11240"/>
          </w:cols>
          <w:pgMar w:left="320" w:top="34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2020,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sectPr>
      <w:pgSz w:w="11900" w:h="16838" w:orient="portrait"/>
      <w:cols w:equalWidth="0" w:num="1">
        <w:col w:w="11240"/>
      </w:cols>
      <w:pgMar w:left="320" w:top="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2020-04-30T15:35:58Z</dcterms:created>
  <dcterms:modified xsi:type="dcterms:W3CDTF">2020-04-30T15:35:58Z</dcterms:modified>
</cp:coreProperties>
</file>