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17145</wp:posOffset>
            </wp:positionV>
            <wp:extent cx="2400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97" w:lineRule="exact"/>
        <w:rPr>
          <w:sz w:val="20"/>
          <w:szCs w:val="20"/>
          <w:color w:val="auto"/>
        </w:rPr>
      </w:pPr>
    </w:p>
    <w:p>
      <w:pPr>
        <w:sectPr>
          <w:pgSz w:w="11900" w:h="16838" w:orient="portrait"/>
          <w:cols w:equalWidth="0" w:num="4">
            <w:col w:w="1840" w:space="720"/>
            <w:col w:w="1400" w:space="720"/>
            <w:col w:w="3800" w:space="720"/>
            <w:col w:w="222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11, 2009, 21,383,055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8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820" w:type="dxa"/>
            <w:vAlign w:val="bottom"/>
            <w:gridSpan w:val="1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9"/>
        </w:trPr>
        <w:tc>
          <w:tcPr>
            <w:tcW w:w="1080" w:type="dxa"/>
            <w:vAlign w:val="bottom"/>
            <w:gridSpan w:val="4"/>
            <w:vMerge w:val="continue"/>
          </w:tcPr>
          <w:p>
            <w:pPr>
              <w:spacing w:after="0"/>
              <w:rPr>
                <w:sz w:val="14"/>
                <w:szCs w:val="14"/>
                <w:color w:val="auto"/>
              </w:rPr>
            </w:pPr>
          </w:p>
        </w:tc>
        <w:tc>
          <w:tcPr>
            <w:tcW w:w="9820" w:type="dxa"/>
            <w:vAlign w:val="bottom"/>
            <w:gridSpan w:val="13"/>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580" w:type="dxa"/>
            <w:vAlign w:val="bottom"/>
            <w:gridSpan w:val="2"/>
          </w:tcPr>
          <w:p>
            <w:pPr>
              <w:spacing w:after="0"/>
              <w:rPr>
                <w:sz w:val="24"/>
                <w:szCs w:val="24"/>
                <w:color w:val="auto"/>
              </w:rPr>
            </w:pPr>
          </w:p>
        </w:tc>
        <w:tc>
          <w:tcPr>
            <w:tcW w:w="1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Financial Statements</w:t>
              </w:r>
            </w:hyperlink>
          </w:p>
        </w:tc>
        <w:tc>
          <w:tcPr>
            <w:tcW w:w="82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March 31, 2009 (Unaudited) and December 31, 2008</w:t>
              </w:r>
            </w:hyperlink>
          </w:p>
        </w:tc>
        <w:tc>
          <w:tcPr>
            <w:tcW w:w="2780" w:type="dxa"/>
            <w:vAlign w:val="bottom"/>
            <w:gridSpan w:val="4"/>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Income (Unaudited) — Three Months ended March 31, 2009 and 2008</w:t>
              </w:r>
            </w:hyperlink>
          </w:p>
        </w:tc>
        <w:tc>
          <w:tcPr>
            <w:tcW w:w="1820" w:type="dxa"/>
            <w:vAlign w:val="bottom"/>
            <w:gridSpan w:val="3"/>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2009</w:t>
              </w:r>
            </w:hyperlink>
          </w:p>
        </w:tc>
        <w:tc>
          <w:tcPr>
            <w:tcW w:w="1620" w:type="dxa"/>
            <w:vAlign w:val="bottom"/>
            <w:gridSpan w:val="2"/>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2009 and 2008</w:t>
              </w:r>
            </w:hyperlink>
          </w:p>
        </w:tc>
        <w:tc>
          <w:tcPr>
            <w:tcW w:w="1520" w:type="dxa"/>
            <w:vAlign w:val="bottom"/>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12">
              <w:r>
                <w:rPr>
                  <w:rFonts w:ascii="Arial" w:cs="Arial" w:eastAsia="Arial" w:hAnsi="Arial"/>
                  <w:sz w:val="18"/>
                  <w:szCs w:val="18"/>
                  <w:color w:val="0000EE"/>
                  <w:w w:val="83"/>
                </w:rPr>
                <w:t>Item 2.</w:t>
              </w:r>
            </w:hyperlink>
          </w:p>
        </w:tc>
        <w:tc>
          <w:tcPr>
            <w:tcW w:w="580" w:type="dxa"/>
            <w:vAlign w:val="bottom"/>
            <w:gridSpan w:val="2"/>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3.</w:t>
              </w:r>
            </w:hyperlink>
          </w:p>
        </w:tc>
        <w:tc>
          <w:tcPr>
            <w:tcW w:w="580" w:type="dxa"/>
            <w:vAlign w:val="bottom"/>
            <w:gridSpan w:val="2"/>
          </w:tcPr>
          <w:p>
            <w:pPr>
              <w:spacing w:after="0"/>
              <w:rPr>
                <w:sz w:val="24"/>
                <w:szCs w:val="24"/>
                <w:color w:val="auto"/>
              </w:rPr>
            </w:pPr>
          </w:p>
        </w:tc>
        <w:tc>
          <w:tcPr>
            <w:tcW w:w="6460" w:type="dxa"/>
            <w:vAlign w:val="bottom"/>
            <w:tcBorders>
              <w:top w:val="single" w:sz="8" w:color="0000EE"/>
            </w:tcBorders>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3360" w:type="dxa"/>
            <w:vAlign w:val="bottom"/>
            <w:gridSpan w:val="5"/>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4T.</w:t>
              </w:r>
            </w:hyperlink>
          </w:p>
        </w:tc>
        <w:tc>
          <w:tcPr>
            <w:tcW w:w="46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Controls and Procedures</w:t>
              </w:r>
            </w:hyperlink>
          </w:p>
        </w:tc>
        <w:tc>
          <w:tcPr>
            <w:tcW w:w="8040" w:type="dxa"/>
            <w:vAlign w:val="bottom"/>
            <w:gridSpan w:val="8"/>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w:t>
              </w:r>
            </w:hyperlink>
          </w:p>
        </w:tc>
        <w:tc>
          <w:tcPr>
            <w:tcW w:w="982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5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17">
              <w:r>
                <w:rPr>
                  <w:rFonts w:ascii="Arial" w:cs="Arial" w:eastAsia="Arial" w:hAnsi="Arial"/>
                  <w:sz w:val="18"/>
                  <w:szCs w:val="18"/>
                  <w:color w:val="0000EE"/>
                  <w:w w:val="83"/>
                </w:rPr>
                <w:t>Item 6.</w:t>
              </w:r>
            </w:hyperlink>
          </w:p>
        </w:tc>
        <w:tc>
          <w:tcPr>
            <w:tcW w:w="580" w:type="dxa"/>
            <w:vAlign w:val="bottom"/>
            <w:gridSpan w:val="2"/>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2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Signature</w:t>
              </w:r>
            </w:hyperlink>
          </w:p>
        </w:tc>
        <w:tc>
          <w:tcPr>
            <w:tcW w:w="9120" w:type="dxa"/>
            <w:vAlign w:val="bottom"/>
            <w:gridSpan w:val="11"/>
          </w:tcPr>
          <w:p>
            <w:pPr>
              <w:spacing w:after="0"/>
              <w:rPr>
                <w:sz w:val="24"/>
                <w:szCs w:val="24"/>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4,771,295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17,128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$155,651 and $106,542 at March 31, 2009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10,445,100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1,734,119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1,338,392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558,847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356,987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665,882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19,888,734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16,862,770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13,179,818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2,001,232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1,579,592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16,760,642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16,221,351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(13,311,596)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(12,746,487)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3,449,046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w w:val="99"/>
              </w:rPr>
              <w:t>Capitalized software feature enhancements, net of accumulated amortization of $2,857,198 and $2,500,017 at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March 31, 2009 and 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4,307,768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$9,886,040 and $9,649,321 at March 31, 2009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4,501,102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2,008,342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512,315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55,814,171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970,202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2,868,124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645,176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243,526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12,426,637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10,202,309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728,511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17,895,516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15,714,380</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123,150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9"/>
              </w:rPr>
              <w:t>Common stock, no par value, 75,000,000 shares authorized; 21,382,055 shares issued and outstanding at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March 31, 2009 and 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95,466,504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95,320,889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(57,680,578)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(58,558,107)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37,785,926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36,762,782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55,814,171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124"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2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13,619,208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11,421,700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5,267,831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4,527,773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1,534,421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1,284,432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2,713,594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1,901,278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1,767,276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1,266,300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1,246,047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12,683,424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11,377,803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935,784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43,897</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(9,841)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21,787</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934,899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877,529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21,382,055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22,086,945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21,567,204</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22,727,096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21,382,055</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$95,320,889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(58,558,107)</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36,762,782</w:t>
            </w:r>
          </w:p>
        </w:tc>
        <w:tc>
          <w:tcPr>
            <w:tcW w:w="0" w:type="dxa"/>
            <w:vAlign w:val="bottom"/>
          </w:tcPr>
          <w:p>
            <w:pPr>
              <w:spacing w:after="0"/>
              <w:rPr>
                <w:sz w:val="1"/>
                <w:szCs w:val="1"/>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877,529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877,529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145,615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145,615</w:t>
            </w:r>
          </w:p>
        </w:tc>
        <w:tc>
          <w:tcPr>
            <w:tcW w:w="0" w:type="dxa"/>
            <w:vAlign w:val="bottom"/>
          </w:tcPr>
          <w:p>
            <w:pPr>
              <w:spacing w:after="0"/>
              <w:rPr>
                <w:sz w:val="1"/>
                <w:szCs w:val="1"/>
                <w:color w:val="auto"/>
              </w:rPr>
            </w:pPr>
          </w:p>
        </w:tc>
      </w:tr>
      <w:tr>
        <w:trPr>
          <w:trHeight w:val="20"/>
        </w:trPr>
        <w:tc>
          <w:tcPr>
            <w:tcW w:w="25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2"/>
          </w:tcPr>
          <w:p>
            <w:pPr>
              <w:spacing w:after="0"/>
              <w:rPr>
                <w:sz w:val="20"/>
                <w:szCs w:val="20"/>
                <w:color w:val="auto"/>
              </w:rPr>
            </w:pPr>
            <w:r>
              <w:rPr>
                <w:rFonts w:ascii="Arial" w:cs="Arial" w:eastAsia="Arial" w:hAnsi="Arial"/>
                <w:sz w:val="18"/>
                <w:szCs w:val="18"/>
                <w:color w:val="auto"/>
              </w:rPr>
              <w:t>Balance at March 31, 2009</w:t>
            </w:r>
          </w:p>
        </w:tc>
        <w:tc>
          <w:tcPr>
            <w:tcW w:w="29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21,382,055</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95,466,504</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(57,680,578)</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37,785,926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940" w:type="dxa"/>
            <w:vAlign w:val="bottom"/>
            <w:gridSpan w:val="7"/>
          </w:tcPr>
          <w:p>
            <w:pPr>
              <w:jc w:val="right"/>
              <w:ind w:right="40"/>
              <w:spacing w:after="0"/>
              <w:rPr>
                <w:sz w:val="20"/>
                <w:szCs w:val="20"/>
                <w:color w:val="auto"/>
              </w:rPr>
            </w:pPr>
            <w:r>
              <w:rPr>
                <w:rFonts w:ascii="Arial" w:cs="Arial" w:eastAsia="Arial" w:hAnsi="Arial"/>
                <w:sz w:val="18"/>
                <w:szCs w:val="18"/>
                <w:color w:val="auto"/>
                <w:w w:val="94"/>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gridSpan w:val="3"/>
          </w:tcPr>
          <w:p>
            <w:pPr>
              <w:jc w:val="right"/>
              <w:ind w:right="579"/>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877,529</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566,764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699,536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145,615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tcPr>
          <w:p>
            <w:pPr>
              <w:spacing w:after="0"/>
              <w:rPr>
                <w:sz w:val="18"/>
                <w:szCs w:val="18"/>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w w:val="89"/>
              </w:rPr>
              <w:t>(2,256,651)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1,388,300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3,106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(342,899)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(66,950)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368,144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49,042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(416,569)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(1,345,960)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(129,663)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(103,708)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2,224,328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1,667,624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1,726,745</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(272,168)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(540,946)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(813,114)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Payments on promissory note</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(179,376)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(189,827)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(187,233)</w:t>
            </w:r>
          </w:p>
        </w:tc>
        <w:tc>
          <w:tcPr>
            <w:tcW w:w="0" w:type="dxa"/>
            <w:vAlign w:val="bottom"/>
          </w:tcPr>
          <w:p>
            <w:pPr>
              <w:spacing w:after="0"/>
              <w:rPr>
                <w:sz w:val="1"/>
                <w:szCs w:val="1"/>
                <w:color w:val="auto"/>
              </w:rPr>
            </w:pPr>
          </w:p>
        </w:tc>
      </w:tr>
      <w:tr>
        <w:trPr>
          <w:trHeight w:val="439"/>
        </w:trPr>
        <w:tc>
          <w:tcPr>
            <w:tcW w:w="88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664,683</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1,154,019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4,106,612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3,599,346</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4,771,295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4,753,365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2009 are not necessarily indicative of the results that may be expected for the year ending December 31, 2009.</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2008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2008 (included in the Company’s Annual Report on Form 10-K,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2007, the Financial Accounting Standards Board (“FASB”) issued Statement of Financial Accounting Standards (“SFAS”) No. 141(R), “Business Combinations” (“SFAS No. 141(R)”). SFAS No. 141(R) establishes principles and requirements for how an acquirer recognizes and measures in its financial statements the identifiable assets acquired, the liabilities assumed, contractual contingencies, any noncontrolling interest in the acquiree and the goodwill acquired. SFAS No. 141(R) changes the accounting for acquisition-related restructuring cost accruals and the recognition of changes in the acquirer’s income tax valuation allowance, and no longer permits the capitalization of certain acquisition costs. In addition, SFAS No. 141(R) establishes disclosure requirements to enable the evaluation of the nature and financial effects of the business combination. SFAS No. 141(R) is effective prospectively, except for certain retrospective adjustments for deferred tax balances. The Company’s consolidated financial statements will be impacted by SFAS 141(R) in relation to business combination activities subsequent to January 1, 2009.</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The Company adopted SFAS No. 160 on January 1, 2009. The adoption of this new standard did not have a material effect on the Company’s financial position, results of operations, or cash flows.</w:t>
      </w:r>
    </w:p>
    <w:p>
      <w:pPr>
        <w:spacing w:after="0" w:line="5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April 2008, FASB Staff Position (“FSP”) No. FAS 142-3, “Determination of the Useful Life of Intangible Assets” (“FSP No. FAS 142-3”), was issued. FSP No. FAS 142-3 amends the factors that should be considered in developing renewal or extension assumptions used to determine the useful life of a recognized intangible asset under SFAS No. 142, “Goodwill and Other Intangible Assets.” The Company adopted FSP No. FAS 142-3 on January 1, 2009. The adoption of this new standard did not have a material effect on the Company’s financial position, results of operations, or cash flows.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Income taxes are accounted for under the provisions of SFAS No. 109, “Accounting for Income Taxes” (“SFAS No. 109”). Under SFAS No. 109,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Under the provisions of SFAS No. 109,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SFAS No. 109 identifies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Management’s estimate of future taxable income is performed during the fourth quarter in connection with the Company’s annual budget process. Management reviews the realizability of its deferred tax assets each reporting period to identify whether any significant changes in circumstances or assumptions have occurred that could materially affect the realizability of deferred tax assets. As of March 31, 2009, the Company had established a valuation allowance of $11.7 million for the portion of its net deferred tax assets that are not more likely than not expected to be realized.</w:t>
      </w:r>
    </w:p>
    <w:p>
      <w:pPr>
        <w:spacing w:after="0" w:line="7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Company’s effective tax rate for the three months ended March 31, 2009 and 2008 is substantially less than the statutory rate because a significant portion of our taxable income has been offset through utilization of our net operating loss (“NOL”) carryforwards. Taxable income for the three months ended March 31, 2009 has been applied towards our NOL carryforwards and resulted in a reduction of the valuation allowance of approximately $422,000. The Company’s effective tax rate could change in the future based on our projections of taxable income, changes in federal or state tax rates, or changes in state apportionment factors, as well as changes in the valuation allowance applied to the Company’s deferred tax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currently maintains a stock incentive plan. The Company terminated the Employee Stock Purchase Plan on February 9, 2009. We account for our stock based compensation plan under the provisions of SFAS No. 123(R), “Share-Based Payments,” which requires companies to recognize compensation expense, using a fair-value based method, for costs related to share-based payments, including stock options. We use the Black Scholes option pricing model for calculating the fair value of awards issued under our stock based compensation plan. During the three months ended March 31, 2009, we granted 209,000 stock options with a weighted average grant date fair value of $1.04. We did not grant stock options during the three months ended March 31, 2008. The fair value of stock based awards granted during the three months ended March 31, 2009 was estimated using the Black Scholes option pricing model, with the assumptions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160" w:type="dxa"/>
            <w:vAlign w:val="bottom"/>
          </w:tcPr>
          <w:p>
            <w:pPr>
              <w:jc w:val="right"/>
              <w:ind w:right="90"/>
              <w:spacing w:after="0"/>
              <w:rPr>
                <w:sz w:val="20"/>
                <w:szCs w:val="20"/>
                <w:color w:val="auto"/>
              </w:rPr>
            </w:pPr>
            <w:r>
              <w:rPr>
                <w:rFonts w:ascii="Arial" w:cs="Arial" w:eastAsia="Arial" w:hAnsi="Arial"/>
                <w:sz w:val="18"/>
                <w:szCs w:val="18"/>
                <w:color w:val="auto"/>
              </w:rPr>
              <w:t>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16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2009 and 2008, which is recorded in our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March 31,</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35,086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33,248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38,640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50,214</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145,615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152,934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260" w:type="dxa"/>
            <w:vAlign w:val="bottom"/>
            <w:vMerge w:val="restart"/>
          </w:tcPr>
          <w:p>
            <w:pPr>
              <w:jc w:val="right"/>
              <w:ind w:right="339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2.1 million at March 31, 2009 and 1.6 million at March 31, 2008.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for three months ended March 31, 2009 and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740" w:type="dxa"/>
            <w:vAlign w:val="bottom"/>
            <w:gridSpan w:val="2"/>
          </w:tcPr>
          <w:p>
            <w:pPr>
              <w:jc w:val="right"/>
              <w:ind w:right="65"/>
              <w:spacing w:after="0"/>
              <w:rPr>
                <w:sz w:val="20"/>
                <w:szCs w:val="20"/>
                <w:color w:val="auto"/>
              </w:rPr>
            </w:pPr>
            <w:r>
              <w:rPr>
                <w:rFonts w:ascii="Arial" w:cs="Arial" w:eastAsia="Arial" w:hAnsi="Arial"/>
                <w:sz w:val="14"/>
                <w:szCs w:val="14"/>
                <w:color w:val="auto"/>
                <w:w w:val="93"/>
              </w:rPr>
              <w:t>March 31,</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877,529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21,382,055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22,086,945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21,567,204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22,727,096</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our Annual Report on Form 10-K for the year ended December 31, 2008.</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measure segment performance based on operating income (loss) before income taxes and prior to the allocation of certain corporate overhead expenses, interest income, interest expense, and depreciation. The following is our business segment information as of and for the three months ended March 31,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8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March 31, 2009</w:t>
            </w:r>
          </w:p>
        </w:tc>
        <w:tc>
          <w:tcPr>
            <w:tcW w:w="3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March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4760" w:type="dxa"/>
            <w:vAlign w:val="bottom"/>
            <w:gridSpan w:val="2"/>
          </w:tcPr>
          <w:p>
            <w:pPr>
              <w:ind w:left="46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8,993,611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7,496,706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4,625,597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4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13,619,208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11,421,700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4760" w:type="dxa"/>
            <w:vAlign w:val="bottom"/>
            <w:gridSpan w:val="2"/>
          </w:tcPr>
          <w:p>
            <w:pPr>
              <w:ind w:left="46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2,047,165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573,157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(1,684,538)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(1,644,598)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935,784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40" w:type="dxa"/>
            <w:vAlign w:val="bottom"/>
            <w:vMerge w:val="restart"/>
          </w:tcPr>
          <w:p>
            <w:pPr>
              <w:jc w:val="right"/>
              <w:ind w:right="289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March 31, 2009</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2008</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6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Learning *</w:t>
            </w:r>
          </w:p>
        </w:tc>
        <w:tc>
          <w:tcPr>
            <w:tcW w:w="4940" w:type="dxa"/>
            <w:vAlign w:val="bottom"/>
            <w:gridSpan w:val="3"/>
          </w:tcPr>
          <w:p>
            <w:pPr>
              <w:jc w:val="right"/>
              <w:ind w:right="320"/>
              <w:spacing w:after="0"/>
              <w:rPr>
                <w:sz w:val="20"/>
                <w:szCs w:val="20"/>
                <w:color w:val="auto"/>
              </w:rPr>
            </w:pPr>
            <w:r>
              <w:rPr>
                <w:rFonts w:ascii="Arial" w:cs="Arial" w:eastAsia="Arial" w:hAnsi="Arial"/>
                <w:sz w:val="18"/>
                <w:szCs w:val="18"/>
                <w:color w:val="auto"/>
              </w:rPr>
              <w:t>$ 18,583,251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16,027,451</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w:t>
            </w:r>
          </w:p>
        </w:tc>
        <w:tc>
          <w:tcPr>
            <w:tcW w:w="4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26,958,707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27,018,000</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Unallocated</w:t>
            </w:r>
          </w:p>
        </w:tc>
        <w:tc>
          <w:tcPr>
            <w:tcW w:w="36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10,272,213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9,751,431</w:t>
            </w:r>
          </w:p>
        </w:tc>
      </w:tr>
      <w:tr>
        <w:trPr>
          <w:trHeight w:val="27"/>
        </w:trPr>
        <w:tc>
          <w:tcPr>
            <w:tcW w:w="4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$ 55,814,171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52,796,882</w:t>
            </w:r>
          </w:p>
        </w:tc>
      </w:tr>
      <w:tr>
        <w:trPr>
          <w:trHeight w:val="20"/>
        </w:trPr>
        <w:tc>
          <w:tcPr>
            <w:tcW w:w="4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included within Unallocated.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CONTENT RIGHTS AND DEFERRED SERVICE CREDITS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During the three months ended March 31, 2009, we entered into a renewal agreement with a customer in which we were provided continued rights to distribute and resell courseware owned by them. In exchange for the receipt of an exclusive license to distribute and resell this courseware, we provided the customer with service credits that can be exchanged for future purchases of our products and services. We accounted for this transaction in accordance with Accounting Principles Board Opinion No. 29 “Accounting for Nonmonetary Transactions” as amended by SFAS No. 153, “Exchanges of Nonmonetary Assets.” The value assigned to the content rights and the deferred service credits was $665,000, which represented the estimated fair value of the assets relinquished. The content rights are classified within prepaid development fees and other assets, and the deferred service credits are classified within accrued liabilities on our condensed consolidated balance sheet as of March 31, 2009.</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These exchangeable service credits will be issued annually through December 31, 2011, and will expire twenty-four months after issuance. Any unused credits will be forfeited upon expiration. During the three months ended March 31, 2009, we issued exchangeable service credits of $465,000 in accordance with this agreement, and are obligated to issue remaining service credits of $100,000 per year in both 2010 and 2011. The content rights are being amortized on a straight-line basis through December 31, 2012. Revenues for products or services provided in exchange for these service credits will be recognized in accordance with our revenue recognition policies.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6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2008, appearing in our Annual Report on Form 10-K that was filed with the Securities and Exchange Commission (“SEC”) on March 27, 2009 (the “2008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in the 2008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valuable insight into measuring quality and satisfaction of patients, physicians, employees, and members of the community. Across both our HealthStream Learning and HealthStream Research segments, our customers include approximately 2,400 healthcare organization facilities (predominately acute-care facilities) throughout the United States.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flagship learning product is the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our proprietary, Internet-based learning platform. We deliver educational and training courseware to our customers through the HLC platform. HealthStream Learning products and services are focused on education and training initiatives designed to reach hospital-based healthcare professionals, as well as physicians and medical device and pharmaceutical industry sales representatives.</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HealthStream Research products and services include quality and satisfaction surveys, data analyses of survey results, and other research-based measurement tools focused on patients, physicians, employees, and members of the community. HealthStream Research services are designed to provide customers thorough analyses that provide insightful recommendations for change; benchmarking capabilities using our comprehensive databases, and consulting services to identify solutions based on their survey results. As a certified vendor designated by the Centers for Medicare &amp; Medicaid Services, we offer our customers CAHPS</w:t>
      </w:r>
      <w:r>
        <w:rPr>
          <w:rFonts w:ascii="Arial" w:cs="Arial" w:eastAsia="Arial" w:hAnsi="Arial"/>
          <w:sz w:val="14"/>
          <w:szCs w:val="14"/>
          <w:color w:val="auto"/>
        </w:rPr>
        <w:t>®</w:t>
      </w:r>
      <w:r>
        <w:rPr>
          <w:rFonts w:ascii="Arial" w:cs="Arial" w:eastAsia="Arial" w:hAnsi="Arial"/>
          <w:sz w:val="17"/>
          <w:szCs w:val="17"/>
          <w:color w:val="auto"/>
        </w:rPr>
        <w:t xml:space="preserve"> (Consumer Assessment of Health Plan Survey) hospital survey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first quarter of 2009 include:</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$13.6 million in the first quarter of 2009, up 19% over the first quarter of 2008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$878,000 in the first quarter of 2009, up from $66,000 in the first quarter of 2008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Earnings per share (EPS) of $0.04, up from $0.00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2008 filed with the Securities and Exchange Commission, which contains additional information regarding our accounting policies and other disclosures required by US GAAP. There have been no changes in our critical accounting policies and estimates from those reported in our Annual Report on Form 10-K for the year ended December 31,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consist of the provision of services through our Internet-based HLC, authoring tools,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courseware subscriptions (add-on courseware), implementation and consulting services, maintenance of third party content, online sales training courses (RepDirect™), online training and content development,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physicians, patients, employees, and other members of the community.</w:t>
      </w:r>
    </w:p>
    <w:p>
      <w:pPr>
        <w:spacing w:after="0" w:line="8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royalties paid by us to content providers based on a percentage of revenues, materials, outsourced phone survey support, contract labor, hosting costs, as well as other direct expenses associated with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Personnel costs within sales and marketing include our HealthStream Learning and HealthStream Research sales teams, strategic account management, and marketing personnel, as well as our account management group.</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depreciation of property and equipment, amortization of intangibles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definite lives, amortization of content development fees, and amortization of capitalized software feature enhancements.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and cash equivalents.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other expense is interest expense related to a promissory note, capital leases and our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2009 Compared to Three Months Ended March 31, 2008</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$2.2 million, or 19.2%, to $13.6 million for the three months ended March 31, 2009 from $11.4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2008. Revenues for 2009 consisted of $9.0 million, or 66% of total revenue, for HealthStream Learning and $4.6 million, or 34% of total revenue, for HealthStream Research. In 2008, revenues consisted of $7.5 million, or 66% of total revenue, for HealthStream Learning and $3.9 million, or 34% of total revenue, for HealthStream Research.</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HealthStream Learning increased $1.5 million, or 20.0%, over the first quarter of 2008. Revenues from our Internet-based subscription learning products accounted for $1.1 million of the increase, and were comprised of revenue increases from the HLC of $498,000 and from courseware subscriptions and online training services of $591,000. Revenues from these products increased 17 percent over the prior year quarter and approximated $7.6 million for the first quarter of 2009. These revenue increases resulted from continued growth in our HLC subscriber base and additional courseware sales to our customers. Revenues associated with implementation, development, and consulting services increased $559,000 over the prior year quarter due to increased courseware development service revenues compared to the prior year . These increases in revenues were partially offset by a decline in revenues from live events, study guides, and other project-based activities, which collectively declined $151,000 from the same quarter in the prior year.</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Revenues for HealthStream Research increased $701,000, or 17.8%, over the first quarter of 2008. HealthStream Research provides four survey product lines: patient, physician, employee and community. This revenue growth is attributable to increased volumes for these product lines when compared to the prior year quarter.</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$740,000, or 16.3%, to $5.3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2009 from $4.5 million for the three months ended March 31, 2008. Cost of revenues as a percentage of revenues were 38.7% of revenues for the three months ended March 31, 2009 down from 39.6% of revenues for the three months ended March 31, 2008. Cost of revenues for HealthStream Learning increased approximately $548,000 to $3.0 million and approximated 33.4% and 32.8% of revenues for the three months ended March 31, 2009 and 2008, respectively. The expense increase was primarily associated with increased royalties paid by us resulting from growth in courseware subscription revenues as well as increased costs to support the growth in implementation, development, and consulting revenues. Cost of revenues for HealthStream Research increased approximately $192,000 to $2.3 million and approximated 48.9% and 52.7% of revenues for the three months ended March 31, 2009 and 2008, respectively. The increase in cost of revenues for HealthStream Research is primarily a result of the costs associated with increased survey volumes compared to the same quarter in the prior year. The decrease in cost of revenues as a percentage of revenues resulted from improved operating efficiencies compared to the same quarter in the prior year.</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Gross Margin (excluding depreciation and amortization). </w:t>
      </w:r>
      <w:r>
        <w:rPr>
          <w:rFonts w:ascii="Arial" w:cs="Arial" w:eastAsia="Arial" w:hAnsi="Arial"/>
          <w:sz w:val="18"/>
          <w:szCs w:val="18"/>
          <w:color w:val="auto"/>
        </w:rPr>
        <w:t>Gross margin (which we define as revenues less cost of revenues divided by revenues) improved to</w:t>
      </w:r>
      <w:r>
        <w:rPr>
          <w:rFonts w:ascii="Arial" w:cs="Arial" w:eastAsia="Arial" w:hAnsi="Arial"/>
          <w:sz w:val="18"/>
          <w:szCs w:val="18"/>
          <w:i w:val="1"/>
          <w:iCs w:val="1"/>
          <w:color w:val="auto"/>
        </w:rPr>
        <w:t xml:space="preserve"> </w:t>
      </w:r>
      <w:r>
        <w:rPr>
          <w:rFonts w:ascii="Arial" w:cs="Arial" w:eastAsia="Arial" w:hAnsi="Arial"/>
          <w:sz w:val="18"/>
          <w:szCs w:val="18"/>
          <w:color w:val="auto"/>
        </w:rPr>
        <w:t>61.3% for the three months ended March 31, 2009 from 60.4% for the three months ended March 31, 2008. This improvement is primarily associated with the improved performance within HealthStream Research compared to the same quarter in the prior year. Gross margins for HealthStream Learning were 66.6% and 67.2% for the three months ended March 31, 2009 and 2008, respectively. Gross margins for HealthStream Research were 51.1% and 47.3% for the three months ended March 31, 2009 and 2008, respectively.</w:t>
      </w:r>
    </w:p>
    <w:p>
      <w:pPr>
        <w:spacing w:after="0" w:line="8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$250,000, or 19.5%, to $1.5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2009 from $1.3 million for the three months ended March 31, 2008. Product development expenses as a percentage of revenues were 11.3% and 11.2% of revenues for the three months ended March 31, 2009 and 2008, respectively.</w:t>
      </w:r>
    </w:p>
    <w:p>
      <w:pPr>
        <w:spacing w:after="0" w:line="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Product development expenses for HealthStream Learning increased approximately $200,000 and approximated 13.8% and 13.9% of revenues for the three months ended March 31, 2009 and 2008, respectively. This expense increase resulted from additional personnel and contract labor associated with maintenance and support of our learning platform products. Product development expenses for HealthStream Research increased approximately $50,000 associated with additional personnel and approximated 6.4% and 6.2% of revenues for the three months ended March 31, 2009 and 2008,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$161,000, or 6.3%, to $2.7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2009 from $2.6 million for the three months ended March 31, 2008. Sales and marketing expenses approximated 19.9% and 22.3% of revenues for the three months ended March 31, 2009 and 2008, respectively.</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Sales and marketing expenses for HealthStream Learning increased $230,000 and approximated 20.4% and 21.4% of revenues for the three months ended March 31, 2009 and 2008, respectively. This expense increase primarily resulted from additional sales personnel and related expenses. Sales and marketing expenses for HealthStream Research decreased approximately $85,000, and approximated 17.6% and 22.9% of revenues for the three months ended March 31, 2009 and 2008, respectively. This decrease resulted primarily from fewer sales and marketing personnel and related expenses when compared to the prior year quarter.</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$134,000, or 7.6%, and approximated $1.9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2009 compared to $1.8 million for the three months ended March 31, 2008. Other general and administrative expenses as a percentage of revenues decreased to 14.0% for the three months ended March 31, 2009 from 15.5% for the three months ended March 31, 2008. The percentage decrease is a result of the revenue increases mentioned above.</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general and administrative expenses for HealthStream Learning increased $136,000 compared to the prior year quarter, primarily due to additional personnel expenses and bad debt expense. Other general and administrative expenses for HealthStream Research increased approximately $20,000 over the prior year quarter, primarily due to office expenses and bad debt expense. The unallocated corporate portion of other general and administrative expenses decreased $21,000 from the prior year quarter, primarily due to lower facility costs.</w:t>
      </w:r>
    </w:p>
    <w:p>
      <w:pPr>
        <w:spacing w:after="0" w:line="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$20,000, or 1.6%, to $1.3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2009 from $1.2 million for the three months ended March 31,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 (expense) decreased approximately $23,000, or 104.1%, to an expense of $1,000 for the three months ended</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March 31, 2009 from income of $22,000 for the three months ended March 31, 2008. Interest income decreased $37,000 from the prior year quarter resulting from lower yield rates on cash and cash equivalents. Interest expense decreased $15,000 from the prior year quarter due to reductions in debt and capital lease balances.</w:t>
      </w:r>
    </w:p>
    <w:p>
      <w:pPr>
        <w:spacing w:after="0" w:line="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federal alternative minimum tax and state income taxes.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2009 is expected to be substantially offset by the utilization of our operating loss carryforwards.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approximately $878,000 for the three months ended March 31, 2009, up from $66,000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Net income per share was $0.04 per share for the three months ended March 31, 2009, up from $0.00 per share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This improvement is a result of the factors mentioned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cash provided by operating activities was approximately $1.7 million during both the three months ended March 31, 2009 and 2008. Our primary sources of cash were generated from receipts from the sales of our products and services. Our days sales outstanding (“DSO”) which we calculate by dividing the accounts receivable balance, excluding unbilled and other receivables, by average daily revenues for the quarter, approximated 69 days for the first quarter of 2009 compared to 57 days for the first quarter of 2008. The increase in DSO is due to payment delays from customers, as well as higher balances with several customers that were billed in advance for annual fees rather than on a monthly subscription basis. The primary uses of cash to fund our operations for the quarter ended March 31, 2009 included personnel expenses, sales commissions, royalty payments, payments for contract labor and other direct expenses associated with delivery of our products and services, and general corporate expenses. The increase in accounts receivable and prepaid royalties negatively impacted our cash flows from operations for the three months ended March 31, 2009.</w:t>
      </w:r>
    </w:p>
    <w:p>
      <w:pPr>
        <w:spacing w:after="0" w:line="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used in investing activities approximated $813,000 for the three months ended March 31, 2009 compared to $385,000 during the three months ended March 31, 2008. The primary uses of cash for the quarter ended March 31, 2009 were associated with property and equipment purchases of $541,000 and capitalized software feature enhancements of $272,000. These uses of cash were associated with technology investments in our platform products.</w:t>
      </w:r>
    </w:p>
    <w:p>
      <w:pPr>
        <w:spacing w:after="0" w:line="3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Cash used in financing activities was approximately $190,000 and $187,000 for the three months ended March 31, 2009 and 2008, respectively. The primary uses of cash for the quarter ended March 31, 2009 related to payments under a promissory note and capital lease obligations.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Our revenues increased and our operating income improved over the prior year quarter, and our balance sheet reflects positive working capital at March 31, 2009. Current assets increased approximately $3.0 million during the first quarter of 2009 primarily due to increases in accounts receivable, cash balances, and prepaid royalties, while current liabilities also increased approximately $2.2 million during the first quarter of 2009 resulting from increases in deferred revenue. Our primary source of liquidity was $4.8 million of cash and cash equivalents, restricted cash, and interest receivable. We also have a $15.0 million revolving credit facility loan agreement, all of which was available at March 31, 2009.</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that our existing cash and cash equivalents, restricted cash, related interest receivable, and cash generated from operations will be sufficient to meet anticipated cash needs for working capital, new product development and capital expenditures for at least the next 12 months. Our revolving credit facility expires in July 2009, and we are in the process of renewing or replacing this credit facility, which may be difficult in the current economic environment. If we are unable to renew this credit facility on acceptable terms, we believe we will have sufficient liquidity to meet our anticipated needs for at least the next 12 months. As part of our growth strategy, we review possible strategic alliances and acquisitions that complement our products and services. We anticipate that future strategic alliances and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w:t>
      </w:r>
    </w:p>
    <w:p>
      <w:pPr>
        <w:spacing w:after="0" w:line="3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March 31, 2009, our outstanding indebtedness included a promissory note of approximately $852,000 and approximately $23,000 of capital lease obligations. We may become subject to interest rate market risk associated with borrowings under our revolving credit facility, which bears interest at a variable rate based on the 30 Day LIBOR Rate plus 150 basis points. We are also exposed to market risk with respect to our cash balances. At March 31, 2009, the Company had cash and cash equivalents, restricted cash, and related interest receivable totaling approximately $4.8 million. Current investment rates of return approximate 1.00% — 1.50%. Assuming a 1.25% rate of return on $4.8 million, a hypothetical 10% decrease in interest rates would decrease interest income and decrease net income on an annualized basis by approximately $6,000.</w:t>
      </w:r>
    </w:p>
    <w:p>
      <w:pPr>
        <w:spacing w:after="0" w:line="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32.1 — Certification Pursuant to 18 U.S.C. Section 1350, as Adopted Pursuant to Section 906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32.2 —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4400" w:type="dxa"/>
            <w:vAlign w:val="bottom"/>
          </w:tcPr>
          <w:p>
            <w:pPr>
              <w:ind w:left="2180"/>
              <w:spacing w:after="0"/>
              <w:rPr>
                <w:sz w:val="20"/>
                <w:szCs w:val="20"/>
                <w:color w:val="auto"/>
              </w:rPr>
            </w:pPr>
            <w:r>
              <w:rPr>
                <w:rFonts w:ascii="Arial" w:cs="Arial" w:eastAsia="Arial" w:hAnsi="Arial"/>
                <w:sz w:val="18"/>
                <w:szCs w:val="18"/>
                <w:color w:val="auto"/>
              </w:rPr>
              <w:t>HEALTHSTREAM, INC.</w:t>
            </w:r>
          </w:p>
        </w:tc>
      </w:tr>
      <w:tr>
        <w:trPr>
          <w:trHeight w:val="648"/>
        </w:trPr>
        <w:tc>
          <w:tcPr>
            <w:tcW w:w="3180" w:type="dxa"/>
            <w:vAlign w:val="bottom"/>
          </w:tcPr>
          <w:p>
            <w:pPr>
              <w:spacing w:after="0"/>
              <w:rPr>
                <w:sz w:val="20"/>
                <w:szCs w:val="20"/>
                <w:color w:val="auto"/>
              </w:rPr>
            </w:pPr>
            <w:r>
              <w:rPr>
                <w:rFonts w:ascii="Arial" w:cs="Arial" w:eastAsia="Arial" w:hAnsi="Arial"/>
                <w:sz w:val="18"/>
                <w:szCs w:val="18"/>
                <w:color w:val="auto"/>
              </w:rPr>
              <w:t>May 12, 2009</w:t>
            </w:r>
          </w:p>
        </w:tc>
        <w:tc>
          <w:tcPr>
            <w:tcW w:w="4400" w:type="dxa"/>
            <w:vAlign w:val="bottom"/>
          </w:tcPr>
          <w:p>
            <w:pPr>
              <w:ind w:left="2180"/>
              <w:spacing w:after="0"/>
              <w:rPr>
                <w:sz w:val="20"/>
                <w:szCs w:val="20"/>
                <w:color w:val="auto"/>
              </w:rPr>
            </w:pPr>
            <w:r>
              <w:rPr>
                <w:rFonts w:ascii="Arial" w:cs="Arial" w:eastAsia="Arial" w:hAnsi="Arial"/>
                <w:sz w:val="18"/>
                <w:szCs w:val="18"/>
                <w:color w:val="auto"/>
                <w:w w:val="96"/>
              </w:rPr>
              <w:t>By: /s/ G</w:t>
            </w:r>
            <w:r>
              <w:rPr>
                <w:rFonts w:ascii="Arial" w:cs="Arial" w:eastAsia="Arial" w:hAnsi="Arial"/>
                <w:sz w:val="12"/>
                <w:szCs w:val="12"/>
                <w:color w:val="auto"/>
                <w:w w:val="96"/>
              </w:rPr>
              <w:t>ERARD</w:t>
            </w:r>
            <w:r>
              <w:rPr>
                <w:rFonts w:ascii="Arial" w:cs="Arial" w:eastAsia="Arial" w:hAnsi="Arial"/>
                <w:sz w:val="18"/>
                <w:szCs w:val="18"/>
                <w:color w:val="auto"/>
                <w:w w:val="96"/>
              </w:rPr>
              <w:t xml:space="preserve"> M. H</w:t>
            </w:r>
            <w:r>
              <w:rPr>
                <w:rFonts w:ascii="Arial" w:cs="Arial" w:eastAsia="Arial" w:hAnsi="Arial"/>
                <w:sz w:val="12"/>
                <w:szCs w:val="12"/>
                <w:color w:val="auto"/>
                <w:w w:val="96"/>
              </w:rPr>
              <w:t>AYDEN</w:t>
            </w:r>
            <w:r>
              <w:rPr>
                <w:rFonts w:ascii="Arial" w:cs="Arial" w:eastAsia="Arial" w:hAnsi="Arial"/>
                <w:sz w:val="18"/>
                <w:szCs w:val="18"/>
                <w:color w:val="auto"/>
                <w:w w:val="96"/>
              </w:rPr>
              <w:t>, J</w:t>
            </w:r>
            <w:r>
              <w:rPr>
                <w:rFonts w:ascii="Arial" w:cs="Arial" w:eastAsia="Arial" w:hAnsi="Arial"/>
                <w:sz w:val="12"/>
                <w:szCs w:val="12"/>
                <w:color w:val="auto"/>
                <w:w w:val="96"/>
              </w:rPr>
              <w:t>R</w:t>
            </w:r>
            <w:r>
              <w:rPr>
                <w:rFonts w:ascii="Arial" w:cs="Arial" w:eastAsia="Arial" w:hAnsi="Arial"/>
                <w:sz w:val="18"/>
                <w:szCs w:val="18"/>
                <w:color w:val="auto"/>
                <w:w w:val="96"/>
              </w:rPr>
              <w:t>.</w:t>
            </w:r>
          </w:p>
        </w:tc>
      </w:tr>
    </w:tbl>
    <w:p>
      <w:pPr>
        <w:ind w:left="570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19"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12,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12,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2009,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2009</w:t>
      </w:r>
    </w:p>
    <w:p>
      <w:pPr>
        <w:sectPr>
          <w:pgSz w:w="11900" w:h="16838" w:orient="portrait"/>
          <w:cols w:equalWidth="0" w:num="1">
            <w:col w:w="11420"/>
          </w:cols>
          <w:pgMar w:left="240" w:top="55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2009,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2009</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2019-12-10T19:17:54Z</dcterms:created>
  <dcterms:modified xsi:type="dcterms:W3CDTF">2019-12-10T19:17:54Z</dcterms:modified>
</cp:coreProperties>
</file>