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-130810</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96"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60" w:space="720"/>
            <w:col w:w="1420" w:space="720"/>
            <w:col w:w="3340" w:space="440"/>
            <w:col w:w="232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27, 2011, 22,211,085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4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17"/>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 September 30, 2011 (Unaudited) and December 31, 2010</w:t>
              </w:r>
            </w:hyperlink>
          </w:p>
        </w:tc>
        <w:tc>
          <w:tcPr>
            <w:tcW w:w="31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 — Three Months ended September 30, 2011 and 2010</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(Unaudited) — Nine Months ended September 30, 2011 and 2010</w:t>
              </w:r>
            </w:hyperlink>
          </w:p>
        </w:tc>
        <w:tc>
          <w:tcPr>
            <w:tcW w:w="60" w:type="dxa"/>
            <w:vAlign w:val="bottom"/>
            <w:tcBorders>
              <w:top w:val="single" w:sz="8" w:color="0000EE"/>
            </w:tcBorders>
          </w:tcPr>
          <w:p>
            <w:pPr>
              <w:spacing w:after="0"/>
              <w:rPr>
                <w:sz w:val="17"/>
                <w:szCs w:val="17"/>
                <w:color w:val="auto"/>
              </w:rPr>
            </w:pPr>
          </w:p>
        </w:tc>
        <w:tc>
          <w:tcPr>
            <w:tcW w:w="21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Shareholders’ Equity (Unaudited) — Nine Months ended September 30, 2011</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 Nine Months ended September 30, 2011 and 2010</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36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2"/>
          </w:tcPr>
          <w:p>
            <w:pPr>
              <w:spacing w:after="0"/>
              <w:rPr>
                <w:sz w:val="17"/>
                <w:szCs w:val="17"/>
                <w:color w:val="auto"/>
              </w:rPr>
            </w:pPr>
          </w:p>
        </w:tc>
        <w:tc>
          <w:tcPr>
            <w:tcW w:w="57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878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Signature</w:t>
              </w:r>
            </w:hyperlink>
          </w:p>
        </w:tc>
        <w:tc>
          <w:tcPr>
            <w:tcW w:w="948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7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998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16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17,868</w:t>
            </w: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Investments in short-term marketable securities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$152 and $157 at September 30, 2011 and</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2010, respectively</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13,141</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Accounts receivable — unbilled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current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Prepaid royalties, net of amortization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1,913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prepaid expenses and other current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85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51,703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16,088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8560" w:type="dxa"/>
            <w:vAlign w:val="bottom"/>
          </w:tcPr>
          <w:p>
            <w:pPr>
              <w:ind w:left="2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23"/>
        </w:trPr>
        <w:tc>
          <w:tcPr>
            <w:tcW w:w="856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(16,386)</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560" w:type="dxa"/>
            <w:vAlign w:val="bottom"/>
          </w:tcPr>
          <w:p>
            <w:pPr>
              <w:spacing w:after="0"/>
              <w:rPr>
                <w:sz w:val="20"/>
                <w:szCs w:val="20"/>
                <w:color w:val="auto"/>
              </w:rPr>
            </w:pPr>
            <w:r>
              <w:rPr>
                <w:rFonts w:ascii="Arial" w:cs="Arial" w:eastAsia="Arial" w:hAnsi="Arial"/>
                <w:sz w:val="18"/>
                <w:szCs w:val="18"/>
                <w:color w:val="auto"/>
                <w:w w:val="95"/>
              </w:rPr>
              <w:t>Capitalized software development, net of accumulated amortization of $7,673 and $5,887 at September 30, 2011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and December 31, 2010, respectively</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7,746</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02"/>
        </w:trPr>
        <w:tc>
          <w:tcPr>
            <w:tcW w:w="8560" w:type="dxa"/>
            <w:vAlign w:val="bottom"/>
          </w:tcPr>
          <w:p>
            <w:pPr>
              <w:spacing w:after="0" w:line="201" w:lineRule="exact"/>
              <w:rPr>
                <w:sz w:val="20"/>
                <w:szCs w:val="20"/>
                <w:color w:val="auto"/>
              </w:rPr>
            </w:pPr>
            <w:r>
              <w:rPr>
                <w:rFonts w:ascii="Arial" w:cs="Arial" w:eastAsia="Arial" w:hAnsi="Arial"/>
                <w:sz w:val="18"/>
                <w:szCs w:val="18"/>
                <w:color w:val="auto"/>
                <w:w w:val="93"/>
              </w:rPr>
              <w:t>Intangible assets, net of accumulated amortization of $8,712 and $8,043 at September 30, 2011 and December 31,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2010, respectively</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2,175</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91,435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640"/>
              <w:spacing w:after="0"/>
              <w:rPr>
                <w:sz w:val="20"/>
                <w:szCs w:val="20"/>
                <w:color w:val="auto"/>
              </w:rPr>
            </w:pPr>
            <w:r>
              <w:rPr>
                <w:rFonts w:ascii="Arial" w:cs="Arial" w:eastAsia="Arial" w:hAnsi="Arial"/>
                <w:sz w:val="18"/>
                <w:szCs w:val="18"/>
                <w:color w:val="auto"/>
              </w:rPr>
              <w:t>LIABILITIES AND SHAREHOLDERS’ EQUITY</w:t>
            </w: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Accrued compensation and related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16,740</w:t>
            </w:r>
          </w:p>
        </w:tc>
        <w:tc>
          <w:tcPr>
            <w:tcW w:w="0" w:type="dxa"/>
            <w:vAlign w:val="bottom"/>
          </w:tcPr>
          <w:p>
            <w:pPr>
              <w:spacing w:after="0"/>
              <w:rPr>
                <w:sz w:val="1"/>
                <w:szCs w:val="1"/>
                <w:color w:val="auto"/>
              </w:rPr>
            </w:pPr>
          </w:p>
        </w:tc>
      </w:tr>
      <w:tr>
        <w:trPr>
          <w:trHeight w:val="223"/>
        </w:trPr>
        <w:tc>
          <w:tcPr>
            <w:tcW w:w="856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24,746</w:t>
            </w:r>
          </w:p>
        </w:tc>
        <w:tc>
          <w:tcPr>
            <w:tcW w:w="0" w:type="dxa"/>
            <w:vAlign w:val="bottom"/>
          </w:tcPr>
          <w:p>
            <w:pPr>
              <w:spacing w:after="0"/>
              <w:rPr>
                <w:sz w:val="1"/>
                <w:szCs w:val="1"/>
                <w:color w:val="auto"/>
              </w:rPr>
            </w:pPr>
          </w:p>
        </w:tc>
      </w:tr>
      <w:tr>
        <w:trPr>
          <w:trHeight w:val="432"/>
        </w:trPr>
        <w:tc>
          <w:tcPr>
            <w:tcW w:w="8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560" w:type="dxa"/>
            <w:vAlign w:val="bottom"/>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no par value, 75,000 shares authorized; 22,211 and 21,805 shares issued and outstanding at</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2011 and December 31, 2010, respectively</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98,844</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97,227</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(35,279)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(40,431)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560" w:type="dxa"/>
            <w:vAlign w:val="bottom"/>
          </w:tcPr>
          <w:p>
            <w:pPr>
              <w:ind w:left="620"/>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63,565</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91,435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620" w:type="dxa"/>
            <w:vAlign w:val="bottom"/>
            <w:gridSpan w:val="9"/>
          </w:tcPr>
          <w:p>
            <w:pPr>
              <w:ind w:left="232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20,618</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1,946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2,782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2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 net</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68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Basic</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4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8"/>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60,175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22,623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5,644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11,674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8,009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51,818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23</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22,001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23,272</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Accumulated</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Deficit</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21,805</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97,227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56,791</w:t>
            </w:r>
          </w:p>
        </w:tc>
        <w:tc>
          <w:tcPr>
            <w:tcW w:w="0" w:type="dxa"/>
            <w:vAlign w:val="bottom"/>
          </w:tcPr>
          <w:p>
            <w:pPr>
              <w:spacing w:after="0"/>
              <w:rPr>
                <w:sz w:val="1"/>
                <w:szCs w:val="1"/>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investments in marketable securities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Stock based compensation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597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00" w:type="dxa"/>
            <w:vAlign w:val="bottom"/>
            <w:gridSpan w:val="2"/>
          </w:tcPr>
          <w:p>
            <w:pPr>
              <w:spacing w:after="0"/>
              <w:rPr>
                <w:sz w:val="20"/>
                <w:szCs w:val="20"/>
                <w:color w:val="auto"/>
              </w:rPr>
            </w:pPr>
            <w:r>
              <w:rPr>
                <w:rFonts w:ascii="Arial" w:cs="Arial" w:eastAsia="Arial" w:hAnsi="Arial"/>
                <w:sz w:val="18"/>
                <w:szCs w:val="18"/>
                <w:color w:val="auto"/>
              </w:rPr>
              <w:t>Balance at September 30, 2011</w:t>
            </w:r>
          </w:p>
        </w:tc>
        <w:tc>
          <w:tcPr>
            <w:tcW w:w="680" w:type="dxa"/>
            <w:vAlign w:val="bottom"/>
          </w:tcPr>
          <w:p>
            <w:pPr>
              <w:jc w:val="right"/>
              <w:spacing w:after="0"/>
              <w:rPr>
                <w:sz w:val="20"/>
                <w:szCs w:val="20"/>
                <w:color w:val="auto"/>
              </w:rPr>
            </w:pPr>
            <w:r>
              <w:rPr>
                <w:rFonts w:ascii="Arial" w:cs="Arial" w:eastAsia="Arial" w:hAnsi="Arial"/>
                <w:sz w:val="18"/>
                <w:szCs w:val="18"/>
                <w:color w:val="auto"/>
              </w:rPr>
              <w:t>22,211</w:t>
            </w:r>
          </w:p>
        </w:tc>
        <w:tc>
          <w:tcPr>
            <w:tcW w:w="20" w:type="dxa"/>
            <w:vAlign w:val="bottom"/>
          </w:tcPr>
          <w:p>
            <w:pPr>
              <w:spacing w:after="0"/>
              <w:rPr>
                <w:sz w:val="24"/>
                <w:szCs w:val="24"/>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98,844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(35,279)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600" w:type="dxa"/>
            <w:vAlign w:val="bottom"/>
            <w:gridSpan w:val="11"/>
          </w:tcPr>
          <w:p>
            <w:pPr>
              <w:jc w:val="center"/>
              <w:ind w:left="2710"/>
              <w:spacing w:after="0"/>
              <w:rPr>
                <w:sz w:val="20"/>
                <w:szCs w:val="20"/>
                <w:color w:val="auto"/>
              </w:rPr>
            </w:pPr>
            <w:r>
              <w:rPr>
                <w:rFonts w:ascii="Arial" w:cs="Arial" w:eastAsia="Arial" w:hAnsi="Arial"/>
                <w:sz w:val="18"/>
                <w:szCs w:val="18"/>
                <w:color w:val="auto"/>
                <w:w w:val="88"/>
              </w:rPr>
              <w:t>See accompanying notes to the condensed consolidated financial statements.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20" w:type="dxa"/>
            <w:vAlign w:val="bottom"/>
            <w:gridSpan w:val="8"/>
          </w:tcPr>
          <w:p>
            <w:pPr>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71"/>
        </w:trPr>
        <w:tc>
          <w:tcPr>
            <w:tcW w:w="9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5,152</w:t>
            </w: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3,868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3,769</w:t>
            </w: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r>
      <w:tr>
        <w:trPr>
          <w:trHeight w:val="216"/>
        </w:trPr>
        <w:tc>
          <w:tcPr>
            <w:tcW w:w="92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r>
      <w:tr>
        <w:trPr>
          <w:trHeight w:val="216"/>
        </w:trPr>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and unbilled receivables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r>
      <w:tr>
        <w:trPr>
          <w:trHeight w:val="216"/>
        </w:trPr>
        <w:tc>
          <w:tcPr>
            <w:tcW w:w="9200" w:type="dxa"/>
            <w:vAlign w:val="bottom"/>
          </w:tcPr>
          <w:p>
            <w:pPr>
              <w:ind w:left="6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9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Prepaid royalties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9200" w:type="dxa"/>
            <w:vAlign w:val="bottom"/>
          </w:tcPr>
          <w:p>
            <w:pPr>
              <w:ind w:left="62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9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920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(1,073)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r>
      <w:tr>
        <w:trPr>
          <w:trHeight w:val="216"/>
        </w:trPr>
        <w:tc>
          <w:tcPr>
            <w:tcW w:w="9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23"/>
        </w:trPr>
        <w:tc>
          <w:tcPr>
            <w:tcW w:w="9200" w:type="dxa"/>
            <w:vAlign w:val="bottom"/>
          </w:tcPr>
          <w:p>
            <w:pPr>
              <w:ind w:left="6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14,488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11,817</w:t>
            </w:r>
          </w:p>
        </w:tc>
      </w:tr>
      <w:tr>
        <w:trPr>
          <w:trHeight w:val="439"/>
        </w:trPr>
        <w:tc>
          <w:tcPr>
            <w:tcW w:w="920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10,351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(4,728)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(5,199)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(1,586)</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(3,560)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r>
      <w:tr>
        <w:trPr>
          <w:trHeight w:val="27"/>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(2,436)</w:t>
            </w:r>
          </w:p>
        </w:tc>
      </w:tr>
      <w:tr>
        <w:trPr>
          <w:trHeight w:val="439"/>
        </w:trPr>
        <w:tc>
          <w:tcPr>
            <w:tcW w:w="920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7"/>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r>
        <w:trPr>
          <w:trHeight w:val="439"/>
        </w:trPr>
        <w:tc>
          <w:tcPr>
            <w:tcW w:w="92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12,368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24"/>
                <w:szCs w:val="24"/>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17,868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12,287</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30,236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21,443</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2011 are not necessarily indicative of the results that may be expected for the year ending December 31, 2011.</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2010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2010 (included in the Company’s Annual Report on Form 10-K, filed with the Securities and Exchange Commission on March 23, 2011 and as amended on August 10,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nine months ended September 30, 2011 and 2010, the Company recorded a provision for income taxes of $3.2 million and $2.5 million, respectively. The Company’s effective tax rate for the nine months ended September 30, 2011 and 2010 was 38.4% and 45.7%, respectively. The Company’s effective tax rate primarily reflects the statutory corporate income tax rate, the net effect of state taxes, and the effect of various immaterial permanent tax differences.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During the nine months ended September 30, 2011, the Company granted 362,750 stock options with a weighted average grant date fair value of $4.67. During the nine months ended September 30, 2010, the Company granted 319,000 stock options with a weighted average grant date fair value of $2.07. The fair value of stock based awards granted during the nine months ended September 30, 2011 and 2010 was estimated using the Black Scholes option pricing model, with the assumptions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5"/>
          </w:tcPr>
          <w:p>
            <w:pPr>
              <w:jc w:val="center"/>
              <w:ind w:right="160"/>
              <w:spacing w:after="0"/>
              <w:rPr>
                <w:sz w:val="20"/>
                <w:szCs w:val="20"/>
                <w:color w:val="auto"/>
              </w:rPr>
            </w:pPr>
            <w:r>
              <w:rPr>
                <w:rFonts w:ascii="Arial" w:cs="Arial" w:eastAsia="Arial" w:hAnsi="Arial"/>
                <w:sz w:val="14"/>
                <w:szCs w:val="14"/>
                <w:color w:val="auto"/>
                <w:w w:val="94"/>
              </w:rPr>
              <w:t>Nine Months Ended</w:t>
            </w:r>
          </w:p>
        </w:tc>
      </w:tr>
      <w:tr>
        <w:trPr>
          <w:trHeight w:val="149"/>
        </w:trPr>
        <w:tc>
          <w:tcPr>
            <w:tcW w:w="8540" w:type="dxa"/>
            <w:vAlign w:val="bottom"/>
          </w:tcPr>
          <w:p>
            <w:pPr>
              <w:spacing w:after="0"/>
              <w:rPr>
                <w:sz w:val="12"/>
                <w:szCs w:val="12"/>
                <w:color w:val="auto"/>
              </w:rPr>
            </w:pPr>
          </w:p>
        </w:tc>
        <w:tc>
          <w:tcPr>
            <w:tcW w:w="1800" w:type="dxa"/>
            <w:vAlign w:val="bottom"/>
            <w:gridSpan w:val="3"/>
          </w:tcPr>
          <w:p>
            <w:pPr>
              <w:jc w:val="center"/>
              <w:ind w:left="837"/>
              <w:spacing w:after="0" w:line="149" w:lineRule="exact"/>
              <w:rPr>
                <w:sz w:val="20"/>
                <w:szCs w:val="20"/>
                <w:color w:val="auto"/>
              </w:rPr>
            </w:pPr>
            <w:r>
              <w:rPr>
                <w:rFonts w:ascii="Arial" w:cs="Arial" w:eastAsia="Arial" w:hAnsi="Arial"/>
                <w:sz w:val="14"/>
                <w:szCs w:val="14"/>
                <w:color w:val="auto"/>
                <w:w w:val="91"/>
              </w:rPr>
              <w:t>September 30,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7"/>
        </w:trPr>
        <w:tc>
          <w:tcPr>
            <w:tcW w:w="8540" w:type="dxa"/>
            <w:vAlign w:val="bottom"/>
          </w:tcPr>
          <w:p>
            <w:pPr>
              <w:spacing w:after="0"/>
              <w:rPr>
                <w:sz w:val="14"/>
                <w:szCs w:val="14"/>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9"/>
              </w:rPr>
              <w:t>1.05 — 2.39%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2.39 — 2.49%</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 — 7 years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 — 7 years</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2011 and 2010, which is recorded in the condensed consolidated statements of income,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60" w:type="dxa"/>
            <w:vAlign w:val="bottom"/>
            <w:vMerge w:val="restart"/>
          </w:tcPr>
          <w:p>
            <w:pPr>
              <w:jc w:val="right"/>
              <w:ind w:right="690"/>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0.1 million and 0.3 million for the three and nine months ended September 30, 2011, respectively, and approximately 0.3 million and 0.5 million for the three and nine months ended September 30, 2010, respectively.</w:t>
      </w:r>
    </w:p>
    <w:p>
      <w:pPr>
        <w:spacing w:after="0" w:line="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and nine months ended September 30, 2011 and 2010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right"/>
              <w:ind w:right="25"/>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22,164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21,807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22,001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Employee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1,271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23,496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22,511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23,272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22,358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COLLABORATIVE ARRANGEMENT</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June 23, 2010, the Company announced the formation of SimVentures, a collaborative arrangement between HealthStream and Laerdal Medical Corporation (Laerdal Medical). The Company receives 50 percent of the profits or losses generated from this collaborative arrangement. The parties did not form a separate legal entity as part of the collaborative arrangement; therefore, the Company accounts for SimVentures as a collaborative arrangement in accordance with applicable accounting guidance. During the first quarter of 2011, the Company acquired a fifty percent ownership interest in Laerdal Medical’s Advanced Video System (AVS) product for $3.5 million in cash. AVS is a product that enables users of advanced patient simulators to easily capture video, audio, data logs, and “patient” responses. The AVS product is now jointly owned through SimVentures. During the second quarter of 2011, SimVentures launched SimStore™, one of the components of SimCenter™ that offers healthcare providers an opportunity to sample and purchase simulation scenarios to use in their simulation training activities. During the nine months ended September 30, 2011, the Company recorded approximately $0.5 million of revenues and $0.9 million of expenses related to the collaborative arrangement. The expenses are primarily recorded in the product development, sales and marketing and depreciation and amortization categories within the condensed consolidated statements of income. The Company also recorded approximately $4.0 million of capitalized software development for SimVentures during 2011, comprised of the $3.5 million paid for the AVS product and $0.5 million associated with SimStore</w:t>
      </w:r>
      <w:r>
        <w:rPr>
          <w:rFonts w:ascii="Arial" w:cs="Arial" w:eastAsia="Arial" w:hAnsi="Arial"/>
          <w:sz w:val="14"/>
          <w:szCs w:val="14"/>
          <w:color w:val="auto"/>
        </w:rPr>
        <w:t>TM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primarily provides services to healthcare organizations, and to a lesser extent, to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as amended, for the year ended December 31, 2010.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 (continued)</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and nine months ended September 30, 2011 and 2010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8"/>
          </w:tcPr>
          <w:p>
            <w:pPr>
              <w:jc w:val="right"/>
              <w:ind w:right="6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7"/>
          </w:tcPr>
          <w:p>
            <w:pPr>
              <w:jc w:val="right"/>
              <w:ind w:right="5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right"/>
              <w:ind w:right="25"/>
              <w:spacing w:after="0" w:line="149" w:lineRule="exact"/>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Revenues</w:t>
            </w:r>
          </w:p>
        </w:tc>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HealthStream Learning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14,805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4"/>
              </w:rPr>
              <w:t>11,527</w:t>
            </w:r>
          </w:p>
        </w:tc>
        <w:tc>
          <w:tcPr>
            <w:tcW w:w="12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$ 42,248</w:t>
            </w: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$ 33,070</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HealthStream Research</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5,089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rPr>
              <w:t>17,927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15,044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net revenue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20,618</w:t>
            </w:r>
          </w:p>
        </w:tc>
        <w:tc>
          <w:tcPr>
            <w:tcW w:w="124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$ 16,616</w:t>
            </w:r>
          </w:p>
        </w:tc>
        <w:tc>
          <w:tcPr>
            <w:tcW w:w="12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$ 60,175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48,114</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HealthStream Learning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3,686</w:t>
            </w:r>
          </w:p>
        </w:tc>
        <w:tc>
          <w:tcPr>
            <w:tcW w:w="12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$ 13,124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11,033</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HealthStream Research</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1,977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(2,035)</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(6,744)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23"/>
        </w:trPr>
        <w:tc>
          <w:tcPr>
            <w:tcW w:w="4540" w:type="dxa"/>
            <w:vAlign w:val="bottom"/>
          </w:tcPr>
          <w:p>
            <w:pPr>
              <w:ind w:left="420"/>
              <w:spacing w:after="0"/>
              <w:rPr>
                <w:sz w:val="20"/>
                <w:szCs w:val="20"/>
                <w:color w:val="auto"/>
              </w:rPr>
            </w:pPr>
            <w:r>
              <w:rPr>
                <w:rFonts w:ascii="Arial" w:cs="Arial" w:eastAsia="Arial" w:hAnsi="Arial"/>
                <w:sz w:val="18"/>
                <w:szCs w:val="18"/>
                <w:color w:val="auto"/>
              </w:rPr>
              <w:t>Total income from operations</w:t>
            </w:r>
          </w:p>
        </w:tc>
        <w:tc>
          <w:tcPr>
            <w:tcW w:w="20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8,357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0"/>
                <w:szCs w:val="20"/>
                <w:color w:val="auto"/>
              </w:rPr>
            </w:pPr>
            <w:r>
              <w:rPr>
                <w:rFonts w:ascii="Arial" w:cs="Arial" w:eastAsia="Arial" w:hAnsi="Arial"/>
                <w:sz w:val="14"/>
                <w:szCs w:val="14"/>
                <w:color w:val="auto"/>
              </w:rPr>
              <w:t>Segment assets *</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4"/>
                <w:szCs w:val="14"/>
                <w:color w:val="auto"/>
                <w:w w:val="89"/>
              </w:rPr>
              <w:t>September 30, 2011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2010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HealthStream Learning</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18,731</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HealthStream Research</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25,256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26,702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36,578</w:t>
            </w:r>
          </w:p>
        </w:tc>
        <w:tc>
          <w:tcPr>
            <w:tcW w:w="0" w:type="dxa"/>
            <w:vAlign w:val="bottom"/>
          </w:tcPr>
          <w:p>
            <w:pPr>
              <w:spacing w:after="0"/>
              <w:rPr>
                <w:sz w:val="1"/>
                <w:szCs w:val="1"/>
                <w:color w:val="auto"/>
              </w:rPr>
            </w:pPr>
          </w:p>
        </w:tc>
      </w:tr>
      <w:tr>
        <w:trPr>
          <w:trHeight w:val="223"/>
        </w:trPr>
        <w:tc>
          <w:tcPr>
            <w:tcW w:w="45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91,435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8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capitalized software development, certain property and equipment, and intangible assets. Cash and cash equivalents and investments in marketable securities are not allocated to individual segments, and are included within Unallocated. A significant portion of property and equipment assets are included within Unallocated.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spacing w:after="0" w:line="254" w:lineRule="auto"/>
        <w:rPr>
          <w:sz w:val="20"/>
          <w:szCs w:val="20"/>
          <w:color w:val="auto"/>
        </w:rPr>
      </w:pPr>
      <w:r>
        <w:rPr>
          <w:rFonts w:ascii="Arial" w:cs="Arial" w:eastAsia="Arial" w:hAnsi="Arial"/>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2010, appearing in our Annual Report on Form 10-K that was filed with the Securities and Exchange Commission (“SEC”) on March 23, 2011 as amended on August 10, 2011 (the “2010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2010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HealthStream provides services to healthcare organizations,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3"/>
          <w:szCs w:val="13"/>
          <w:color w:val="auto"/>
        </w:rPr>
        <w:t>®</w:t>
      </w:r>
      <w:r>
        <w:rPr>
          <w:rFonts w:ascii="Arial" w:cs="Arial" w:eastAsia="Arial" w:hAnsi="Arial"/>
          <w:sz w:val="16"/>
          <w:szCs w:val="16"/>
          <w:color w:val="auto"/>
        </w:rPr>
        <w:t xml:space="preserve"> (HLC), authoring tools, courseware subscriptions, implementation and consulting services, content development, online sales training courses (RepDirect™), HospitalDirect</w:t>
      </w:r>
      <w:r>
        <w:rPr>
          <w:rFonts w:ascii="Arial" w:cs="Arial" w:eastAsia="Arial" w:hAnsi="Arial"/>
          <w:sz w:val="13"/>
          <w:szCs w:val="13"/>
          <w:color w:val="auto"/>
        </w:rPr>
        <w:t>®</w:t>
      </w:r>
      <w:r>
        <w:rPr>
          <w:rFonts w:ascii="Arial" w:cs="Arial" w:eastAsia="Arial" w:hAnsi="Arial"/>
          <w:sz w:val="16"/>
          <w:szCs w:val="16"/>
          <w:color w:val="auto"/>
        </w:rPr>
        <w:t>, SimVentures,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patients, employees, physicians, and members of the community.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2011 include:</w:t>
      </w:r>
    </w:p>
    <w:p>
      <w:pPr>
        <w:spacing w:after="0" w:line="117"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$20.6 million in the third quarter of 2011, up 24% over the third quarter of 2010</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of $2.7 million in the third quarter of 2011, up 59% over the third quarter of 2010</w:t>
      </w:r>
    </w:p>
    <w:p>
      <w:pPr>
        <w:spacing w:after="0" w:line="130" w:lineRule="exact"/>
        <w:rPr>
          <w:rFonts w:ascii="Arial" w:cs="Arial" w:eastAsia="Arial" w:hAnsi="Arial"/>
          <w:sz w:val="18"/>
          <w:szCs w:val="18"/>
          <w:b w:val="1"/>
          <w:bCs w:val="1"/>
          <w:color w:val="auto"/>
        </w:rPr>
      </w:pPr>
    </w:p>
    <w:p>
      <w:pPr>
        <w:ind w:left="660" w:right="38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$1.8 million, up 126% from net income of $796,000 in the third quarter of 2010, and earnings per share (EPS) of $0.08 per share (diluted) in the third quarter of 2011, up 100% from EPS of $0.04 per share (diluted) in the third quarter of 2010</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of $4.4 million in the third quarter of 2011, up 46% from $3.0 million in the third quarter of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2010 Form 10-K, which contains additional information regarding our accounting policies and other disclosures required by US GAAP. There have been no changes in our critical accounting policies and estimates from those reported in our 2010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for our HealthStream Learning business segment primarily consist of the following products and services: provision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Internet-based HLC, authoring tools, a variety of courseware subscriptions, implementation and consulting services, content development, online sales training courses (RepDirect™), HospitalDirect</w:t>
      </w:r>
      <w:r>
        <w:rPr>
          <w:rFonts w:ascii="Arial" w:cs="Arial" w:eastAsia="Arial" w:hAnsi="Arial"/>
          <w:sz w:val="13"/>
          <w:szCs w:val="13"/>
          <w:color w:val="auto"/>
        </w:rPr>
        <w:t>®</w:t>
      </w:r>
      <w:r>
        <w:rPr>
          <w:rFonts w:ascii="Arial" w:cs="Arial" w:eastAsia="Arial" w:hAnsi="Arial"/>
          <w:sz w:val="16"/>
          <w:szCs w:val="16"/>
          <w:color w:val="auto"/>
        </w:rPr>
        <w:t>, SimVentures, and a variety of other educational activities to serve professionals that work within healthcare organizations. Revenues for our HealthStream Research business segment consist of quality and satisfaction surveys, data analyses of survey results, and other research-based measurement tools focused on patients, employees, physicians, and other members of the community.</w:t>
      </w:r>
    </w:p>
    <w:p>
      <w:pPr>
        <w:spacing w:after="0" w:line="5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consists primarily of salaries and employee benefits, contract labor, stock based compensation,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consists primarily of salaries, commissions and employee benefits, stock based compensation, employee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lodging, advertising, trade shows, promotions, and related marketing costs. We host a national customer conference in Nashville known as “The Summit,” a portion of the costs of which are included in sales and marketing expenses. Personnel costs within sales and marketing include our HealthStream Learning and HealthStream Research sales teams, strategic account management, consultants, and marketing personnel, as well as our account management group.</w:t>
      </w:r>
    </w:p>
    <w:p>
      <w:pPr>
        <w:spacing w:after="0" w:line="4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development.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capital leases and our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2011 Compared to Three Months Ended September 30, 2010</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$4.0 million, or 24.1%, to $20.6 million for the three months ended September 30, 2011 from $16.6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September 30, 2010. Revenues for 2011 consisted of $14.8 million, or 72% of total revenue, for HealthStream Learning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$5.8 million, or 28% of total revenue, for HealthStream Research. In 2010, revenues consisted of $11.5 million, or 69% of total revenue, for HealthStream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Learning and $5.1 million, or 31% of total revenue, for HealthStream Research.</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for HealthStream Learning increased $3.3 million, or 28.4%, over the third quarter of 2010. Revenues from our Internet-based subscription learning products increased by $3.2 million over the prior year third quarter, and were comprised of revenue increases from the HLC of $1.1 million and from courseware subscriptions of $2.0 million. Revenues from our Internet-based subscription products increased 29.4% over the prior year third quarter due to a higher number of subscribers and more courseware consumption by subscribers. Our HLC subscriber base increased to 2,536,000 fully-implemented subscribers and 2,653,000 contracted subscribers at September 30, 2011 compared to 2,175,000 fully-implemented subscribers and 2,365,000 contracted subscribers at September 30, 2010. “Contracted subscribers” include both those already implemented (2,536,000 and 2,175,000 at September 30, 2011 and 2010, respectively) and those in the process of implementation (117,000 and 190,000 at September 30, 2011 and 2010, respectively). Revenues from SimVentures, our collaborative arrangement with Laerdal Medical Corporation, were approximately $321,000 during the third quarter of 2011. Revenues from project-based services declined by $251,000 compared to the prior year third quarter.</w:t>
      </w:r>
    </w:p>
    <w:p>
      <w:pPr>
        <w:spacing w:after="0" w:line="74"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Revenues for HealthStream Research increased $724,000, or 14.2%, over the third quarter of 2010. Revenues from Patient Insights™ surveys, our survey research product that generates recurring revenues, increased by $949,000, or 26.4%, over the prior year third quarter. Revenues from other surveys, which are conducted on annual or bi-annual cycles, declined by $225,000, or 15.1%, compared to the prior year third quarter due to fewer survey engagements.</w:t>
      </w:r>
    </w:p>
    <w:p>
      <w:pPr>
        <w:spacing w:after="0" w:line="3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$1.6 million, or 26.1%, to $7.9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2011 from $6.3 million for the three months ended September 30, 2010. Cost of revenues as a percentage of revenues was</w:t>
      </w:r>
    </w:p>
    <w:p>
      <w:pPr>
        <w:ind w:right="100"/>
        <w:spacing w:after="0" w:line="290" w:lineRule="auto"/>
        <w:rPr>
          <w:sz w:val="20"/>
          <w:szCs w:val="20"/>
          <w:color w:val="auto"/>
        </w:rPr>
      </w:pPr>
      <w:r>
        <w:rPr>
          <w:rFonts w:ascii="Arial" w:cs="Arial" w:eastAsia="Arial" w:hAnsi="Arial"/>
          <w:sz w:val="16"/>
          <w:szCs w:val="16"/>
          <w:color w:val="auto"/>
        </w:rPr>
        <w:t>38.4% of revenues for the three months ended September 30, 2011 compared to 37.8% of revenues for the three months ended September 30, 2010. Cost of revenues for HealthStream Learning increased approximately $1.3 million to $4.8 million and approximated 32.5% and 30.2% of revenues for HealthStream Learning for the three months ended September 30, 2011 and 2010, respectively. The increase is primarily associated with increased royalties paid by us resulting from growth in courseware subscription revenues. Cost of revenues for HealthStream Research increased approximately $318,000 to $3.1 million and approximated 53.5% and 54.9% of revenues for HealthStream Research for the three months ended September 30, 2011 and 2010, respectively. The increase in amount is primarily the result of costs associated with the growth in patient survey volume over the prior year third quarter.</w:t>
      </w:r>
    </w:p>
    <w:p>
      <w:pPr>
        <w:spacing w:after="0" w:line="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$196,000, or 11.2%, to $1.9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2011 from $1.7 million for the three months ended September 30, 2010. Product development expenses as a percentage of revenues were 9.4% and 10.5% of revenues for the three months ended September 30, 2011 and 2010, respectively.</w:t>
      </w:r>
    </w:p>
    <w:p>
      <w:pPr>
        <w:spacing w:after="0" w:line="7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Product development expenses for HealthStream Learning increased approximately $158,000 and approximated 10.3% and 11.8% of revenues for HealthStream Learning for the three months ended September 30, 2011 and 2010, respectively. The decrease as a percentage of revenue is the result of the growth in revenues over the prior year third quarter, while the increase in amount is due to additional personnel expenses associated with platform maintenance and new product development initiatives, including the Company’s share of SimVentures expenses. Product development expenses for HealthStream Research increased approximately $38,000 and approximated 7.3% and 7.6% of revenues for HealthStream Research for the three months ended September 30, 2011 and 2010, respectively.</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$452,000, or 13.5%, to $3.8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2011 from $3.4 million for the three months ended September 30, 2010. Sales and marketing expenses approximated 18.5% and 20.2% of revenues for the three months ended September 30, 2011 and 2010, respectively.</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Sales and marketing expenses for HealthStream Learning increased $550,000 and approximated 18.0% and 18.3% of revenues for HealthStream Learning for the three months ended September 30, 2011 and 2010, respectively. This expense increase is primarily due to additional personnel and related expenses, increased marketing spending, and increased commissions associated with better sales performance compared to the prior year. Sales and marketing expenses for HealthStream Research decreased approximately $83,000, and approximated 18.2% and 22.4% of revenues for HealthStream Research for the three months ended September 30, 2011 and 2010, respectively. The expense decrease is primarily a result of lower commissions.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$381,000, or 15.8%, to $2.8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2011 from $2.4 million for the three months ended September 30, 2010. Other general and administrative expenses as a percentage of revenues approximated 13.5% and 14.5% for the three months ended September 30, 2011 and 2010, respectively.</w:t>
      </w:r>
    </w:p>
    <w:p>
      <w:pPr>
        <w:spacing w:after="0" w:line="5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Other general and administrative expenses for HealthStream Learning increased $48,000 over the prior year third quarter, while other general and administrative expenses for HealthStream Research increased slightly compared to the prior year third quarter. The unallocated corporate portion of other general and administrative expenses increased $328,000 over the prior year third quarter, primarily associated with software maintenance renewal fees, personnel expenses, professional fees, and stock based compensation expense.</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$328,000, or 28.7%, to $1.5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2011 from $1.1 million for the three months ended September 30, 2010. The increase primarily resulted from amortization of capitalized software development assets within HealthStream Learning and depreciation expense associated with leasehold improvements to our Nashville, Tennessee office space.</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expense, net was approximately $8,000 for three months ended September 30, 2011 compared to $6,000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2010.</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Company recorded a provision for income taxes of $890,000 for the three months ended September 30, 2011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$889,000 for the three months ended September 30, 2010. The Company’s effective tax rate was 33.1% for the third quarter of 2011 compared to 52.8% for the third quarter of 2010. We expect the full year 2011 effective tax rate to range between 38 and 39 percent, compared to the full year 2010 effective tax rate of 41%. Actual tax payments will be substantially less than our income tax provision until we utilize our federal and state net operating loss carry-forwards of approximately $18.0 million and $14.0 million, respectively, at September 30, 2011, to offset taxable income.</w:t>
      </w:r>
    </w:p>
    <w:p>
      <w:pPr>
        <w:spacing w:after="0" w:line="6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$1.0 million, or 125.7%, to $1.8 million for the three months ended September 30, 2011 from $796,000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2010. Net income per diluted share was $0.08 per share for the three months ended September 30, 2011, compared to $0.04 per diluted share for the three months ended September 30, 2010.</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improved by 46.3% to approximately $4.4 million for the three months ended September 30, 2011 compared to $3.0 million for the three months ended September 30, 2010. This improvement is consistent with the factors mentioned in management’s discussion and analysis of financial condition and results of operations herewith.</w:t>
      </w:r>
    </w:p>
    <w:p>
      <w:pPr>
        <w:spacing w:after="0" w:line="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2010 and 2011,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2011 Compared to Nine Months Ended September 30, 2010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$12.1 million, or 25.1%, to $60.2 million for the nine months ended September 30, 2011 from</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$48.1 million for the nine months ended September 30, 2010. Revenues for 2011 consisted of $42.3 million, or 70% of total revenue, for HealthStream Learning and $17.9 million, or 30% of total revenue, for HealthStream Research. In 2010, revenues consisted of $33.1 million, or 69% of total revenue, for HealthStream Learning and $15.0 million, or 31% of total revenue, for HealthStream Research.</w:t>
      </w:r>
    </w:p>
    <w:p>
      <w:pPr>
        <w:spacing w:after="0" w:line="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HealthStream Learning increased $9.2 million, or 27.8%, over 2010. Revenues from our Internet-based subscription learning products increased by $9.1 million over the prior year, and were comprised of revenue increases from the HLC of $3.2 million and from courseware subscriptions of</w:t>
      </w:r>
    </w:p>
    <w:p>
      <w:pPr>
        <w:ind w:right="280"/>
        <w:spacing w:after="0" w:line="277" w:lineRule="auto"/>
        <w:rPr>
          <w:sz w:val="20"/>
          <w:szCs w:val="20"/>
          <w:color w:val="auto"/>
        </w:rPr>
      </w:pPr>
      <w:r>
        <w:rPr>
          <w:rFonts w:ascii="Arial" w:cs="Arial" w:eastAsia="Arial" w:hAnsi="Arial"/>
          <w:sz w:val="17"/>
          <w:szCs w:val="17"/>
          <w:color w:val="auto"/>
        </w:rPr>
        <w:t>$5.8 million. Revenues from our Internet-based subscription products increased 29.5% over the prior year due to a higher number of subscribers and more courseware consumption by subscribers. Revenues from SimVentures, our collaborative arrangement with Laerdal Medical Corporation, were $469,000 during 2011. Project-based revenues declined by $431,000 compared to the prior year due to fewer engagements.</w:t>
      </w:r>
    </w:p>
    <w:p>
      <w:pPr>
        <w:spacing w:after="0" w:line="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Revenues for HealthStream Research increased $2.9 million, or 19.2%, over 2010. Revenues from Patient Insights™ surveys, our survey research product that generates recurring revenues, increased by $2.8 million, or 26.4%, over the prior year. Revenues from other surveys, which are conducted on annual or bi-annual cycles, increased by $123,000, or 2.7%, over the prior year.</w:t>
      </w:r>
    </w:p>
    <w:p>
      <w:pPr>
        <w:spacing w:after="0" w:line="7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$5.0 million, or 28.2%, to $22.6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2011 from $17.6 million for the nine months ended September 30, 2010. Cost of revenues as a percentage of revenues was</w:t>
      </w:r>
    </w:p>
    <w:p>
      <w:pPr>
        <w:spacing w:after="0" w:line="295" w:lineRule="auto"/>
        <w:rPr>
          <w:sz w:val="20"/>
          <w:szCs w:val="20"/>
          <w:color w:val="auto"/>
        </w:rPr>
      </w:pPr>
      <w:r>
        <w:rPr>
          <w:rFonts w:ascii="Arial" w:cs="Arial" w:eastAsia="Arial" w:hAnsi="Arial"/>
          <w:sz w:val="16"/>
          <w:szCs w:val="16"/>
          <w:color w:val="auto"/>
        </w:rPr>
        <w:t>37.6% of revenues for the nine months ended September 30, 2011 compared to 36.7% of revenues for the nine months ended September 30, 2010. Cost of revenues for HealthStream Learning increased approximately $3.7 million to $13.5 million and approximated 32.0% and 29.6% of revenues for HealthStream Learning for the nine months ended September 30, 2011 and 2010, respectively. The increase is primarily associated with increased royalties paid by us resulting from growth in courseware subscription revenues and from additional personnel expenses. Cost of revenues for HealthStream Research increased</w:t>
      </w:r>
    </w:p>
    <w:p>
      <w:pPr>
        <w:sectPr>
          <w:pgSz w:w="11900" w:h="16838" w:orient="portrait"/>
          <w:cols w:equalWidth="0" w:num="1">
            <w:col w:w="11400"/>
          </w:cols>
          <w:pgMar w:left="240" w:top="419" w:right="259" w:bottom="595"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595"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approximately $1.3 million to $9.1 million and approximated 50.9% and 52.1% of revenues for HealthStream Research for the nine months ended September 30, 2011 and 2010, respectively. The increase in amount is primarily the result of costs associated with the growth in patient survey volume over the prior year.</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$645,000, or 12.9%, to $5.6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2011 from $5.0 million for the nine months ended September 30, 2010. Product development expenses as a percentage of revenues were 9.4% and 10.4% of revenues for the nine months ended September 30, 2011 and 2010, respectively.</w:t>
      </w:r>
    </w:p>
    <w:p>
      <w:pPr>
        <w:spacing w:after="0" w:line="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Product development expenses for HealthStream Learning increased approximately $582,000 and approximated 10.6% and 11.8% of revenues for HealthStream Learning for the nine months ended September 30, 2011 and 2010, respectively. The decrease as a percentage of revenue is the result of the growth in revenues over the prior year, while the increase in amount is due to additional personnel expenses associated with platform maintenance and new product development initiatives, including SimVentures. Product development expenses for HealthStream Research increased approximately $63,000 and approximated 6.5% and 7.3% of revenues for HealthStream Research for the nine months ended September 30, 2011 and 2010, respectively. The decrease as a percentage of revenue is the result of the growth in revenues over the prior year.</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$2.3 million, or 24.6%, to $11.7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2011 from $9.4 million for the nine months ended September 30, 2010. Approximately $627,000 of the increase resulted from the Summit, which occurred during the second quarter of 2011, but did not occur during 2010. Sales and marketing expenses approximated 19.4% and 19.5% of revenues for the nine months ended September 30, 2011 and 2010, respectively.</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and marketing expenses for HealthStream Learning increased $2.0 million and approximated 18.6% and 17.7% of revenues for HealthStream Learning for the nine months ended September 30, 2011 and 2010, respectively. This expense increase is primarily due to the Summit, additional personnel and related expenses, increased marketing spending, and increased commissions associated with better sales performance compared to the prior year. Sales and marketing expenses for HealthStream Research increased approximately $249,000, and approximated 19.5% and 21.6% of revenues for HealthStream Research for the nine months ended September 30, 2011 and 2010, respectively. The expense increase for HealthStream Research resulted from the Summit and additional personnel and related expenses.</w:t>
      </w:r>
    </w:p>
    <w:p>
      <w:pPr>
        <w:spacing w:after="0" w:line="8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$1.1 million, or 16.3%, to $8.0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2011 from $6.9 million for the nine months ended September 30, 2010. Other general and administrative expenses as a percentage of revenues approximated 13.3% and 14.3% for the nine months ended September 30, 2011 and 2010, respectively.</w:t>
      </w:r>
    </w:p>
    <w:p>
      <w:pPr>
        <w:spacing w:after="0" w:line="3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Other general and administrative expenses for HealthStream Learning increased $245,000 over the prior year, primarily associated with increased rent expense and recruiting costs for new employees, while other general and administrative expenses for HealthStream Research were comparable to the prior year. The unallocated corporate portion of other general and administrative expenses increased $875,000 over the prior year, primarily associated with software maintenance renewal fees, personnel expenses, professional fees, stock based compensation expense and rent expense.</w:t>
      </w:r>
    </w:p>
    <w:p>
      <w:pPr>
        <w:spacing w:after="0" w:line="4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$99,000, or 2.6%, to $3.9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2011 from $3.8 million for the nine months ended September 30, 2010. The increase primarily resulted from an increase from amortization of capitalized software development, but was partially offset by lower depreciation expense associated with certain assets reaching the end of their useful lives.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was approximately $8,000 for the nine months ended September 30, 2011 compared to a net expense of</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$18,000 for the nine months ended September 30, 2010. The improvement over the prior year was associated with higher interest income resulting from both higher invested balances and higher yields on cash and investments in marketable securities.</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 recorded a provision for income taxes of approximately $3.2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2011 compared to $2.5 million for the nine months ended September 30, 2010. The Company’s effective tax rate was 38.4% for 2011 compared to 45.7% for 2010.</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$2.2 million, or 74.6%, to $5.2 million for the nine months ended September 30, 2011 from $3.0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2010. Net income per diluted share was $0.22 per share for the nine months ended September 30, 2011, compared to $0.13 per diluted share for the nine months ended September 30, 2010.</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Adjusted EBITDA improved by 32.0% to approximately $12.8 million for the nine months ended September 30, 2011 compared to $9.7 million for the nine months ended September 30, 2010. This improvement is consistent with the factors mentioned in management’s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discussion and analysis of financial condition and results of operations herewith. Our reconciliation of Adjusted EBITDA to net income is listed in the table below.</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Income before interest, income tax provision, stock based compensation expense, depreciation and amortization, or adjusted EBITDA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10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5,152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12,829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provided by operating activities was approximately $14.5 million and $11.8 million during the nine months ended September 30, 2011 and 2010, respectively. The Company’s primary sources of cash were receipts generated from the sales of our products and services. Days sales outstanding (“DSO”) which is calculated by dividing the accounts receivable balance, excluding unbilled and other receivables, by average daily revenues for the quarter, approximated 59 days for the third quarter of 2011 compared to 61 days for the third quarter of 2010.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Net cash used in investing activities was approximately $3.1 million and $2.4 million for the nine months ended September 30, 2011 and 2010, respectively. During 2011, the Company purchased $4.7 million of investments in marketable securities, spent $5.2 million for capitalized software development, and purchased $3.6 million of property and equipment. Approximately $1.8 million of the property and equipment purchases during 2011 were associated with the expansion of our Nashville, Tennessee office space, while the remainder is associated with hardware and software to support our business operations. Approximately $3.5 million of the capitalized software development spending related to the acquisition of a 50 percent ownership stake in Laerdal Medical’s AVS product. These uses of cash were partially offset by maturities and sales of investments in marketable securities of $10.4 million. During 2010, the Company spent $1.6 million for capitalized software development and purchased $850,000 of property and equipment.</w:t>
      </w:r>
    </w:p>
    <w:p>
      <w:pPr>
        <w:spacing w:after="0" w:line="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provided by financing activities was approximately $1.0 million for the nine months ended September 30, 2011, while $225,000 was used by financing activities during the nine months ended September 30, 2010. The primary source of cash from financing activities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2011 and 2010 resulted from proceeds associated with the exercise of employee stock options. The primary uses of cash for 2011 related to payments under capital lease obligations, and for 2010 related to repurchases of common stock and payments under a promissory note and capital lease obligations.</w:t>
      </w:r>
    </w:p>
    <w:p>
      <w:pPr>
        <w:spacing w:after="0" w:line="1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Revenues increased and operating income improved over the prior year period, and our balance sheet reflects positive working capital of $24.3 million at September 30, 2011 compared to $19.5 million at December 31, 2010. The increase in working capital was primarily due to the cash generated from operations. The Company’s primary source of liquidity is $30.3 million of cash and cash equivalents and restricted cash. The Company also has a $20.0 million revolving credit facility loan agreement, all of which was available at September 30, 2011.</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cash generated from operations, and available borrowings under our revolving credit facility will be sufficient to meet anticipated cash needs for working capital, new product development and capital expenditures for at least the next 12 months. Additionally, our shelf registration statement on Form S-3, which was declared effective on August 12, 2011, provides us with the ability to raise additional capital of up to $75 million through the issuance of shares of common stock, subject to market conditions.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exposed to market risk from changes in interest rates. The Company does not have any foreign currency exchange rate risk or commodity price risk. As of September 30, 2011, the Company had no outstanding indebtedness.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also exposed to market risk with respect to our cash and investment balances. At September 30, 2011, the Company had cash and cash equivalents and restricted cash totaling approximately $30.3 million. Our current investment rates of return approximate 0.08%. Assuming a 0.08% rate of return on $30.3 million, a hypothetical 10% decrease in interest rates would decrease interest income and decrease net income on an annualized basis by approximately $2,400.</w:t>
      </w:r>
    </w:p>
    <w:p>
      <w:pPr>
        <w:spacing w:after="0" w:line="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A1/A, BBB, FDIC insured or better; A1/P1 or better for commercial paper, and MIG 1/S, P/1 or better for municipal debt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w:t>
      </w:r>
    </w:p>
    <w:p>
      <w:pPr>
        <w:spacing w:after="0" w:line="6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64"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225" w:lineRule="exact"/>
        <w:rPr>
          <w:rFonts w:ascii="Arial" w:cs="Arial" w:eastAsia="Arial" w:hAnsi="Arial"/>
          <w:sz w:val="18"/>
          <w:szCs w:val="18"/>
          <w:color w:val="auto"/>
        </w:rPr>
      </w:pPr>
    </w:p>
    <w:p>
      <w:pPr>
        <w:ind w:left="660" w:right="1240"/>
        <w:spacing w:after="0" w:line="501" w:lineRule="auto"/>
        <w:rPr>
          <w:rFonts w:ascii="Arial" w:cs="Arial" w:eastAsia="Arial" w:hAnsi="Arial"/>
          <w:sz w:val="18"/>
          <w:szCs w:val="18"/>
          <w:color w:val="auto"/>
        </w:rPr>
      </w:pPr>
      <w:r>
        <w:rPr>
          <w:rFonts w:ascii="Arial" w:cs="Arial" w:eastAsia="Arial" w:hAnsi="Arial"/>
          <w:sz w:val="18"/>
          <w:szCs w:val="18"/>
          <w:color w:val="auto"/>
        </w:rPr>
        <w:t>32.2 — Certification Pursuant to 18 U.S.C. Section 1350, as Adopted Pursuant to Section 906 of the Sarbanes-Oxley Act of 2002 101.1 INS* — XBRL Instance Document</w:t>
      </w:r>
    </w:p>
    <w:p>
      <w:pPr>
        <w:ind w:left="660"/>
        <w:spacing w:after="0"/>
        <w:rPr>
          <w:rFonts w:ascii="Arial" w:cs="Arial" w:eastAsia="Arial" w:hAnsi="Arial"/>
          <w:sz w:val="18"/>
          <w:szCs w:val="18"/>
          <w:color w:val="auto"/>
        </w:rPr>
      </w:pPr>
      <w:r>
        <w:rPr>
          <w:rFonts w:ascii="Arial" w:cs="Arial" w:eastAsia="Arial" w:hAnsi="Arial"/>
          <w:sz w:val="18"/>
          <w:szCs w:val="18"/>
          <w:color w:val="auto"/>
        </w:rPr>
        <w:t>101.1 SCH* — XBRL Taxonomy Extension Schema</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101.1 CAL* — XBRL Taxonomy Extension Calculation Linkbase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101.1 DEF* — XBRL Taxonomy Extension Definition Linkbase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101.1 LAB* — XBRL Taxonomy Extension Label Linkbase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101.1 PRE* —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220" w:hanging="202"/>
        <w:spacing w:after="0" w:line="277" w:lineRule="auto"/>
        <w:rPr>
          <w:sz w:val="20"/>
          <w:szCs w:val="20"/>
          <w:color w:val="auto"/>
        </w:rPr>
      </w:pPr>
      <w:r>
        <w:rPr>
          <w:rFonts w:ascii="Arial" w:cs="Arial" w:eastAsia="Arial" w:hAnsi="Arial"/>
          <w:sz w:val="18"/>
          <w:szCs w:val="18"/>
          <w:color w:val="auto"/>
        </w:rPr>
        <w:t>*- The XBRL-related information in Exhibit No. 101 to this Quarterly Report on Form 10-Q is furnished and not filed for purposes of Sections 11 and 12 of the Securities Act of 1933 and Section 18 of the Securities Exchange Act of 1934.</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October 31, 2011</w:t>
            </w: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300" w:type="dxa"/>
            <w:vAlign w:val="bottom"/>
          </w:tcPr>
          <w:p>
            <w:pPr>
              <w:spacing w:after="0"/>
              <w:rPr>
                <w:sz w:val="24"/>
                <w:szCs w:val="24"/>
                <w:color w:val="auto"/>
              </w:rPr>
            </w:pPr>
          </w:p>
        </w:tc>
        <w:tc>
          <w:tcPr>
            <w:tcW w:w="6440" w:type="dxa"/>
            <w:vAlign w:val="bottom"/>
            <w:gridSpan w:val="2"/>
          </w:tcPr>
          <w:p>
            <w:pPr>
              <w:jc w:val="right"/>
              <w:ind w:right="3850"/>
              <w:spacing w:after="0"/>
              <w:rPr>
                <w:sz w:val="20"/>
                <w:szCs w:val="20"/>
                <w:color w:val="auto"/>
              </w:rPr>
            </w:pPr>
            <w:r>
              <w:rPr>
                <w:rFonts w:ascii="Arial" w:cs="Arial" w:eastAsia="Arial" w:hAnsi="Arial"/>
                <w:sz w:val="18"/>
                <w:szCs w:val="18"/>
                <w:color w:val="auto"/>
              </w:rPr>
              <w:t>18</w:t>
            </w:r>
          </w:p>
        </w:tc>
        <w:tc>
          <w:tcPr>
            <w:tcW w:w="168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HEALTHSTREAM, INC.</w:t>
      </w:r>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32.1 Certification Pursuant to 18 U.S.C. Section 1350, as Adopted Pursuant to Section 906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32.2 Certification Pursuant to 18 U.S.C. Section 1350, as Adopted Pursuant to Section 906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101.1 INS* 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101.1 SCH* 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101.1 CAL* XBRL Taxonomy Extension Calculation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101.1 DEF* XBRL Taxonomy Extension Definition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101.1 LAB* XBRL Taxonomy Extension Label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101.1 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220" w:hanging="202"/>
        <w:spacing w:after="0" w:line="277" w:lineRule="auto"/>
        <w:rPr>
          <w:sz w:val="20"/>
          <w:szCs w:val="20"/>
          <w:color w:val="auto"/>
        </w:rPr>
      </w:pPr>
      <w:r>
        <w:rPr>
          <w:rFonts w:ascii="Arial" w:cs="Arial" w:eastAsia="Arial" w:hAnsi="Arial"/>
          <w:sz w:val="18"/>
          <w:szCs w:val="18"/>
          <w:color w:val="auto"/>
        </w:rPr>
        <w:t>*- The XBRL-related information in Exhibit No.101 to this Quarterly Report on Form 10-Q is furnished and not filed for purposes of Sections 11 and 12 of the Securities Act of 1933 and Section 18 of the Securities Exchange Act of 1934.</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19" w:right="4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31,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October 31,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2011,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p>
      <w:pPr>
        <w:sectPr>
          <w:pgSz w:w="11900" w:h="16838" w:orient="portrait"/>
          <w:cols w:equalWidth="0" w:num="1">
            <w:col w:w="11380"/>
          </w:cols>
          <w:pgMar w:left="240" w:top="125" w:right="27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2011,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2019-12-10T19:11:28Z</dcterms:created>
  <dcterms:modified xsi:type="dcterms:W3CDTF">2019-12-10T19:11:28Z</dcterms:modified>
</cp:coreProperties>
</file>