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40" w:lineRule="exact"/>
        <w:rPr>
          <w:sz w:val="24"/>
          <w:szCs w:val="24"/>
          <w:color w:val="auto"/>
        </w:rPr>
      </w:pPr>
    </w:p>
    <w:p>
      <w:pPr>
        <w:ind w:left="3680" w:right="2820" w:hanging="3672"/>
        <w:spacing w:after="0" w:line="439" w:lineRule="auto"/>
        <w:tabs>
          <w:tab w:leader="none" w:pos="67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151"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000-27701</w:t>
      </w:r>
    </w:p>
    <w:p>
      <w:pPr>
        <w:spacing w:after="0" w:line="118" w:lineRule="exact"/>
        <w:rPr>
          <w:sz w:val="24"/>
          <w:szCs w:val="24"/>
          <w:color w:val="auto"/>
        </w:rPr>
      </w:pPr>
    </w:p>
    <w:tbl>
      <w:tblPr>
        <w:tblLayout w:type="fixed"/>
        <w:tblInd w:w="1680" w:type="dxa"/>
        <w:tblCellMar>
          <w:top w:w="0" w:type="dxa"/>
          <w:left w:w="0" w:type="dxa"/>
          <w:bottom w:w="0" w:type="dxa"/>
          <w:right w:w="0" w:type="dxa"/>
        </w:tblCellMar>
      </w:tblPr>
      <w:tr>
        <w:trPr>
          <w:trHeight w:val="309"/>
        </w:trPr>
        <w:tc>
          <w:tcPr>
            <w:tcW w:w="2520" w:type="dxa"/>
            <w:vAlign w:val="bottom"/>
          </w:tcPr>
          <w:p>
            <w:pPr>
              <w:spacing w:after="0"/>
              <w:rPr>
                <w:sz w:val="24"/>
                <w:szCs w:val="24"/>
                <w:color w:val="auto"/>
              </w:rPr>
            </w:pPr>
          </w:p>
        </w:tc>
        <w:tc>
          <w:tcPr>
            <w:tcW w:w="5420" w:type="dxa"/>
            <w:vAlign w:val="bottom"/>
          </w:tcPr>
          <w:p>
            <w:pPr>
              <w:ind w:left="120"/>
              <w:spacing w:after="0"/>
              <w:rPr>
                <w:sz w:val="20"/>
                <w:szCs w:val="20"/>
                <w:color w:val="auto"/>
              </w:rPr>
            </w:pPr>
            <w:r>
              <w:rPr>
                <w:rFonts w:ascii="Arial" w:cs="Arial" w:eastAsia="Arial" w:hAnsi="Arial"/>
                <w:sz w:val="25"/>
                <w:szCs w:val="25"/>
                <w:b w:val="1"/>
                <w:bCs w:val="1"/>
                <w:color w:val="auto"/>
              </w:rPr>
              <w:t>HEALTHSTREAM, INC.</w:t>
            </w:r>
          </w:p>
        </w:tc>
      </w:tr>
      <w:tr>
        <w:trPr>
          <w:trHeight w:val="172"/>
        </w:trPr>
        <w:tc>
          <w:tcPr>
            <w:tcW w:w="25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i w:val="1"/>
                <w:iCs w:val="1"/>
                <w:color w:val="auto"/>
              </w:rPr>
              <w:t>(Exact name of registrant as specified in its charter)</w:t>
            </w:r>
          </w:p>
        </w:tc>
      </w:tr>
      <w:tr>
        <w:trPr>
          <w:trHeight w:val="300"/>
        </w:trPr>
        <w:tc>
          <w:tcPr>
            <w:tcW w:w="2520" w:type="dxa"/>
            <w:vAlign w:val="bottom"/>
          </w:tcPr>
          <w:p>
            <w:pPr>
              <w:jc w:val="center"/>
              <w:ind w:right="23"/>
              <w:spacing w:after="0"/>
              <w:rPr>
                <w:sz w:val="20"/>
                <w:szCs w:val="20"/>
                <w:color w:val="auto"/>
              </w:rPr>
            </w:pPr>
            <w:r>
              <w:rPr>
                <w:rFonts w:ascii="Arial" w:cs="Arial" w:eastAsia="Arial" w:hAnsi="Arial"/>
                <w:sz w:val="17"/>
                <w:szCs w:val="17"/>
                <w:b w:val="1"/>
                <w:bCs w:val="1"/>
                <w:color w:val="auto"/>
                <w:w w:val="84"/>
              </w:rPr>
              <w:t>Tennessee</w:t>
            </w:r>
          </w:p>
        </w:tc>
        <w:tc>
          <w:tcPr>
            <w:tcW w:w="5420" w:type="dxa"/>
            <w:vAlign w:val="bottom"/>
          </w:tcPr>
          <w:p>
            <w:pPr>
              <w:jc w:val="right"/>
              <w:ind w:right="477"/>
              <w:spacing w:after="0"/>
              <w:rPr>
                <w:sz w:val="20"/>
                <w:szCs w:val="20"/>
                <w:color w:val="auto"/>
              </w:rPr>
            </w:pPr>
            <w:r>
              <w:rPr>
                <w:rFonts w:ascii="Arial" w:cs="Arial" w:eastAsia="Arial" w:hAnsi="Arial"/>
                <w:sz w:val="17"/>
                <w:szCs w:val="17"/>
                <w:b w:val="1"/>
                <w:bCs w:val="1"/>
                <w:color w:val="auto"/>
              </w:rPr>
              <w:t>62-1443555</w:t>
            </w:r>
          </w:p>
        </w:tc>
      </w:tr>
      <w:tr>
        <w:trPr>
          <w:trHeight w:val="149"/>
        </w:trPr>
        <w:tc>
          <w:tcPr>
            <w:tcW w:w="2520" w:type="dxa"/>
            <w:vAlign w:val="bottom"/>
          </w:tcPr>
          <w:p>
            <w:pPr>
              <w:jc w:val="center"/>
              <w:ind w:right="23"/>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5420" w:type="dxa"/>
            <w:vAlign w:val="bottom"/>
          </w:tcPr>
          <w:p>
            <w:pPr>
              <w:jc w:val="center"/>
              <w:ind w:left="3397"/>
              <w:spacing w:after="0" w:line="149" w:lineRule="exact"/>
              <w:rPr>
                <w:sz w:val="20"/>
                <w:szCs w:val="20"/>
                <w:color w:val="auto"/>
              </w:rPr>
            </w:pPr>
            <w:r>
              <w:rPr>
                <w:rFonts w:ascii="Arial" w:cs="Arial" w:eastAsia="Arial" w:hAnsi="Arial"/>
                <w:sz w:val="14"/>
                <w:szCs w:val="14"/>
                <w:i w:val="1"/>
                <w:iCs w:val="1"/>
                <w:color w:val="auto"/>
                <w:w w:val="89"/>
              </w:rPr>
              <w:t>(I.R.S. Employer Identification No.)</w:t>
            </w:r>
          </w:p>
        </w:tc>
      </w:tr>
      <w:tr>
        <w:trPr>
          <w:trHeight w:val="172"/>
        </w:trPr>
        <w:tc>
          <w:tcPr>
            <w:tcW w:w="2520" w:type="dxa"/>
            <w:vAlign w:val="bottom"/>
          </w:tcPr>
          <w:p>
            <w:pPr>
              <w:jc w:val="center"/>
              <w:ind w:right="23"/>
              <w:spacing w:after="0"/>
              <w:rPr>
                <w:sz w:val="20"/>
                <w:szCs w:val="20"/>
                <w:color w:val="auto"/>
              </w:rPr>
            </w:pPr>
            <w:r>
              <w:rPr>
                <w:rFonts w:ascii="Arial" w:cs="Arial" w:eastAsia="Arial" w:hAnsi="Arial"/>
                <w:sz w:val="14"/>
                <w:szCs w:val="14"/>
                <w:i w:val="1"/>
                <w:iCs w:val="1"/>
                <w:color w:val="auto"/>
                <w:w w:val="91"/>
              </w:rPr>
              <w:t>incorporation or organization)</w:t>
            </w:r>
          </w:p>
        </w:tc>
        <w:tc>
          <w:tcPr>
            <w:tcW w:w="5420" w:type="dxa"/>
            <w:vAlign w:val="bottom"/>
          </w:tcPr>
          <w:p>
            <w:pPr>
              <w:spacing w:after="0"/>
              <w:rPr>
                <w:sz w:val="14"/>
                <w:szCs w:val="14"/>
                <w:color w:val="auto"/>
              </w:rPr>
            </w:pPr>
          </w:p>
        </w:tc>
      </w:tr>
      <w:tr>
        <w:trPr>
          <w:trHeight w:val="274"/>
        </w:trPr>
        <w:tc>
          <w:tcPr>
            <w:tcW w:w="2520" w:type="dxa"/>
            <w:vAlign w:val="bottom"/>
          </w:tcPr>
          <w:p>
            <w:pPr>
              <w:jc w:val="center"/>
              <w:ind w:right="23"/>
              <w:spacing w:after="0"/>
              <w:rPr>
                <w:sz w:val="20"/>
                <w:szCs w:val="20"/>
                <w:color w:val="auto"/>
              </w:rPr>
            </w:pPr>
            <w:r>
              <w:rPr>
                <w:rFonts w:ascii="Arial" w:cs="Arial" w:eastAsia="Arial" w:hAnsi="Arial"/>
                <w:sz w:val="17"/>
                <w:szCs w:val="17"/>
                <w:b w:val="1"/>
                <w:bCs w:val="1"/>
                <w:color w:val="auto"/>
                <w:w w:val="89"/>
              </w:rPr>
              <w:t>209 10th Avenue South, Suite 450</w:t>
            </w:r>
          </w:p>
        </w:tc>
        <w:tc>
          <w:tcPr>
            <w:tcW w:w="5420" w:type="dxa"/>
            <w:vAlign w:val="bottom"/>
          </w:tcPr>
          <w:p>
            <w:pPr>
              <w:jc w:val="right"/>
              <w:ind w:right="677"/>
              <w:spacing w:after="0"/>
              <w:rPr>
                <w:sz w:val="20"/>
                <w:szCs w:val="20"/>
                <w:color w:val="auto"/>
              </w:rPr>
            </w:pPr>
            <w:r>
              <w:rPr>
                <w:rFonts w:ascii="Arial" w:cs="Arial" w:eastAsia="Arial" w:hAnsi="Arial"/>
                <w:sz w:val="17"/>
                <w:szCs w:val="17"/>
                <w:b w:val="1"/>
                <w:bCs w:val="1"/>
                <w:color w:val="auto"/>
              </w:rPr>
              <w:t>37203</w:t>
            </w:r>
          </w:p>
        </w:tc>
      </w:tr>
      <w:tr>
        <w:trPr>
          <w:trHeight w:val="216"/>
        </w:trPr>
        <w:tc>
          <w:tcPr>
            <w:tcW w:w="2520" w:type="dxa"/>
            <w:vAlign w:val="bottom"/>
          </w:tcPr>
          <w:p>
            <w:pPr>
              <w:jc w:val="center"/>
              <w:ind w:right="23"/>
              <w:spacing w:after="0"/>
              <w:rPr>
                <w:sz w:val="20"/>
                <w:szCs w:val="20"/>
                <w:color w:val="auto"/>
              </w:rPr>
            </w:pPr>
            <w:r>
              <w:rPr>
                <w:rFonts w:ascii="Arial" w:cs="Arial" w:eastAsia="Arial" w:hAnsi="Arial"/>
                <w:sz w:val="17"/>
                <w:szCs w:val="17"/>
                <w:b w:val="1"/>
                <w:bCs w:val="1"/>
                <w:color w:val="auto"/>
                <w:w w:val="87"/>
              </w:rPr>
              <w:t>Nashville, Tennessee</w:t>
            </w:r>
          </w:p>
        </w:tc>
        <w:tc>
          <w:tcPr>
            <w:tcW w:w="5420" w:type="dxa"/>
            <w:vAlign w:val="bottom"/>
          </w:tcPr>
          <w:p>
            <w:pPr>
              <w:jc w:val="center"/>
              <w:ind w:left="3397"/>
              <w:spacing w:after="0"/>
              <w:rPr>
                <w:sz w:val="20"/>
                <w:szCs w:val="20"/>
                <w:color w:val="auto"/>
              </w:rPr>
            </w:pPr>
            <w:r>
              <w:rPr>
                <w:rFonts w:ascii="Arial" w:cs="Arial" w:eastAsia="Arial" w:hAnsi="Arial"/>
                <w:sz w:val="14"/>
                <w:szCs w:val="14"/>
                <w:i w:val="1"/>
                <w:iCs w:val="1"/>
                <w:color w:val="auto"/>
                <w:w w:val="87"/>
              </w:rPr>
              <w:t>(Zip Code)</w:t>
            </w:r>
          </w:p>
        </w:tc>
      </w:tr>
      <w:tr>
        <w:trPr>
          <w:trHeight w:val="172"/>
        </w:trPr>
        <w:tc>
          <w:tcPr>
            <w:tcW w:w="2520" w:type="dxa"/>
            <w:vAlign w:val="bottom"/>
          </w:tcPr>
          <w:p>
            <w:pPr>
              <w:jc w:val="center"/>
              <w:ind w:right="23"/>
              <w:spacing w:after="0"/>
              <w:rPr>
                <w:sz w:val="20"/>
                <w:szCs w:val="20"/>
                <w:color w:val="auto"/>
              </w:rPr>
            </w:pPr>
            <w:r>
              <w:rPr>
                <w:rFonts w:ascii="Arial" w:cs="Arial" w:eastAsia="Arial" w:hAnsi="Arial"/>
                <w:sz w:val="14"/>
                <w:szCs w:val="14"/>
                <w:i w:val="1"/>
                <w:iCs w:val="1"/>
                <w:color w:val="auto"/>
                <w:w w:val="87"/>
              </w:rPr>
              <w:t>(Address of principal executive offices)</w:t>
            </w:r>
          </w:p>
        </w:tc>
        <w:tc>
          <w:tcPr>
            <w:tcW w:w="5420" w:type="dxa"/>
            <w:vAlign w:val="bottom"/>
          </w:tcPr>
          <w:p>
            <w:pPr>
              <w:spacing w:after="0"/>
              <w:rPr>
                <w:sz w:val="14"/>
                <w:szCs w:val="14"/>
                <w:color w:val="auto"/>
              </w:rPr>
            </w:pPr>
          </w:p>
        </w:tc>
      </w:tr>
    </w:tbl>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(615) 301-3100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(Registrant’s telephone number, including area code)</w:t>
      </w: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4" w:lineRule="exact"/>
        <w:rPr>
          <w:sz w:val="24"/>
          <w:szCs w:val="24"/>
          <w:color w:val="auto"/>
        </w:rPr>
      </w:pPr>
    </w:p>
    <w:tbl>
      <w:tblPr>
        <w:tblLayout w:type="fixed"/>
        <w:tblInd w:w="194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4960" w:type="dxa"/>
            <w:vAlign w:val="bottom"/>
            <w:gridSpan w:val="2"/>
          </w:tcPr>
          <w:p>
            <w:pPr>
              <w:jc w:val="center"/>
              <w:ind w:right="3800"/>
              <w:spacing w:after="0"/>
              <w:rPr>
                <w:sz w:val="20"/>
                <w:szCs w:val="20"/>
                <w:color w:val="auto"/>
              </w:rPr>
            </w:pPr>
            <w:r>
              <w:rPr>
                <w:rFonts w:ascii="Arial" w:cs="Arial" w:eastAsia="Arial" w:hAnsi="Arial"/>
                <w:sz w:val="16"/>
                <w:szCs w:val="16"/>
                <w:color w:val="auto"/>
                <w:w w:val="90"/>
              </w:rPr>
              <w:t>Title of each class</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17"/>
        </w:trPr>
        <w:tc>
          <w:tcPr>
            <w:tcW w:w="5360" w:type="dxa"/>
            <w:vAlign w:val="bottom"/>
            <w:gridSpan w:val="3"/>
          </w:tcPr>
          <w:p>
            <w:pPr>
              <w:jc w:val="center"/>
              <w:ind w:right="3400"/>
              <w:spacing w:after="0"/>
              <w:rPr>
                <w:sz w:val="20"/>
                <w:szCs w:val="20"/>
                <w:color w:val="auto"/>
              </w:rPr>
            </w:pPr>
            <w:r>
              <w:rPr>
                <w:rFonts w:ascii="Arial" w:cs="Arial" w:eastAsia="Arial" w:hAnsi="Arial"/>
                <w:sz w:val="16"/>
                <w:szCs w:val="16"/>
                <w:color w:val="auto"/>
                <w:w w:val="91"/>
              </w:rPr>
              <w:t>Common Stock, No Par Value</w:t>
            </w: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100"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11" w:lineRule="exact"/>
        <w:rPr>
          <w:sz w:val="24"/>
          <w:szCs w:val="24"/>
          <w:color w:val="auto"/>
        </w:rPr>
      </w:pPr>
    </w:p>
    <w:p>
      <w:pPr>
        <w:ind w:right="3400"/>
        <w:spacing w:after="0" w:line="26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of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p>
      <w:pPr>
        <w:spacing w:after="0" w:line="173" w:lineRule="exact"/>
        <w:tabs>
          <w:tab w:leader="none" w:pos="2300" w:val="left"/>
          <w:tab w:leader="none" w:pos="4300" w:val="left"/>
          <w:tab w:leader="none" w:pos="656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41"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jc w:val="both"/>
        <w:spacing w:after="0"/>
        <w:rPr>
          <w:sz w:val="20"/>
          <w:szCs w:val="20"/>
          <w:color w:val="auto"/>
        </w:rPr>
      </w:pPr>
      <w:r>
        <w:rPr>
          <w:rFonts w:ascii="Arial" w:cs="Arial" w:eastAsia="Arial" w:hAnsi="Arial"/>
          <w:sz w:val="15"/>
          <w:szCs w:val="15"/>
          <w:color w:val="auto"/>
        </w:rPr>
        <w:t>The aggregate market value of the Common Stock issued and outstanding and held by non-affiliates of the Registrant, based upon the closing sales price for the Common Stock on the Nasdaq Global Select Market on June 30, 2017 was approximately $670.9 million. All executive officers and directors of the registrant have been deemed, solely for the purpose of the foregoing calculation, to be “affiliates” of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22, 2018, there were 32,040,067 shares of the Registrant’s common stock outstanding.</w:t>
      </w:r>
    </w:p>
    <w:p>
      <w:pPr>
        <w:spacing w:after="0" w:line="94"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definitive Proxy Statement for its 2018 Annual Meeting of Shareholders are incorporated by reference into Part III hereof.</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0" w:type="dxa"/>
            <w:vAlign w:val="bottom"/>
            <w:gridSpan w:val="6"/>
          </w:tcPr>
          <w:p>
            <w:pPr>
              <w:jc w:val="center"/>
              <w:ind w:right="4300"/>
              <w:spacing w:after="0"/>
              <w:rPr>
                <w:sz w:val="20"/>
                <w:szCs w:val="20"/>
                <w:color w:val="auto"/>
              </w:rPr>
            </w:pPr>
            <w:r>
              <w:rPr>
                <w:rFonts w:ascii="Arial" w:cs="Arial" w:eastAsia="Arial" w:hAnsi="Arial"/>
                <w:sz w:val="17"/>
                <w:szCs w:val="17"/>
                <w:b w:val="1"/>
                <w:bCs w:val="1"/>
                <w:color w:val="auto"/>
              </w:rPr>
              <w:t>HEALTHSTREAM, INC.</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0" w:type="dxa"/>
            <w:vAlign w:val="bottom"/>
            <w:gridSpan w:val="6"/>
          </w:tcPr>
          <w:p>
            <w:pPr>
              <w:jc w:val="center"/>
              <w:ind w:right="4300"/>
              <w:spacing w:after="0"/>
              <w:rPr>
                <w:sz w:val="20"/>
                <w:szCs w:val="20"/>
                <w:color w:val="auto"/>
              </w:rPr>
            </w:pPr>
            <w:r>
              <w:rPr>
                <w:rFonts w:ascii="Arial" w:cs="Arial" w:eastAsia="Arial" w:hAnsi="Arial"/>
                <w:sz w:val="17"/>
                <w:szCs w:val="17"/>
                <w:b w:val="1"/>
                <w:bCs w:val="1"/>
                <w:color w:val="auto"/>
                <w:w w:val="99"/>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80" w:type="dxa"/>
            <w:vAlign w:val="bottom"/>
            <w:gridSpan w:val="7"/>
          </w:tcPr>
          <w:p>
            <w:pPr>
              <w:jc w:val="center"/>
              <w:ind w:right="3620"/>
              <w:spacing w:after="0"/>
              <w:rPr>
                <w:sz w:val="20"/>
                <w:szCs w:val="20"/>
                <w:color w:val="auto"/>
              </w:rPr>
            </w:pPr>
            <w:r>
              <w:rPr>
                <w:rFonts w:ascii="Arial" w:cs="Arial" w:eastAsia="Arial" w:hAnsi="Arial"/>
                <w:sz w:val="17"/>
                <w:szCs w:val="17"/>
                <w:b w:val="1"/>
                <w:bCs w:val="1"/>
                <w:color w:val="auto"/>
              </w:rPr>
              <w:t>ANNUAL REPORT ON FORM 10-K</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20" w:type="dxa"/>
            <w:vAlign w:val="bottom"/>
            <w:vMerge w:val="restart"/>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PART I</w:t>
              </w:r>
            </w:hyperlink>
          </w:p>
        </w:tc>
        <w:tc>
          <w:tcPr>
            <w:tcW w:w="260" w:type="dxa"/>
            <w:vAlign w:val="bottom"/>
            <w:gridSpan w:val="3"/>
            <w:vMerge w:val="restart"/>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47"/>
        </w:trPr>
        <w:tc>
          <w:tcPr>
            <w:tcW w:w="520" w:type="dxa"/>
            <w:vAlign w:val="bottom"/>
            <w:tcBorders>
              <w:bottom w:val="single" w:sz="8" w:color="0000EE"/>
            </w:tcBorders>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w:t>
            </w:r>
          </w:p>
        </w:tc>
        <w:tc>
          <w:tcPr>
            <w:tcW w:w="10280" w:type="dxa"/>
            <w:vAlign w:val="bottom"/>
            <w:gridSpan w:val="20"/>
          </w:tcPr>
          <w:p>
            <w:pPr>
              <w:spacing w:after="0" w:line="183" w:lineRule="exact"/>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4"/>
          </w:tcPr>
          <w:p>
            <w:pPr>
              <w:spacing w:after="0" w:line="183" w:lineRule="exact"/>
              <w:rPr>
                <w:rFonts w:ascii="Arial" w:cs="Arial" w:eastAsia="Arial" w:hAnsi="Arial"/>
                <w:sz w:val="17"/>
                <w:szCs w:val="17"/>
                <w:color w:val="0000EE"/>
                <w:w w:val="88"/>
              </w:rPr>
            </w:pPr>
            <w:hyperlink w:anchor="page12">
              <w:r>
                <w:rPr>
                  <w:rFonts w:ascii="Arial" w:cs="Arial" w:eastAsia="Arial" w:hAnsi="Arial"/>
                  <w:sz w:val="17"/>
                  <w:szCs w:val="17"/>
                  <w:color w:val="0000EE"/>
                  <w:w w:val="88"/>
                </w:rPr>
                <w:t>Risk Factors</w:t>
              </w:r>
            </w:hyperlink>
          </w:p>
        </w:tc>
        <w:tc>
          <w:tcPr>
            <w:tcW w:w="9420" w:type="dxa"/>
            <w:vAlign w:val="bottom"/>
            <w:gridSpan w:val="16"/>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1B.</w:t>
            </w:r>
          </w:p>
        </w:tc>
        <w:tc>
          <w:tcPr>
            <w:tcW w:w="10280" w:type="dxa"/>
            <w:vAlign w:val="bottom"/>
            <w:gridSpan w:val="20"/>
          </w:tcPr>
          <w:p>
            <w:pPr>
              <w:spacing w:after="0" w:line="183" w:lineRule="exact"/>
              <w:rPr>
                <w:rFonts w:ascii="Arial" w:cs="Arial" w:eastAsia="Arial" w:hAnsi="Arial"/>
                <w:sz w:val="17"/>
                <w:szCs w:val="17"/>
                <w:color w:val="0000EE"/>
              </w:rPr>
            </w:pPr>
            <w:hyperlink w:anchor="page21">
              <w:r>
                <w:rPr>
                  <w:rFonts w:ascii="Arial" w:cs="Arial" w:eastAsia="Arial" w:hAnsi="Arial"/>
                  <w:sz w:val="17"/>
                  <w:szCs w:val="17"/>
                  <w:color w:val="0000EE"/>
                </w:rPr>
                <w:t>Unresolved Staff Comments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line="183" w:lineRule="exact"/>
              <w:rPr>
                <w:rFonts w:ascii="Arial" w:cs="Arial" w:eastAsia="Arial" w:hAnsi="Arial"/>
                <w:sz w:val="17"/>
                <w:szCs w:val="17"/>
                <w:color w:val="0000EE"/>
                <w:w w:val="87"/>
              </w:rPr>
            </w:pPr>
            <w:hyperlink w:anchor="page21">
              <w:r>
                <w:rPr>
                  <w:rFonts w:ascii="Arial" w:cs="Arial" w:eastAsia="Arial" w:hAnsi="Arial"/>
                  <w:sz w:val="17"/>
                  <w:szCs w:val="17"/>
                  <w:color w:val="0000EE"/>
                  <w:w w:val="87"/>
                </w:rPr>
                <w:t>Properties</w:t>
              </w:r>
            </w:hyperlink>
          </w:p>
        </w:tc>
        <w:tc>
          <w:tcPr>
            <w:tcW w:w="1240" w:type="dxa"/>
            <w:vAlign w:val="bottom"/>
            <w:tcBorders>
              <w:top w:val="single" w:sz="8" w:color="0000EE"/>
            </w:tcBorders>
            <w:gridSpan w:val="8"/>
          </w:tcPr>
          <w:p>
            <w:pPr>
              <w:spacing w:after="0"/>
              <w:rPr>
                <w:sz w:val="15"/>
                <w:szCs w:val="15"/>
                <w:color w:val="auto"/>
              </w:rPr>
            </w:pPr>
          </w:p>
        </w:tc>
        <w:tc>
          <w:tcPr>
            <w:tcW w:w="8340" w:type="dxa"/>
            <w:vAlign w:val="bottom"/>
            <w:gridSpan w:val="10"/>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3.</w:t>
            </w:r>
          </w:p>
        </w:tc>
        <w:tc>
          <w:tcPr>
            <w:tcW w:w="10280" w:type="dxa"/>
            <w:vAlign w:val="bottom"/>
            <w:gridSpan w:val="20"/>
          </w:tcPr>
          <w:p>
            <w:pPr>
              <w:spacing w:after="0" w:line="183" w:lineRule="exact"/>
              <w:rPr>
                <w:rFonts w:ascii="Arial" w:cs="Arial" w:eastAsia="Arial" w:hAnsi="Arial"/>
                <w:sz w:val="17"/>
                <w:szCs w:val="17"/>
                <w:color w:val="0000EE"/>
              </w:rPr>
            </w:pPr>
            <w:hyperlink w:anchor="page21">
              <w:r>
                <w:rPr>
                  <w:rFonts w:ascii="Arial" w:cs="Arial" w:eastAsia="Arial" w:hAnsi="Arial"/>
                  <w:sz w:val="17"/>
                  <w:szCs w:val="17"/>
                  <w:color w:val="0000EE"/>
                </w:rPr>
                <w:t>Legal Proceedings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4.</w:t>
            </w:r>
          </w:p>
        </w:tc>
        <w:tc>
          <w:tcPr>
            <w:tcW w:w="10280" w:type="dxa"/>
            <w:vAlign w:val="bottom"/>
            <w:gridSpan w:val="20"/>
          </w:tcPr>
          <w:p>
            <w:pPr>
              <w:spacing w:after="0" w:line="183" w:lineRule="exact"/>
              <w:rPr>
                <w:rFonts w:ascii="Arial" w:cs="Arial" w:eastAsia="Arial" w:hAnsi="Arial"/>
                <w:sz w:val="17"/>
                <w:szCs w:val="17"/>
                <w:color w:val="0000EE"/>
              </w:rPr>
            </w:pPr>
            <w:hyperlink w:anchor="page21">
              <w:r>
                <w:rPr>
                  <w:rFonts w:ascii="Arial" w:cs="Arial" w:eastAsia="Arial" w:hAnsi="Arial"/>
                  <w:sz w:val="17"/>
                  <w:szCs w:val="17"/>
                  <w:color w:val="0000EE"/>
                </w:rPr>
                <w:t>Mine Safety Disclosures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18"/>
        </w:trPr>
        <w:tc>
          <w:tcPr>
            <w:tcW w:w="58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22">
              <w:r>
                <w:rPr>
                  <w:rFonts w:ascii="Arial" w:cs="Arial" w:eastAsia="Arial" w:hAnsi="Arial"/>
                  <w:sz w:val="17"/>
                  <w:szCs w:val="17"/>
                  <w:color w:val="0000EE"/>
                  <w:w w:val="94"/>
                </w:rPr>
                <w:t>PART II</w:t>
              </w:r>
            </w:hyperlink>
          </w:p>
        </w:tc>
        <w:tc>
          <w:tcPr>
            <w:tcW w:w="2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5.</w:t>
            </w:r>
          </w:p>
        </w:tc>
        <w:tc>
          <w:tcPr>
            <w:tcW w:w="10280" w:type="dxa"/>
            <w:vAlign w:val="bottom"/>
            <w:gridSpan w:val="20"/>
          </w:tcPr>
          <w:p>
            <w:pPr>
              <w:spacing w:after="0" w:line="183" w:lineRule="exact"/>
              <w:rPr>
                <w:rFonts w:ascii="Arial" w:cs="Arial" w:eastAsia="Arial" w:hAnsi="Arial"/>
                <w:sz w:val="17"/>
                <w:szCs w:val="17"/>
                <w:color w:val="0000EE"/>
              </w:rPr>
            </w:pPr>
            <w:hyperlink w:anchor="page22">
              <w:r>
                <w:rPr>
                  <w:rFonts w:ascii="Arial" w:cs="Arial" w:eastAsia="Arial" w:hAnsi="Arial"/>
                  <w:sz w:val="17"/>
                  <w:szCs w:val="17"/>
                  <w:color w:val="0000EE"/>
                </w:rPr>
                <w:t>Market for Registrant’s Common Equity, Related Stockholder Matters and Issuer Purchases of Equity Securities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6.</w:t>
            </w:r>
          </w:p>
        </w:tc>
        <w:tc>
          <w:tcPr>
            <w:tcW w:w="7660" w:type="dxa"/>
            <w:vAlign w:val="bottom"/>
            <w:tcBorders>
              <w:top w:val="single" w:sz="8" w:color="0000EE"/>
            </w:tcBorders>
            <w:gridSpan w:val="19"/>
          </w:tcPr>
          <w:p>
            <w:pPr>
              <w:spacing w:after="0" w:line="183" w:lineRule="exact"/>
              <w:rPr>
                <w:rFonts w:ascii="Arial" w:cs="Arial" w:eastAsia="Arial" w:hAnsi="Arial"/>
                <w:sz w:val="17"/>
                <w:szCs w:val="17"/>
                <w:color w:val="0000EE"/>
              </w:rPr>
            </w:pPr>
            <w:hyperlink w:anchor="page24">
              <w:r>
                <w:rPr>
                  <w:rFonts w:ascii="Arial" w:cs="Arial" w:eastAsia="Arial" w:hAnsi="Arial"/>
                  <w:sz w:val="17"/>
                  <w:szCs w:val="17"/>
                  <w:color w:val="0000EE"/>
                </w:rPr>
                <w:t>Selected Financial Data.</w:t>
              </w:r>
            </w:hyperlink>
          </w:p>
        </w:tc>
        <w:tc>
          <w:tcPr>
            <w:tcW w:w="26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7.</w:t>
            </w:r>
          </w:p>
        </w:tc>
        <w:tc>
          <w:tcPr>
            <w:tcW w:w="6140" w:type="dxa"/>
            <w:vAlign w:val="bottom"/>
            <w:tcBorders>
              <w:bottom w:val="single" w:sz="8" w:color="0000EE"/>
            </w:tcBorders>
            <w:gridSpan w:val="17"/>
          </w:tcPr>
          <w:p>
            <w:pPr>
              <w:spacing w:after="0" w:line="183" w:lineRule="exact"/>
              <w:rPr>
                <w:rFonts w:ascii="Arial" w:cs="Arial" w:eastAsia="Arial" w:hAnsi="Arial"/>
                <w:sz w:val="17"/>
                <w:szCs w:val="17"/>
                <w:color w:val="0000EE"/>
                <w:w w:val="91"/>
              </w:rPr>
            </w:pPr>
            <w:hyperlink w:anchor="page24">
              <w:r>
                <w:rPr>
                  <w:rFonts w:ascii="Arial" w:cs="Arial" w:eastAsia="Arial" w:hAnsi="Arial"/>
                  <w:sz w:val="17"/>
                  <w:szCs w:val="17"/>
                  <w:color w:val="0000EE"/>
                  <w:w w:val="91"/>
                </w:rPr>
                <w:t>Management’s Discussion and Analysis of Financial Condition and Results of Operations</w:t>
              </w:r>
            </w:hyperlink>
          </w:p>
        </w:tc>
        <w:tc>
          <w:tcPr>
            <w:tcW w:w="4140" w:type="dxa"/>
            <w:vAlign w:val="bottom"/>
            <w:gridSpan w:val="3"/>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7A.</w:t>
            </w:r>
          </w:p>
        </w:tc>
        <w:tc>
          <w:tcPr>
            <w:tcW w:w="4180" w:type="dxa"/>
            <w:vAlign w:val="bottom"/>
            <w:tcBorders>
              <w:bottom w:val="single" w:sz="8" w:color="0000EE"/>
            </w:tcBorders>
            <w:gridSpan w:val="15"/>
          </w:tcPr>
          <w:p>
            <w:pPr>
              <w:spacing w:after="0" w:line="183" w:lineRule="exact"/>
              <w:rPr>
                <w:rFonts w:ascii="Arial" w:cs="Arial" w:eastAsia="Arial" w:hAnsi="Arial"/>
                <w:sz w:val="17"/>
                <w:szCs w:val="17"/>
                <w:color w:val="0000EE"/>
                <w:w w:val="92"/>
              </w:rPr>
            </w:pPr>
            <w:hyperlink w:anchor="page36">
              <w:r>
                <w:rPr>
                  <w:rFonts w:ascii="Arial" w:cs="Arial" w:eastAsia="Arial" w:hAnsi="Arial"/>
                  <w:sz w:val="17"/>
                  <w:szCs w:val="17"/>
                  <w:color w:val="0000EE"/>
                  <w:w w:val="92"/>
                </w:rPr>
                <w:t>Quantitative and Qualitative Disclosures About Market Risk.</w:t>
              </w:r>
            </w:hyperlink>
          </w:p>
        </w:tc>
        <w:tc>
          <w:tcPr>
            <w:tcW w:w="6100" w:type="dxa"/>
            <w:vAlign w:val="bottom"/>
            <w:gridSpan w:val="5"/>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8.</w:t>
            </w:r>
          </w:p>
        </w:tc>
        <w:tc>
          <w:tcPr>
            <w:tcW w:w="10280" w:type="dxa"/>
            <w:vAlign w:val="bottom"/>
            <w:gridSpan w:val="20"/>
          </w:tcPr>
          <w:p>
            <w:pPr>
              <w:spacing w:after="0" w:line="183" w:lineRule="exact"/>
              <w:rPr>
                <w:rFonts w:ascii="Arial" w:cs="Arial" w:eastAsia="Arial" w:hAnsi="Arial"/>
                <w:sz w:val="17"/>
                <w:szCs w:val="17"/>
                <w:color w:val="0000EE"/>
              </w:rPr>
            </w:pPr>
            <w:hyperlink w:anchor="page37">
              <w:r>
                <w:rPr>
                  <w:rFonts w:ascii="Arial" w:cs="Arial" w:eastAsia="Arial" w:hAnsi="Arial"/>
                  <w:sz w:val="17"/>
                  <w:szCs w:val="17"/>
                  <w:color w:val="0000EE"/>
                </w:rPr>
                <w:t>Financial Statements and Supplementary Data.</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9.</w:t>
            </w:r>
          </w:p>
        </w:tc>
        <w:tc>
          <w:tcPr>
            <w:tcW w:w="10280" w:type="dxa"/>
            <w:vAlign w:val="bottom"/>
            <w:gridSpan w:val="20"/>
          </w:tcPr>
          <w:p>
            <w:pPr>
              <w:spacing w:after="0" w:line="183" w:lineRule="exact"/>
              <w:rPr>
                <w:rFonts w:ascii="Arial" w:cs="Arial" w:eastAsia="Arial" w:hAnsi="Arial"/>
                <w:sz w:val="17"/>
                <w:szCs w:val="17"/>
                <w:color w:val="0000EE"/>
              </w:rPr>
            </w:pPr>
            <w:hyperlink w:anchor="page64">
              <w:r>
                <w:rPr>
                  <w:rFonts w:ascii="Arial" w:cs="Arial" w:eastAsia="Arial" w:hAnsi="Arial"/>
                  <w:sz w:val="17"/>
                  <w:szCs w:val="17"/>
                  <w:color w:val="0000EE"/>
                </w:rPr>
                <w:t>Changes in and Disagreements with Accountants on Accounting and Financial Disclosure</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9A.</w:t>
            </w:r>
          </w:p>
        </w:tc>
        <w:tc>
          <w:tcPr>
            <w:tcW w:w="1680" w:type="dxa"/>
            <w:vAlign w:val="bottom"/>
            <w:tcBorders>
              <w:top w:val="single" w:sz="8" w:color="0000EE"/>
              <w:bottom w:val="single" w:sz="8" w:color="0000EE"/>
            </w:tcBorders>
            <w:gridSpan w:val="8"/>
          </w:tcPr>
          <w:p>
            <w:pPr>
              <w:spacing w:after="0" w:line="183" w:lineRule="exact"/>
              <w:rPr>
                <w:rFonts w:ascii="Arial" w:cs="Arial" w:eastAsia="Arial" w:hAnsi="Arial"/>
                <w:sz w:val="17"/>
                <w:szCs w:val="17"/>
                <w:color w:val="0000EE"/>
                <w:w w:val="88"/>
              </w:rPr>
            </w:pPr>
            <w:hyperlink w:anchor="page64">
              <w:r>
                <w:rPr>
                  <w:rFonts w:ascii="Arial" w:cs="Arial" w:eastAsia="Arial" w:hAnsi="Arial"/>
                  <w:sz w:val="17"/>
                  <w:szCs w:val="17"/>
                  <w:color w:val="0000EE"/>
                  <w:w w:val="88"/>
                </w:rPr>
                <w:t>Controls and Procedures</w:t>
              </w:r>
            </w:hyperlink>
          </w:p>
        </w:tc>
        <w:tc>
          <w:tcPr>
            <w:tcW w:w="4460" w:type="dxa"/>
            <w:vAlign w:val="bottom"/>
            <w:tcBorders>
              <w:top w:val="single" w:sz="8" w:color="0000EE"/>
            </w:tcBorders>
            <w:gridSpan w:val="9"/>
          </w:tcPr>
          <w:p>
            <w:pPr>
              <w:spacing w:after="0"/>
              <w:rPr>
                <w:sz w:val="15"/>
                <w:szCs w:val="15"/>
                <w:color w:val="auto"/>
              </w:rPr>
            </w:pPr>
          </w:p>
        </w:tc>
        <w:tc>
          <w:tcPr>
            <w:tcW w:w="4140" w:type="dxa"/>
            <w:vAlign w:val="bottom"/>
            <w:gridSpan w:val="3"/>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9B.</w:t>
            </w:r>
          </w:p>
        </w:tc>
        <w:tc>
          <w:tcPr>
            <w:tcW w:w="10280" w:type="dxa"/>
            <w:vAlign w:val="bottom"/>
            <w:gridSpan w:val="20"/>
          </w:tcPr>
          <w:p>
            <w:pPr>
              <w:spacing w:after="0" w:line="183" w:lineRule="exact"/>
              <w:rPr>
                <w:rFonts w:ascii="Arial" w:cs="Arial" w:eastAsia="Arial" w:hAnsi="Arial"/>
                <w:sz w:val="17"/>
                <w:szCs w:val="17"/>
                <w:color w:val="0000EE"/>
              </w:rPr>
            </w:pPr>
            <w:hyperlink w:anchor="page64">
              <w:r>
                <w:rPr>
                  <w:rFonts w:ascii="Arial" w:cs="Arial" w:eastAsia="Arial" w:hAnsi="Arial"/>
                  <w:sz w:val="17"/>
                  <w:szCs w:val="17"/>
                  <w:color w:val="0000EE"/>
                </w:rPr>
                <w:t>Other Information</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318"/>
        </w:trPr>
        <w:tc>
          <w:tcPr>
            <w:tcW w:w="640" w:type="dxa"/>
            <w:vAlign w:val="bottom"/>
            <w:tcBorders>
              <w:bottom w:val="single" w:sz="8" w:color="0000EE"/>
            </w:tcBorders>
            <w:gridSpan w:val="3"/>
          </w:tcPr>
          <w:p>
            <w:pPr>
              <w:spacing w:after="0"/>
              <w:rPr>
                <w:rFonts w:ascii="Arial" w:cs="Arial" w:eastAsia="Arial" w:hAnsi="Arial"/>
                <w:sz w:val="17"/>
                <w:szCs w:val="17"/>
                <w:color w:val="0000EE"/>
                <w:w w:val="96"/>
              </w:rPr>
            </w:pPr>
            <w:hyperlink w:anchor="page65">
              <w:r>
                <w:rPr>
                  <w:rFonts w:ascii="Arial" w:cs="Arial" w:eastAsia="Arial" w:hAnsi="Arial"/>
                  <w:sz w:val="17"/>
                  <w:szCs w:val="17"/>
                  <w:color w:val="0000EE"/>
                  <w:w w:val="96"/>
                </w:rPr>
                <w:t>PART III</w:t>
              </w:r>
            </w:hyperlink>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10.</w:t>
            </w:r>
          </w:p>
        </w:tc>
        <w:tc>
          <w:tcPr>
            <w:tcW w:w="10280" w:type="dxa"/>
            <w:vAlign w:val="bottom"/>
            <w:gridSpan w:val="20"/>
          </w:tcPr>
          <w:p>
            <w:pPr>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Directors, Executive Officers and Corporate Governance</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11.</w:t>
            </w:r>
          </w:p>
        </w:tc>
        <w:tc>
          <w:tcPr>
            <w:tcW w:w="1720" w:type="dxa"/>
            <w:vAlign w:val="bottom"/>
            <w:tcBorders>
              <w:top w:val="single" w:sz="8" w:color="0000EE"/>
              <w:bottom w:val="single" w:sz="8" w:color="0000EE"/>
            </w:tcBorders>
            <w:gridSpan w:val="9"/>
          </w:tcPr>
          <w:p>
            <w:pPr>
              <w:spacing w:after="0" w:line="183"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Executive Compensation</w:t>
              </w:r>
            </w:hyperlink>
          </w:p>
        </w:tc>
        <w:tc>
          <w:tcPr>
            <w:tcW w:w="2160" w:type="dxa"/>
            <w:vAlign w:val="bottom"/>
            <w:tcBorders>
              <w:top w:val="single" w:sz="8" w:color="0000EE"/>
            </w:tcBorders>
            <w:gridSpan w:val="5"/>
          </w:tcPr>
          <w:p>
            <w:pPr>
              <w:spacing w:after="0"/>
              <w:rPr>
                <w:sz w:val="15"/>
                <w:szCs w:val="15"/>
                <w:color w:val="auto"/>
              </w:rPr>
            </w:pPr>
          </w:p>
        </w:tc>
        <w:tc>
          <w:tcPr>
            <w:tcW w:w="6400" w:type="dxa"/>
            <w:vAlign w:val="bottom"/>
            <w:gridSpan w:val="6"/>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12.</w:t>
            </w:r>
          </w:p>
        </w:tc>
        <w:tc>
          <w:tcPr>
            <w:tcW w:w="10280" w:type="dxa"/>
            <w:vAlign w:val="bottom"/>
            <w:gridSpan w:val="20"/>
          </w:tcPr>
          <w:p>
            <w:pPr>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Security Ownership of Certain Beneficial Owners and Management and Related Stockholder Matters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13.</w:t>
            </w:r>
          </w:p>
        </w:tc>
        <w:tc>
          <w:tcPr>
            <w:tcW w:w="5180" w:type="dxa"/>
            <w:vAlign w:val="bottom"/>
            <w:tcBorders>
              <w:top w:val="single" w:sz="8" w:color="0000EE"/>
              <w:bottom w:val="single" w:sz="8" w:color="0000EE"/>
            </w:tcBorders>
            <w:gridSpan w:val="16"/>
          </w:tcPr>
          <w:p>
            <w:pPr>
              <w:spacing w:after="0" w:line="183" w:lineRule="exact"/>
              <w:rPr>
                <w:rFonts w:ascii="Arial" w:cs="Arial" w:eastAsia="Arial" w:hAnsi="Arial"/>
                <w:sz w:val="17"/>
                <w:szCs w:val="17"/>
                <w:color w:val="0000EE"/>
                <w:w w:val="89"/>
              </w:rPr>
            </w:pPr>
            <w:hyperlink w:anchor="page65">
              <w:r>
                <w:rPr>
                  <w:rFonts w:ascii="Arial" w:cs="Arial" w:eastAsia="Arial" w:hAnsi="Arial"/>
                  <w:sz w:val="17"/>
                  <w:szCs w:val="17"/>
                  <w:color w:val="0000EE"/>
                  <w:w w:val="89"/>
                </w:rPr>
                <w:t>Certain Relationships and Related Transactions, and Director Independence</w:t>
              </w:r>
            </w:hyperlink>
          </w:p>
        </w:tc>
        <w:tc>
          <w:tcPr>
            <w:tcW w:w="1740" w:type="dxa"/>
            <w:vAlign w:val="bottom"/>
            <w:tcBorders>
              <w:top w:val="single" w:sz="8" w:color="0000EE"/>
            </w:tcBorders>
            <w:gridSpan w:val="2"/>
          </w:tcPr>
          <w:p>
            <w:pPr>
              <w:spacing w:after="0"/>
              <w:rPr>
                <w:sz w:val="15"/>
                <w:szCs w:val="15"/>
                <w:color w:val="auto"/>
              </w:rPr>
            </w:pPr>
          </w:p>
        </w:tc>
        <w:tc>
          <w:tcPr>
            <w:tcW w:w="3360" w:type="dxa"/>
            <w:vAlign w:val="bottom"/>
            <w:gridSpan w:val="2"/>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14.</w:t>
            </w:r>
          </w:p>
        </w:tc>
        <w:tc>
          <w:tcPr>
            <w:tcW w:w="10280" w:type="dxa"/>
            <w:vAlign w:val="bottom"/>
            <w:gridSpan w:val="20"/>
          </w:tcPr>
          <w:p>
            <w:pPr>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Principal Accounting Fees and Services</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318"/>
        </w:trPr>
        <w:tc>
          <w:tcPr>
            <w:tcW w:w="64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66">
              <w:r>
                <w:rPr>
                  <w:rFonts w:ascii="Arial" w:cs="Arial" w:eastAsia="Arial" w:hAnsi="Arial"/>
                  <w:sz w:val="17"/>
                  <w:szCs w:val="17"/>
                  <w:color w:val="0000EE"/>
                  <w:w w:val="93"/>
                </w:rPr>
                <w:t>PART IV</w:t>
              </w:r>
            </w:hyperlink>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15.</w:t>
            </w:r>
          </w:p>
        </w:tc>
        <w:tc>
          <w:tcPr>
            <w:tcW w:w="2760" w:type="dxa"/>
            <w:vAlign w:val="bottom"/>
            <w:tcBorders>
              <w:bottom w:val="single" w:sz="8" w:color="0000EE"/>
            </w:tcBorders>
            <w:gridSpan w:val="12"/>
          </w:tcPr>
          <w:p>
            <w:pPr>
              <w:spacing w:after="0" w:line="183" w:lineRule="exact"/>
              <w:rPr>
                <w:rFonts w:ascii="Arial" w:cs="Arial" w:eastAsia="Arial" w:hAnsi="Arial"/>
                <w:sz w:val="17"/>
                <w:szCs w:val="17"/>
                <w:color w:val="0000EE"/>
                <w:w w:val="90"/>
              </w:rPr>
            </w:pPr>
            <w:hyperlink w:anchor="page66">
              <w:r>
                <w:rPr>
                  <w:rFonts w:ascii="Arial" w:cs="Arial" w:eastAsia="Arial" w:hAnsi="Arial"/>
                  <w:sz w:val="17"/>
                  <w:szCs w:val="17"/>
                  <w:color w:val="0000EE"/>
                  <w:w w:val="90"/>
                </w:rPr>
                <w:t>Exhibits, Financial Statement Schedules</w:t>
              </w:r>
            </w:hyperlink>
          </w:p>
        </w:tc>
        <w:tc>
          <w:tcPr>
            <w:tcW w:w="7520" w:type="dxa"/>
            <w:vAlign w:val="bottom"/>
            <w:gridSpan w:val="8"/>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3"/>
        </w:trPr>
        <w:tc>
          <w:tcPr>
            <w:tcW w:w="780" w:type="dxa"/>
            <w:vAlign w:val="bottom"/>
            <w:gridSpan w:val="4"/>
          </w:tcPr>
          <w:p>
            <w:pPr>
              <w:spacing w:after="0" w:line="183" w:lineRule="exact"/>
              <w:rPr>
                <w:sz w:val="20"/>
                <w:szCs w:val="20"/>
                <w:color w:val="auto"/>
              </w:rPr>
            </w:pPr>
            <w:r>
              <w:rPr>
                <w:rFonts w:ascii="Arial" w:cs="Arial" w:eastAsia="Arial" w:hAnsi="Arial"/>
                <w:sz w:val="17"/>
                <w:szCs w:val="17"/>
                <w:color w:val="auto"/>
              </w:rPr>
              <w:t>Item 16.</w:t>
            </w:r>
          </w:p>
        </w:tc>
        <w:tc>
          <w:tcPr>
            <w:tcW w:w="10280" w:type="dxa"/>
            <w:vAlign w:val="bottom"/>
            <w:gridSpan w:val="20"/>
          </w:tcPr>
          <w:p>
            <w:pPr>
              <w:spacing w:after="0" w:line="183" w:lineRule="exact"/>
              <w:rPr>
                <w:rFonts w:ascii="Arial" w:cs="Arial" w:eastAsia="Arial" w:hAnsi="Arial"/>
                <w:sz w:val="17"/>
                <w:szCs w:val="17"/>
                <w:color w:val="0000EE"/>
              </w:rPr>
            </w:pPr>
            <w:hyperlink w:anchor="page67">
              <w:r>
                <w:rPr>
                  <w:rFonts w:ascii="Arial" w:cs="Arial" w:eastAsia="Arial" w:hAnsi="Arial"/>
                  <w:sz w:val="17"/>
                  <w:szCs w:val="17"/>
                  <w:color w:val="0000EE"/>
                </w:rPr>
                <w:t>Form 10-K Summary</w:t>
              </w:r>
            </w:hyperlink>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86"/>
              </w:rPr>
            </w:pPr>
            <w:hyperlink w:anchor="page68">
              <w:r>
                <w:rPr>
                  <w:rFonts w:ascii="Arial" w:cs="Arial" w:eastAsia="Arial" w:hAnsi="Arial"/>
                  <w:sz w:val="17"/>
                  <w:szCs w:val="17"/>
                  <w:color w:val="0000EE"/>
                  <w:w w:val="86"/>
                </w:rPr>
                <w:t>Signatures</w:t>
              </w:r>
            </w:hyperlink>
          </w:p>
        </w:tc>
        <w:tc>
          <w:tcPr>
            <w:tcW w:w="740" w:type="dxa"/>
            <w:vAlign w:val="bottom"/>
            <w:tcBorders>
              <w:top w:val="single" w:sz="8" w:color="0000EE"/>
            </w:tcBorders>
            <w:gridSpan w:val="3"/>
          </w:tcPr>
          <w:p>
            <w:pPr>
              <w:spacing w:after="0"/>
              <w:rPr>
                <w:sz w:val="15"/>
                <w:szCs w:val="15"/>
                <w:color w:val="auto"/>
              </w:rPr>
            </w:pPr>
          </w:p>
        </w:tc>
        <w:tc>
          <w:tcPr>
            <w:tcW w:w="8820" w:type="dxa"/>
            <w:vAlign w:val="bottom"/>
            <w:gridSpan w:val="14"/>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HISTORY</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HealthStream, Inc. (HealthStream or the Company) provides workforce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and develop healthcare workforce talent; meet rigorous compliance requirements; and efficiently manage ongoing medical staff credentialing and privileging processes.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February 12, 2018, the Company divested its Patient Experience (PX) business to Press Ganey Associates (Press Ganey) for $65.5 million in cash (subject to adjustment based on the working capital of the PX business at closing). This sale of the PX business resulted in the Company’s divestiture of the Company’s patient experience solutions business segment.</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With 28 years of experience, HealthStream is recognized as a leading innovator and thought leader in the healthcare industry for its healthcare workforce solutions. Using technology to enhance learning and productivity, HealthStream pioneered the delivery of online learning for hospitals’ required regulatory training as Internet-based training was first introduced. Stemming from that early success, demand for expanded learning solutions led the Company to build what is now a full eco-system of diverse HR and clinical-focused applications, courseware, assessments, and talent management programs. At year-end 2017, with approximately 4.77 million healthcare professionals subscribing to HealthStream’s platform through their respective organizations, HealthStream is a leading provider in workforce development in the healthcare industry.</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With its singular healthcare focus, HealthStream understands that healthcare organizations want to provide their patients with an engaged, confident, and competent workforce that delivers optimal patient experiences. HealthStream’s solutions include a robust array of products and services that provide targeted insights for organizations to take actions that produce sustainable performance improvements. Moreover, HealthStream’s vast database of healthcare workforce benchmarks offer organizations a powerful tool to compare, assess, and fine-tune their strategies for managing initiatives for success.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HealthStream believes that the key to quality patient care is—and always has been—the people who deliver care. To that end, the Company’s solutions support the recruiting, retaining, engaging, assessing, and developing of the healthcare workforce, including medical staff who provide patient care in our customers’ organizations.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Headquartered in Nashville, Tennessee, the Company was incorporated in 1990 and began providing its SaaS-based workforce solutions in 1999, its survey and research solutions in 2005 (which business we divested in February 2018 as noted above), and its provider solutions in 2012. Including additional offices in Columbia, Maryland (prior to the divestment of our PX business); Nashville, Tennessee; Jericho, New York; Brentwood, Tennessee; San Diego, California; Chicago, Illinois; and Boulder, Colorado, HealthStream had 955 full-time and 72 part-time employees as of December 31, 2017 (prior to giving effect to the divestment of our PX business). In addition, as of February 22, 2018, HealthStream had 719 full-time and 27 part-time employees. Our business has evolved from an initial focus on technology-based training to a company providing workforce development and provider solutions to the nation’s healthcare providers.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According to the Centers for Medicare &amp; Medicaid Services (CMS), spending in the healthcare industry reached approximately $3.3 trillion in 2016, or 17.9% of the U.S. gross domestic product. Hospital care expenditures accounted for approximately 32.4% of the $3.3 trillion industry. According to the Bureau of Labor Statistics, approximately 19.6 million professionals are employed in the healthcare segment of the domestic economy, with approximately 5.2 million employed in acute-care hospitals and approximately 3.3 million employed in post-acute-care organizations, our primary target markets for our products. As of December 31, 2017, approximately 4.77 million healthcare professionals were subscribers to our SaaS-based solutions, which include 4.65 million subscribers already implemented and 118,000 subscribers in the process of implementation.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All of the approximately 5.2 million hospital-based healthcare professionals that work in the nation’s approximately 5,000 acute-care hospitals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hospitals, staffing issues and personnel shortages have also contributed to the need for facility-based workforce development as well as additional assessment and competency-based training. An ongoing nursing shortage, for example, is resulting in skill gaps and rising costs. The U.S. Bureau of Labor Statistics projects the need for 525,000 replacement nurses over the next several years, bringing the total number of openings for nurses due to growth and replacements to 1.05 million by 2022. We believe that offering training and education for hospital personnel is increasingly being utilized as a retention and recruitment incentive.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healthcare education and training industry is highly fragmented, varies significantly in delivery methods (i.e.,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Provider data management has become more complex and arduous for healthcare organizations. Spurred by The Joint Commission Medical Staff standards and other regulatory requirements, credentialing and privileging has been transformed from a periodic review to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HEALTHSTREAM’S SOLUTIONS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year ended December 31, 2017, HealthStream’s products and services were organized into three segments—Workforce Solutions, Patient Experience Solutions, and Provider Solutions—that collectively help healthcare organizations meet their ongoing talent management, training, education, assessment, competency management, compliance, provider credentialing &amp; privileging management, and provider enrollment needs. HealthStream’s solutions are provided to a wide range of customers within the healthcare industry across the continuum of care. On February 12, 2018, the Company divested its PX business to Press Ganey for $65.5 million in cash, subject to adjustment based on the working capital of such business as of the closing. This sale of the PX business resulted in the Company’s complete divestiture of the Company’s patient experience solutions business segment.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HealthStream Workforce Solutions</w:t>
      </w:r>
      <w:r>
        <w:rPr>
          <w:rFonts w:ascii="Arial" w:cs="Arial" w:eastAsia="Arial" w:hAnsi="Arial"/>
          <w:sz w:val="15"/>
          <w:szCs w:val="15"/>
          <w:color w:val="auto"/>
        </w:rPr>
        <w:t>— Our workforce development solutions, which are comprised primarily of SaaS, subscription-based products, are used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healthcare organizations to meet a broad range of their talent management, training, certification, competency assessment, performance appraisal, and development needs. Our numerous content libraries allow our customers to subscribe to a wide array of additional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 and they sponsor continuing education directly to healthcare workers.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2017, HealthStream had approximately 4.77 million “total subscribers” to its subscription-based solutions. Each individual end-user who utilizes at least one HealthStream subscription-based solution is counted as one subscriber, regardless of the number of subscriptions contracted by or for that end-user. Our subscription-based solutions include any one or a combination of our many platform applications, plus courseware, or content. For example, we deliver courseware to our customers primarily through our learning application, the HealthStream Learning Center™ (HLC), while we deliver competency management and performance appraisal tools through our applications known as the HealthStream Competency Center (HCC) and HealthStream Performance Center (HPC), respectively, which are all on our SaaS-based platform, along with a series of other applications.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Pricing for the HLC, HCC, and HPC are subscription-based, with fees based on the number of subscribers, courseware provided, and other factors. We offer training, implementation, and account management services to facilitate adoption of our subscription-based solutions. Fees for training are based on the time and efforts of the personnel involved. Implementation fees vary based on the size, scope, and complexity of the project. Our SaaS-based platform and subscription-based solutions are hosted in a central data center that allows authorized subscribers access to our services through the Internet, thereby eliminating the need for onsite local implementations of installed workforce development products. During 2017, 2016, and 2015 our subscription-based workforce solutions accounted for approximately 69%, 71%, and 74% of consolidated revenues, respectively.</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Other Applications on our Platform </w:t>
      </w:r>
      <w:r>
        <w:rPr>
          <w:rFonts w:ascii="Arial" w:cs="Arial" w:eastAsia="Arial" w:hAnsi="Arial"/>
          <w:sz w:val="17"/>
          <w:szCs w:val="17"/>
          <w:color w:val="auto"/>
        </w:rPr>
        <w:t>— HealthStream offers an array of other applications on our platform, each serving a unique function for hospitals and health</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Each application on our platform has its own value proposition and revenue stream. Examples of individual applications that are offered on our platform include applications for recruiting and applicant tracking; learning; performance appraisal; compensation management; succession planning; competency management; credentialing and privileging; provider enrollment; disclosure management; clinical development; simulation-based education; and industry-sponsored training.</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 xml:space="preserve">HealthStream Patient Experience Solutions </w:t>
      </w:r>
      <w:r>
        <w:rPr>
          <w:rFonts w:ascii="Arial" w:cs="Arial" w:eastAsia="Arial" w:hAnsi="Arial"/>
          <w:sz w:val="17"/>
          <w:szCs w:val="17"/>
          <w:color w:val="auto"/>
        </w:rPr>
        <w:t>— Prior to the disposition of our PX business in February 2018 as noted above, our patient experience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complemented our workforce solutions’ product and service offerings by providing customers with Patient Insights™, Employee Insights™, Physician Insights™, and Community Insights™ surveys, data analyses of survey results, and other research-based measurement tools. Our services were designed to provide thorough analyses with insightful recommendations for change; benchmarking capability using our comprehensive databases; and consulting services to identify solutions for our customers based on their survey results. Clients were able to access and analyze their survey results data through Insights Online™, our secure web-based reporting platform. During 2017, 2016, and 2015 our Patient Insights™ survey product accounted for approximately 11%, 12%, and 13% of consolidated revenues, respectively.</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HealthStream Provider Solutions </w:t>
      </w:r>
      <w:r>
        <w:rPr>
          <w:rFonts w:ascii="Arial" w:cs="Arial" w:eastAsia="Arial" w:hAnsi="Arial"/>
          <w:sz w:val="16"/>
          <w:szCs w:val="16"/>
          <w:color w:val="auto"/>
        </w:rPr>
        <w:t>– Our provider solutions are offered through our business segment that is branded in the marketplace as “Verity, a HealthStream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Verity, a HealthStream Company, delivers enterprise-class solutions to transform the healthcare provider experience for healthcare organizations and providers. We currently serve over 2,400 hospitals and 1,000 medical groups in the United States. Verity, a HealthStream Company, resulted from the combination of Echo, Inc. and Morrisey Associates, Inc. (MAI), representing over 75 years of industry experience, to become the leading company delivering solutions for credentialing, enrollment, privileging, onboarding, and performance evaluation for providers. Verity, a HealthStream Company, has over 200 employees spanning headquarters in Boulder, CO with satellite offices in San Diego, CA, Brentwood, TN, and Chicago, IL.</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legacy products include EchoCredentialing™ and MSOW™, comprehensive platforms that manage medical staff credentialing and privileging processes for hospitals; EchoOneApp™, a provider enrollment platform for medical groups, which includes automatic form population directly from a continuously updated library of more than 4,500 preformatted payer form templates as well as online form integration with Council for Affordable Quality Healthcare, CMS, the Provider Enrollment, Chain and Ownership System (PECOS); and EchoAccess™, our enterprise class platform to support hospital call centers with physician referral, call triage, provider directories, class enrollment, and discharge planning functionalities.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2018, we announced the launch of our SaaS-based provider credentialing, privileging, and enrollment solution, Verity. Verity includes an intuitive, modern user experience; embedded, validated provider data; and evidence-based and best practice content. Further, Verity provides a single infrastructure supporting the entire provider lifecycle, from recruiting, application submission, validation tasks, privileging, appointments by credentialing committees, enrollment, contracting, onboarding, and performance management.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ACQUISITIONS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acquired HealthLine Systems, LLC (HLS) in March 2015, acquired Performance Management Services, Inc. in June 2016, acquired the remaining ownership interest in Nursing Registry Consultants Corporation in July 2016, and acquired MAI in August 2016. For additional information regarding acquisitions, please see Note 5 of the Consolidated Financial Statements and Item 7, “Management’s Discussion and Analysis of Financial Condition and Results of Operations,” included elsewhere in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provide our solutions to customers across a broad range of entities within the healthcare industry, including private, not-for-profit, and government entities, as well as pharmaceutical and medical device companies. We derive a substantial portion of our revenues from a relatively small number of customers, although no single customer represented more than 10 percent of our revenues during 2017, 2016, or 2015. Customers that have purchased or contracted for products and services from HealthStream include: Ardent Health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Services; Saint Luke’s Health System; HCA Holdings, Inc.; Community Health Systems, Inc.; McLaren Health Care Corporation; Sutter Health; and Tenet Healthcare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market our products and services primarily through our direct sales teams, which are based out of our corporate headquarters in Nashville, Tennessee and in our additional offices located in Jericho, New York; Brentwood, Tennessee; San Diego, California; and Chicago, Illinois, as well as remote home office sales locations. We also had an office in Columbia, Maryland prior to our disposition of the PX business. As of December 31, 2017, our HealthStream Workforce Solutions sales personnel consisted of 120 employees who carried sales quotas; our HealthStream Patient Experience Solutions sales personnel consisted of 12 employees who carried sales quotas (such Patient Experience Solutions sales personnel are no longer employed by us following the disposition of the PX business); and our Provider Solutions sales personnel consisted of 31 employees who carried sales quotas. As of December 31, 2017, we also had 13 employees who support our sales teams with sales force productivity and optimization, onboarding, training, and administration services.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 a variety of marketing programs to promote our products and services, including product catalogs, user groups, trade shows, internet promotion and demonstrations, telemarketing campaigns, public relations, distribution of product-specific literature, direct mail, and advertising. We have marketing teams that are responsible for these initiatives and for working with and supporting our product management and sales teams. At December 31, 2017, our marketing personnel consisted of 40 employees.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AND TECHNOLOGY</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As of December 31, 2017, our Workforce Solutions operations team consisted of 306 employees associated with customer support, implementation services, product development and quality assurance, training, and project management; our Patient Experience Solutions operations team consisted of 253 employees (of which 106 employees worked in our interviewing centers) associated with phone interviewing, distributing and processing paper-based survey instruments, patient experience coaching and consulting, data analysis and reporting of survey results, and project management (the Patient Experience Solutions operations team employees are no longer employed by us following the disposition of the PX business); and our Provider Solutions operations team consisted of 173 employees associated with implementation services, data integration, product development and quality assurance, credentials verification, consulting, and other functions.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services are designed to be reliable, secure, and scalable. Our software is a combination of proprietary and commercially available software and operating systems. Our software solutions support hosting and management of content, publication of our websites, execution of courseware, registration and tracking of users, collection, sampling, and analysis of survey data,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Our software applications, servers, and network infrastructure that deliver our services are hosted by a combination of third-party data center providers and HealthStream-owned data centers. We maintain fully redundant disaster recovery data centers which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to the competing healthcare education delivery methods in the industry, we also have direct competitors. In our Workforce Solutions business segment, a number of companies offer competitive learning management products and talent management modules to the healthcare industry. We compete with companies such as Cornerstone OnDemand, Healthcare Source, Oracle, SABA, SAP, Workday, and SumTotal Systems that provide their services to multiple industries, including healthcare. We also compete with large medical publishers that have operating units that offer learning management systems that focus on healthcare, such as Reed Elsevier Group’s MC Strategies, Wolters Kluwer, and Relias Learning, which is owned by Bertelsmann. In our Provider Solutions business segment, we see competition primarily from several large companies, such as MD-Staff and Cactus from symplr.</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believe our Workforce Solutions, which include both products and services that facilitate training, assessment, and development for healthcare professionals, offer a wide assortment of courseware, include a mechanism for measuring satisfaction and/or other results, and provide all our services on a single platform over the Internet, provide us with a competitive advantage. In our Provider Solutions business segment, we believe the scope and quality of our products, capability to connect medical staff credentialing with provider enrollment, and innovative new predictive analytics provide us with a competitive advantage. We believe that the principal competitive factors affecting the marketing of our Workforce and Provider Solutions to the healthcare industry include: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460" w:hanging="547"/>
        <w:spacing w:after="0" w:line="261"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features of our SaaS-based platform and applications, including reporting, management functionality, ability to manage a variety of events or modalities, courseware assignment, curriculum management, documenting competency assessments and performance appraisals, scalability, and the ability to track utilization and results;</w:t>
      </w:r>
    </w:p>
    <w:p>
      <w:pPr>
        <w:spacing w:after="0" w:line="118" w:lineRule="exact"/>
        <w:rPr>
          <w:rFonts w:ascii="Arial" w:cs="Arial" w:eastAsia="Arial" w:hAnsi="Arial"/>
          <w:sz w:val="17"/>
          <w:szCs w:val="17"/>
          <w:color w:val="auto"/>
        </w:rPr>
      </w:pPr>
    </w:p>
    <w:p>
      <w:pPr>
        <w:jc w:val="both"/>
        <w:ind w:left="1460" w:hanging="547"/>
        <w:spacing w:after="0" w:line="261"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scope and variety of Internet-based learning courseware available, including mandated content for OSHA, The Joint Commission, patient safety, and HIPAA requirements; competency-based content; courseware scenarios that drive simulators; courseware that provides CPR certification; and the ability of our customers to create and host their own web-enabled courseware;</w:t>
      </w:r>
    </w:p>
    <w:p>
      <w:pPr>
        <w:spacing w:after="0" w:line="118"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singular focus on the healthcare industry and our deep healthcare expertise;</w:t>
      </w:r>
    </w:p>
    <w:p>
      <w:pPr>
        <w:spacing w:after="0" w:line="155"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scope and quality of professional services offered, including implementation, benchmarking, and training;</w:t>
      </w:r>
    </w:p>
    <w:p>
      <w:pPr>
        <w:spacing w:after="0" w:line="155"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competitive pricing, which supports a return on investment to customers when compared to other alternative delivery methods;</w:t>
      </w:r>
    </w:p>
    <w:p>
      <w:pPr>
        <w:spacing w:after="0" w:line="155"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customer service and support;</w:t>
      </w:r>
    </w:p>
    <w:p>
      <w:pPr>
        <w:spacing w:after="0" w:line="155"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effectiveness of sales and marketing efforts; and</w:t>
      </w:r>
    </w:p>
    <w:p>
      <w:pPr>
        <w:spacing w:after="0" w:line="155"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company reputation.</w:t>
      </w:r>
    </w:p>
    <w:p>
      <w:pPr>
        <w:spacing w:after="0" w:line="156" w:lineRule="exact"/>
        <w:rPr>
          <w:sz w:val="20"/>
          <w:szCs w:val="20"/>
          <w:color w:val="auto"/>
        </w:rPr>
      </w:pPr>
    </w:p>
    <w:p>
      <w:pPr>
        <w:ind w:right="1160"/>
        <w:spacing w:after="0" w:line="468" w:lineRule="auto"/>
        <w:rPr>
          <w:sz w:val="20"/>
          <w:szCs w:val="20"/>
          <w:color w:val="auto"/>
        </w:rPr>
      </w:pPr>
      <w:r>
        <w:rPr>
          <w:rFonts w:ascii="Arial" w:cs="Arial" w:eastAsia="Arial" w:hAnsi="Arial"/>
          <w:sz w:val="17"/>
          <w:szCs w:val="17"/>
          <w:color w:val="auto"/>
        </w:rPr>
        <w:t xml:space="preserve">We believe these capabilities provide us with the ability to improve the quality of healthcare by assessing and developing the people who deliver care. </w:t>
      </w:r>
      <w:r>
        <w:rPr>
          <w:rFonts w:ascii="Arial" w:cs="Arial" w:eastAsia="Arial" w:hAnsi="Arial"/>
          <w:sz w:val="17"/>
          <w:szCs w:val="17"/>
          <w:b w:val="1"/>
          <w:bCs w:val="1"/>
          <w:color w:val="auto"/>
        </w:rPr>
        <w:t>GOVERNMENT REGULATION OF THE INTERNET AND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the Internet and the Privacy and Security of Personal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laws and regulations that govern our business may change rapidly. The following are some of the evolving areas of law that are relevant to our business:</w:t>
      </w:r>
    </w:p>
    <w:p>
      <w:pPr>
        <w:spacing w:after="0" w:line="153" w:lineRule="exact"/>
        <w:rPr>
          <w:sz w:val="20"/>
          <w:szCs w:val="20"/>
          <w:color w:val="auto"/>
        </w:rPr>
      </w:pPr>
    </w:p>
    <w:p>
      <w:pPr>
        <w:jc w:val="both"/>
        <w:ind w:left="1460" w:hanging="547"/>
        <w:spacing w:after="0" w:line="257" w:lineRule="auto"/>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Privacy and Security Laws. </w:t>
      </w:r>
      <w:r>
        <w:rPr>
          <w:rFonts w:ascii="Arial" w:cs="Arial" w:eastAsia="Arial" w:hAnsi="Arial"/>
          <w:sz w:val="17"/>
          <w:szCs w:val="17"/>
          <w:color w:val="auto"/>
        </w:rPr>
        <w:t>Federal, state, and foreign privacy and security laws and regulations restricting the collection, use, security, and</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of personal information limit our ability to collect information or use and disclose the information in our databases or derived from other sources to generate revenues. It may be costly to implement security or other measures designed to comply with new legislation or changes to existing laws.</w:t>
      </w:r>
    </w:p>
    <w:p>
      <w:pPr>
        <w:spacing w:after="0" w:line="121" w:lineRule="exact"/>
        <w:rPr>
          <w:rFonts w:ascii="Arial" w:cs="Arial" w:eastAsia="Arial" w:hAnsi="Arial"/>
          <w:sz w:val="17"/>
          <w:szCs w:val="17"/>
          <w:color w:val="auto"/>
        </w:rPr>
      </w:pPr>
    </w:p>
    <w:p>
      <w:pPr>
        <w:jc w:val="both"/>
        <w:ind w:left="1460" w:hanging="547"/>
        <w:spacing w:after="0" w:line="261" w:lineRule="auto"/>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Content Regulation. </w:t>
      </w:r>
      <w:r>
        <w:rPr>
          <w:rFonts w:ascii="Arial" w:cs="Arial" w:eastAsia="Arial" w:hAnsi="Arial"/>
          <w:sz w:val="17"/>
          <w:szCs w:val="17"/>
          <w:color w:val="auto"/>
        </w:rPr>
        <w:t>Both foreign and domestic governments have adopted and proposed laws governing the content of material transmitted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Internet. These include laws relating to obscenity, indecency, libel and defamation. We could be liable if content created or delivered by us is determined to be in violation of these regulations.</w:t>
      </w:r>
    </w:p>
    <w:p>
      <w:pPr>
        <w:spacing w:after="0" w:line="118" w:lineRule="exact"/>
        <w:rPr>
          <w:rFonts w:ascii="Arial" w:cs="Arial" w:eastAsia="Arial" w:hAnsi="Arial"/>
          <w:sz w:val="17"/>
          <w:szCs w:val="17"/>
          <w:color w:val="auto"/>
        </w:rPr>
      </w:pPr>
    </w:p>
    <w:p>
      <w:pPr>
        <w:jc w:val="both"/>
        <w:ind w:left="1460" w:hanging="547"/>
        <w:spacing w:after="0" w:line="288" w:lineRule="auto"/>
        <w:tabs>
          <w:tab w:leader="none" w:pos="14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Information Security Accountability Regulation. </w:t>
      </w:r>
      <w:r>
        <w:rPr>
          <w:rFonts w:ascii="Arial" w:cs="Arial" w:eastAsia="Arial" w:hAnsi="Arial"/>
          <w:sz w:val="15"/>
          <w:szCs w:val="15"/>
          <w:color w:val="auto"/>
        </w:rPr>
        <w:t>As a business associate of certain of our customers, we are required to report certain breaches of</w:t>
      </w:r>
      <w:r>
        <w:rPr>
          <w:rFonts w:ascii="Arial" w:cs="Arial" w:eastAsia="Arial" w:hAnsi="Arial"/>
          <w:sz w:val="15"/>
          <w:szCs w:val="15"/>
          <w:i w:val="1"/>
          <w:iCs w:val="1"/>
          <w:color w:val="auto"/>
        </w:rPr>
        <w:t xml:space="preserve"> </w:t>
      </w:r>
      <w:r>
        <w:rPr>
          <w:rFonts w:ascii="Arial" w:cs="Arial" w:eastAsia="Arial" w:hAnsi="Arial"/>
          <w:sz w:val="15"/>
          <w:szCs w:val="15"/>
          <w:color w:val="auto"/>
        </w:rPr>
        <w:t>protected health information to our customers, which must in turn notify affected individuals, the U.S. Department of Health and Human Services (HHS) and, in certain situations involving large breaches, the media. All non-permitted uses or disclosures of unsecured, protected health information are presumed to be breaches unless the covered entity or business associate establishes that there is a low probability the information has been compromised. In addition, we are subject to certain state laws that relate to privacy or the reporting of security breaches. For example, California law requires notification of security breaches involving personal information and medical information. We may incur costs to comply with these privacy and security requirements. Because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104" w:lineRule="exact"/>
        <w:rPr>
          <w:rFonts w:ascii="Arial" w:cs="Arial" w:eastAsia="Arial" w:hAnsi="Arial"/>
          <w:sz w:val="15"/>
          <w:szCs w:val="15"/>
          <w:color w:val="auto"/>
        </w:rPr>
      </w:pPr>
    </w:p>
    <w:p>
      <w:pPr>
        <w:jc w:val="both"/>
        <w:ind w:left="1460" w:hanging="547"/>
        <w:spacing w:after="0" w:line="302" w:lineRule="auto"/>
        <w:tabs>
          <w:tab w:leader="none" w:pos="14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Sales and Use Tax. </w:t>
      </w:r>
      <w:r>
        <w:rPr>
          <w:rFonts w:ascii="Arial" w:cs="Arial" w:eastAsia="Arial" w:hAnsi="Arial"/>
          <w:sz w:val="15"/>
          <w:szCs w:val="15"/>
          <w:color w:val="auto"/>
        </w:rPr>
        <w:t>Through December 31, 2017, we collected sales, use or other taxes on taxable transactions in states in which we have</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realize profit from the sale of our services over the Internet.</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Laws and regulations directly applicable to content regulation,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Education, Training and Other Services for Healthcare Professionals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Occupational Safety and Health Administration. </w:t>
      </w:r>
      <w:r>
        <w:rPr>
          <w:rFonts w:ascii="Arial" w:cs="Arial" w:eastAsia="Arial" w:hAnsi="Arial"/>
          <w:sz w:val="17"/>
          <w:szCs w:val="17"/>
          <w:color w:val="auto"/>
        </w:rPr>
        <w:t>OSHA regulations require employers to provide training to employees to minimize the risk of injury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i w:val="1"/>
          <w:iCs w:val="1"/>
          <w:color w:val="auto"/>
        </w:rPr>
        <w:t xml:space="preserve">The Joint Commission. </w:t>
      </w:r>
      <w:r>
        <w:rPr>
          <w:rFonts w:ascii="Arial" w:cs="Arial" w:eastAsia="Arial" w:hAnsi="Arial"/>
          <w:sz w:val="15"/>
          <w:szCs w:val="15"/>
          <w:color w:val="auto"/>
        </w:rPr>
        <w:t>The Joint Commission accreditation and certification standards require employers in the healthcare industry to provide certain workplace</w:t>
      </w:r>
      <w:r>
        <w:rPr>
          <w:rFonts w:ascii="Arial" w:cs="Arial" w:eastAsia="Arial" w:hAnsi="Arial"/>
          <w:sz w:val="15"/>
          <w:szCs w:val="15"/>
          <w:i w:val="1"/>
          <w:iCs w:val="1"/>
          <w:color w:val="auto"/>
        </w:rPr>
        <w:t xml:space="preserve"> </w:t>
      </w:r>
      <w:r>
        <w:rPr>
          <w:rFonts w:ascii="Arial" w:cs="Arial" w:eastAsia="Arial" w:hAnsi="Arial"/>
          <w:sz w:val="15"/>
          <w:szCs w:val="15"/>
          <w:color w:val="auto"/>
        </w:rPr>
        <w:t>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i w:val="1"/>
          <w:iCs w:val="1"/>
          <w:color w:val="auto"/>
        </w:rPr>
        <w:t xml:space="preserve">Health Insurance Portability and Accountability Act (HIPAA). </w:t>
      </w:r>
      <w:r>
        <w:rPr>
          <w:rFonts w:ascii="Arial" w:cs="Arial" w:eastAsia="Arial" w:hAnsi="Arial"/>
          <w:sz w:val="15"/>
          <w:szCs w:val="15"/>
          <w:color w:val="auto"/>
        </w:rPr>
        <w:t>HIPAA regulations require certain organizations (known as covered entities), including most healthcare</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providers and health plans, to adopt safeguards regarding the use and disclosure of health-related information. HIPAA regulations also require these organizations to provide reasonable and appropriate safeguards to protect the privacy, integrity and confidentiality of individually identifiable healthcare information. Covered entities are required to establish, maintain and provide training with regard to their policies and procedures for protecting the integrity and confidentiality of individually identifiable healthcare information and must document training on these topics to support their compliance. Certain HIPAA privacy and security requirements apply to entities (known as business associates) that handle individually identifiable healthcare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The American Nurses Credentialing Center (ANCC). </w:t>
      </w:r>
      <w:r>
        <w:rPr>
          <w:rFonts w:ascii="Arial" w:cs="Arial" w:eastAsia="Arial" w:hAnsi="Arial"/>
          <w:sz w:val="16"/>
          <w:szCs w:val="16"/>
          <w:color w:val="auto"/>
        </w:rPr>
        <w:t>ANCC, a subsidiary of the American Nurses Association (ANA), provides individuals and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w:t>
      </w:r>
      <w:r>
        <w:rPr>
          <w:rFonts w:ascii="Arial" w:cs="Arial" w:eastAsia="Arial" w:hAnsi="Arial"/>
          <w:sz w:val="13"/>
          <w:szCs w:val="13"/>
          <w:color w:val="auto"/>
        </w:rPr>
        <w:t>®</w:t>
      </w:r>
      <w:r>
        <w:rPr>
          <w:rFonts w:ascii="Arial" w:cs="Arial" w:eastAsia="Arial" w:hAnsi="Arial"/>
          <w:sz w:val="16"/>
          <w:szCs w:val="16"/>
          <w:color w:val="auto"/>
        </w:rPr>
        <w:t xml:space="preserve"> and the Pathway to Excellence</w:t>
      </w:r>
      <w:r>
        <w:rPr>
          <w:rFonts w:ascii="Arial" w:cs="Arial" w:eastAsia="Arial" w:hAnsi="Arial"/>
          <w:sz w:val="13"/>
          <w:szCs w:val="13"/>
          <w:color w:val="auto"/>
        </w:rPr>
        <w:t>®</w:t>
      </w:r>
      <w:r>
        <w:rPr>
          <w:rFonts w:ascii="Arial" w:cs="Arial" w:eastAsia="Arial" w:hAnsi="Arial"/>
          <w:sz w:val="16"/>
          <w:szCs w:val="16"/>
          <w:color w:val="auto"/>
        </w:rPr>
        <w:t xml:space="preserve"> Program; and accredit providers of continuing nursing education. In addition, ANCC’s Institute for Credentialing Innovation</w:t>
      </w:r>
      <w:r>
        <w:rPr>
          <w:rFonts w:ascii="Arial" w:cs="Arial" w:eastAsia="Arial" w:hAnsi="Arial"/>
          <w:sz w:val="13"/>
          <w:szCs w:val="13"/>
          <w:color w:val="auto"/>
        </w:rPr>
        <w:t>®</w:t>
      </w:r>
      <w:r>
        <w:rPr>
          <w:rFonts w:ascii="Arial" w:cs="Arial" w:eastAsia="Arial" w:hAnsi="Arial"/>
          <w:sz w:val="16"/>
          <w:szCs w:val="16"/>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w:t>
      </w:r>
      <w:r>
        <w:rPr>
          <w:rFonts w:ascii="Arial" w:cs="Arial" w:eastAsia="Arial" w:hAnsi="Arial"/>
          <w:sz w:val="13"/>
          <w:szCs w:val="13"/>
          <w:color w:val="auto"/>
        </w:rPr>
        <w:t>®</w:t>
      </w:r>
      <w:r>
        <w:rPr>
          <w:rFonts w:ascii="Arial" w:cs="Arial" w:eastAsia="Arial" w:hAnsi="Arial"/>
          <w:sz w:val="16"/>
          <w:szCs w:val="16"/>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w:t>
      </w:r>
      <w:r>
        <w:rPr>
          <w:rFonts w:ascii="Arial" w:cs="Arial" w:eastAsia="Arial" w:hAnsi="Arial"/>
          <w:sz w:val="13"/>
          <w:szCs w:val="13"/>
          <w:color w:val="auto"/>
        </w:rPr>
        <w:t>®</w:t>
      </w:r>
      <w:r>
        <w:rPr>
          <w:rFonts w:ascii="Arial" w:cs="Arial" w:eastAsia="Arial" w:hAnsi="Arial"/>
          <w:sz w:val="16"/>
          <w:szCs w:val="16"/>
          <w:color w:val="auto"/>
        </w:rPr>
        <w:t xml:space="preserv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i w:val="1"/>
          <w:iCs w:val="1"/>
          <w:color w:val="auto"/>
        </w:rPr>
        <w:t xml:space="preserve">Continuing Nursing Education (CNE). </w:t>
      </w:r>
      <w:r>
        <w:rPr>
          <w:rFonts w:ascii="Arial" w:cs="Arial" w:eastAsia="Arial" w:hAnsi="Arial"/>
          <w:sz w:val="15"/>
          <w:szCs w:val="15"/>
          <w:color w:val="auto"/>
        </w:rPr>
        <w:t>State nurse practice laws typically authorize a state’s board of nursing to establish CNE requirements for professional nurses.</w:t>
      </w:r>
      <w:r>
        <w:rPr>
          <w:rFonts w:ascii="Arial" w:cs="Arial" w:eastAsia="Arial" w:hAnsi="Arial"/>
          <w:sz w:val="15"/>
          <w:szCs w:val="15"/>
          <w:i w:val="1"/>
          <w:iCs w:val="1"/>
          <w:color w:val="auto"/>
        </w:rPr>
        <w:t xml:space="preserve"> </w:t>
      </w:r>
      <w:r>
        <w:rPr>
          <w:rFonts w:ascii="Arial" w:cs="Arial" w:eastAsia="Arial" w:hAnsi="Arial"/>
          <w:sz w:val="15"/>
          <w:szCs w:val="15"/>
          <w:color w:val="auto"/>
        </w:rPr>
        <w:t>The state board of nursing establishes the state’s CNE requirements for professional nurses. CNE credits are provided through accredited providers that have been approved by the ANCC Commission on Accreditation and/or the state board of nursing. We are an accredited provider of CNE by the ANCC.CNE requirements vary widely from state to state. Thirty-four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45 credits annually, with reporting generally on a bi-annual basis. Board certifications (e.g., Certified Nurse Operating Room (CNOR) – certification of perioperative nursing) also require CNE credits, with certain percentages required in specific categories based on the certification type.</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 accumulated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minimum number of CME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American Medical Association (AMA) classifies CME activities as either Category 1, which includes formal CME activities, or Category 2, which include self-designated credit for informal activities that meet certain requirements. CME providers that sponsor educational activities can only designate those activities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Most agencies nationwide that require CME participation specify </w:t>
      </w:r>
      <w:r>
        <w:rPr>
          <w:rFonts w:ascii="Arial" w:cs="Arial" w:eastAsia="Arial" w:hAnsi="Arial"/>
          <w:sz w:val="16"/>
          <w:szCs w:val="16"/>
          <w:i w:val="1"/>
          <w:iCs w:val="1"/>
          <w:color w:val="auto"/>
        </w:rPr>
        <w:t>AMA PRA</w:t>
      </w:r>
      <w:r>
        <w:rPr>
          <w:rFonts w:ascii="Arial" w:cs="Arial" w:eastAsia="Arial" w:hAnsi="Arial"/>
          <w:sz w:val="16"/>
          <w:szCs w:val="16"/>
          <w:color w:val="auto"/>
        </w:rPr>
        <w:t xml:space="preserve"> </w:t>
      </w:r>
      <w:r>
        <w:rPr>
          <w:rFonts w:ascii="Arial" w:cs="Arial" w:eastAsia="Arial" w:hAnsi="Arial"/>
          <w:sz w:val="16"/>
          <w:szCs w:val="16"/>
          <w:i w:val="1"/>
          <w:iCs w:val="1"/>
          <w:color w:val="auto"/>
        </w:rPr>
        <w:t>Category 1 Credit™</w:t>
      </w:r>
      <w:r>
        <w:rPr>
          <w:rFonts w:ascii="Arial" w:cs="Arial" w:eastAsia="Arial" w:hAnsi="Arial"/>
          <w:sz w:val="16"/>
          <w:szCs w:val="16"/>
          <w:color w:val="auto"/>
        </w:rPr>
        <w:t>. Only institutions and organizations accredited to provide CME can designate an activity for</w:t>
      </w:r>
      <w:r>
        <w:rPr>
          <w:rFonts w:ascii="Arial" w:cs="Arial" w:eastAsia="Arial" w:hAnsi="Arial"/>
          <w:sz w:val="16"/>
          <w:szCs w:val="16"/>
          <w:i w:val="1"/>
          <w:iCs w:val="1"/>
          <w:color w:val="auto"/>
        </w:rPr>
        <w:t xml:space="preserve"> AMA PRA Category 1 Credit™</w:t>
      </w:r>
      <w:r>
        <w:rPr>
          <w:rFonts w:ascii="Arial" w:cs="Arial" w:eastAsia="Arial" w:hAnsi="Arial"/>
          <w:sz w:val="16"/>
          <w:szCs w:val="16"/>
          <w:color w:val="auto"/>
        </w:rPr>
        <w:t>. The Accreditation</w:t>
      </w:r>
      <w:r>
        <w:rPr>
          <w:rFonts w:ascii="Arial" w:cs="Arial" w:eastAsia="Arial" w:hAnsi="Arial"/>
          <w:sz w:val="16"/>
          <w:szCs w:val="16"/>
          <w:i w:val="1"/>
          <w:iCs w:val="1"/>
          <w:color w:val="auto"/>
        </w:rPr>
        <w:t xml:space="preserve"> </w:t>
      </w:r>
      <w:r>
        <w:rPr>
          <w:rFonts w:ascii="Arial" w:cs="Arial" w:eastAsia="Arial" w:hAnsi="Arial"/>
          <w:sz w:val="16"/>
          <w:szCs w:val="16"/>
          <w:color w:val="auto"/>
        </w:rPr>
        <w:t>Council for Continuing Medical Education (ACCME) is responsible for awarding accreditation status to state medical societies, medical schools, and other institutions and organizations that provide CME activities for a national audience of physicians. State medical societies, operating under the aegis of the ACCME, accredit institutions and organizations that provide CME activities primarily for physicians within the state or bordering states. We are recognized in many states as an accredited provider of CME by the ACCME.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Centers for Medicare &amp; Medicaid Services (CMS). </w:t>
      </w:r>
      <w:r>
        <w:rPr>
          <w:rFonts w:ascii="Arial" w:cs="Arial" w:eastAsia="Arial" w:hAnsi="Arial"/>
          <w:sz w:val="16"/>
          <w:szCs w:val="16"/>
          <w:color w:val="auto"/>
        </w:rPr>
        <w:t>CMS has articulated three broad aims of its quality strategy: “Better Care. Healthier People, Healthier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Communities. Smarter Spending.” To achieve 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other initiatives, some voluntary and some mandatory, CMS has launched VBP initiatives in hospitals, physician offices, nursing homes, home health services, and dialysis facilities. In 2017, CMS launched a comprehensive deregulatory initiative, “Meaningful Measures,” which identifies priorities for quality measurement and improvement. The framework is intended to improve patient outcomes while also reducing burdens on providers.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Medicare and Medicaid Electronic Health Records (EHR) Incentive Programs. </w:t>
      </w:r>
      <w:r>
        <w:rPr>
          <w:rFonts w:ascii="Arial" w:cs="Arial" w:eastAsia="Arial" w:hAnsi="Arial"/>
          <w:sz w:val="16"/>
          <w:szCs w:val="16"/>
          <w:color w:val="auto"/>
        </w:rPr>
        <w:t>The Medicare and Medicaid EHR Incentive Programs encourage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eligible hospitals, and critical access hospitals (CAHs) to adopt EHR technology. Eligible hospitals can receive Medicaid incentive payments if they adopt and demonstrate meaningful use of certified EHR technology; those that fail to demonstrate meaningful use are subject to reduced reimbursement from Medicare. By putting into action and meaningfully using an EHR system, providers may reap benefits beyond financial incentives–such as reduction in errors, availability of records and data, reminders and alerts, clinical decision support, and e-prescribing/refill automation.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Allied Disciplines. </w:t>
      </w:r>
      <w:r>
        <w:rPr>
          <w:rFonts w:ascii="Arial" w:cs="Arial" w:eastAsia="Arial" w:hAnsi="Arial"/>
          <w:sz w:val="17"/>
          <w:szCs w:val="17"/>
          <w:color w:val="auto"/>
        </w:rPr>
        <w:t>Various allied health professionals are required to obtain continuing education to maintain their licenses. For example, emergency medical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may be required to acquire up to 20 continuing education hours per year, all or a portion of which can be fulfilled online. These requirements vary by state and depend on the professional classification of the individual.</w:t>
      </w:r>
    </w:p>
    <w:p>
      <w:pPr>
        <w:spacing w:after="0" w:line="14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Other Continuing Education. </w:t>
      </w:r>
      <w:r>
        <w:rPr>
          <w:rFonts w:ascii="Arial" w:cs="Arial" w:eastAsia="Arial" w:hAnsi="Arial"/>
          <w:sz w:val="17"/>
          <w:szCs w:val="17"/>
          <w:color w:val="auto"/>
        </w:rPr>
        <w:t>We are also an accredited provider of continuing education and continuing pharmacy education by the Association of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Technologists, Inc. (AST) and the Accreditation Council for Pharmacy Education (ACPE),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Educational Program Sponsorship and Support</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 payments and other transfers of value, including educational programs, given by such manufacturers to physicians and teaching hospitals, with limited exceptions. CMS regulations require manufacturers to report the physician’s name, business address and national provider identifier as well as other information including the value, date, form and nature of what is offered. CMS publishes the information on its website. Manufacturers that do not meet the reporting obligations are subject to significant monetary penalties.</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U.S. Food and Drug Administration (FDA) and the Federal Trade Commission (FTC)</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truthful or untruthful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OTHER PROPRIETARY RIGHTS</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protect our proprietary rights, we rely generally on copyright, trademark and trade secret laws; confidentiality agreements and procedures with employees, consultants and other third parties; contractual provisions in license agreements with consultants, vendors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and customers; and use measures designed to control access to our software, documentation and other proprietary information. We own federal trademark and service mark registrations for several marks, including without limitation “EXCELLENCE THROUGH INSIGHT”, “HEALTHSTREAM”, “HOSPITAL DIRECT”, “OR</w:t>
      </w:r>
    </w:p>
    <w:p>
      <w:pPr>
        <w:jc w:val="both"/>
        <w:spacing w:after="0" w:line="251" w:lineRule="auto"/>
        <w:rPr>
          <w:sz w:val="20"/>
          <w:szCs w:val="20"/>
          <w:color w:val="auto"/>
        </w:rPr>
      </w:pPr>
      <w:r>
        <w:rPr>
          <w:rFonts w:ascii="Arial" w:cs="Arial" w:eastAsia="Arial" w:hAnsi="Arial"/>
          <w:sz w:val="17"/>
          <w:szCs w:val="17"/>
          <w:color w:val="auto"/>
        </w:rPr>
        <w:t>PROTOCOL”, “PATIENT INSIGHTS”, “PHYSICIAN INSIGHTS”, “INSIGHTS ONLINE”, “INSIGHT INTO ACTION”, “QUALITY CHECK”, “SIMCENTER”, “SIMMANAGER”, and “SIMSTORE.”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a third party asserts a claim that we have infringed its patents or other intellectual property right,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2017, we employed 955 full-time and 72 part-time persons.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31"/>
        </w:trPr>
        <w:tc>
          <w:tcPr>
            <w:tcW w:w="3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80" w:type="dxa"/>
            <w:vAlign w:val="bottom"/>
            <w:vMerge w:val="restart"/>
          </w:tcPr>
          <w:p>
            <w:pPr>
              <w:spacing w:after="0"/>
              <w:rPr>
                <w:sz w:val="20"/>
                <w:szCs w:val="20"/>
                <w:color w:val="auto"/>
              </w:rPr>
            </w:pPr>
            <w:r>
              <w:rPr>
                <w:rFonts w:ascii="Arial" w:cs="Arial" w:eastAsia="Arial" w:hAnsi="Arial"/>
                <w:sz w:val="17"/>
                <w:szCs w:val="17"/>
                <w:color w:val="auto"/>
                <w:w w:val="91"/>
              </w:rPr>
              <w:t>Executive Officer, President and Chairman of the Board of Directors</w:t>
            </w:r>
          </w:p>
        </w:tc>
        <w:tc>
          <w:tcPr>
            <w:tcW w:w="0" w:type="dxa"/>
            <w:vAlign w:val="bottom"/>
          </w:tcPr>
          <w:p>
            <w:pPr>
              <w:spacing w:after="0"/>
              <w:rPr>
                <w:sz w:val="1"/>
                <w:szCs w:val="1"/>
                <w:color w:val="auto"/>
              </w:rPr>
            </w:pPr>
          </w:p>
        </w:tc>
      </w:tr>
      <w:tr>
        <w:trPr>
          <w:trHeight w:val="151"/>
        </w:trPr>
        <w:tc>
          <w:tcPr>
            <w:tcW w:w="2640" w:type="dxa"/>
            <w:vAlign w:val="bottom"/>
            <w:gridSpan w:val="2"/>
          </w:tcPr>
          <w:p>
            <w:pPr>
              <w:spacing w:after="0" w:line="151" w:lineRule="exact"/>
              <w:rPr>
                <w:sz w:val="20"/>
                <w:szCs w:val="20"/>
                <w:color w:val="auto"/>
              </w:rPr>
            </w:pPr>
            <w:r>
              <w:rPr>
                <w:rFonts w:ascii="Arial" w:cs="Arial" w:eastAsia="Arial" w:hAnsi="Arial"/>
                <w:sz w:val="17"/>
                <w:szCs w:val="17"/>
                <w:color w:val="auto"/>
              </w:rPr>
              <w:t>Robert A. Frist, Jr.</w:t>
            </w:r>
          </w:p>
        </w:tc>
        <w:tc>
          <w:tcPr>
            <w:tcW w:w="240" w:type="dxa"/>
            <w:vAlign w:val="bottom"/>
          </w:tcPr>
          <w:p>
            <w:pPr>
              <w:spacing w:after="0" w:line="151" w:lineRule="exact"/>
              <w:rPr>
                <w:sz w:val="20"/>
                <w:szCs w:val="20"/>
                <w:color w:val="auto"/>
              </w:rPr>
            </w:pPr>
            <w:r>
              <w:rPr>
                <w:rFonts w:ascii="Arial" w:cs="Arial" w:eastAsia="Arial" w:hAnsi="Arial"/>
                <w:sz w:val="17"/>
                <w:szCs w:val="17"/>
                <w:color w:val="auto"/>
              </w:rPr>
              <w:t>50</w:t>
            </w:r>
          </w:p>
        </w:tc>
        <w:tc>
          <w:tcPr>
            <w:tcW w:w="220" w:type="dxa"/>
            <w:vAlign w:val="bottom"/>
            <w:vMerge w:val="continue"/>
          </w:tcPr>
          <w:p>
            <w:pPr>
              <w:spacing w:after="0"/>
              <w:rPr>
                <w:sz w:val="13"/>
                <w:szCs w:val="13"/>
                <w:color w:val="auto"/>
              </w:rPr>
            </w:pPr>
          </w:p>
        </w:tc>
        <w:tc>
          <w:tcPr>
            <w:tcW w:w="460" w:type="dxa"/>
            <w:vAlign w:val="bottom"/>
          </w:tcPr>
          <w:p>
            <w:pPr>
              <w:spacing w:after="0" w:line="151" w:lineRule="exact"/>
              <w:rPr>
                <w:sz w:val="20"/>
                <w:szCs w:val="20"/>
                <w:color w:val="auto"/>
              </w:rPr>
            </w:pPr>
            <w:r>
              <w:rPr>
                <w:rFonts w:ascii="Arial" w:cs="Arial" w:eastAsia="Arial" w:hAnsi="Arial"/>
                <w:sz w:val="17"/>
                <w:szCs w:val="17"/>
                <w:color w:val="auto"/>
              </w:rPr>
              <w:t>Chief</w:t>
            </w:r>
          </w:p>
        </w:tc>
        <w:tc>
          <w:tcPr>
            <w:tcW w:w="4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Arial" w:cs="Arial" w:eastAsia="Arial" w:hAnsi="Arial"/>
                <w:sz w:val="17"/>
                <w:szCs w:val="17"/>
                <w:color w:val="auto"/>
              </w:rPr>
              <w:t>Jeffrey S. Doster</w:t>
            </w:r>
          </w:p>
        </w:tc>
        <w:tc>
          <w:tcPr>
            <w:tcW w:w="240" w:type="dxa"/>
            <w:vAlign w:val="bottom"/>
          </w:tcPr>
          <w:p>
            <w:pPr>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Senior Vice President and Chief Information Officer*</w:t>
            </w: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Arial" w:cs="Arial" w:eastAsia="Arial" w:hAnsi="Arial"/>
                <w:sz w:val="17"/>
                <w:szCs w:val="17"/>
                <w:color w:val="auto"/>
              </w:rPr>
              <w:t>Gerard M. Hayden, Jr.</w:t>
            </w:r>
          </w:p>
        </w:tc>
        <w:tc>
          <w:tcPr>
            <w:tcW w:w="240" w:type="dxa"/>
            <w:vAlign w:val="bottom"/>
          </w:tcPr>
          <w:p>
            <w:pPr>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Senior Vice President and Chief Financial Officer</w:t>
            </w: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Arial" w:cs="Arial" w:eastAsia="Arial" w:hAnsi="Arial"/>
                <w:sz w:val="17"/>
                <w:szCs w:val="17"/>
                <w:color w:val="auto"/>
              </w:rPr>
              <w:t>J. Edward Pearson</w:t>
            </w:r>
          </w:p>
        </w:tc>
        <w:tc>
          <w:tcPr>
            <w:tcW w:w="240" w:type="dxa"/>
            <w:vAlign w:val="bottom"/>
          </w:tcPr>
          <w:p>
            <w:pPr>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Senior Vice President and Chief Operating Officer</w:t>
            </w: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Arial" w:cs="Arial" w:eastAsia="Arial" w:hAnsi="Arial"/>
                <w:sz w:val="17"/>
                <w:szCs w:val="17"/>
                <w:color w:val="auto"/>
              </w:rPr>
              <w:t>Jeffrey D. Cunningham</w:t>
            </w:r>
          </w:p>
        </w:tc>
        <w:tc>
          <w:tcPr>
            <w:tcW w:w="240" w:type="dxa"/>
            <w:vAlign w:val="bottom"/>
          </w:tcPr>
          <w:p>
            <w:pPr>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Senior Vice President and Chief Technology Officer</w:t>
            </w: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Arial" w:cs="Arial" w:eastAsia="Arial" w:hAnsi="Arial"/>
                <w:sz w:val="17"/>
                <w:szCs w:val="17"/>
                <w:color w:val="auto"/>
              </w:rPr>
              <w:t>Michael Sousa</w:t>
            </w:r>
          </w:p>
        </w:tc>
        <w:tc>
          <w:tcPr>
            <w:tcW w:w="240" w:type="dxa"/>
            <w:vAlign w:val="bottom"/>
          </w:tcPr>
          <w:p>
            <w:pPr>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w w:val="90"/>
              </w:rPr>
              <w:t>Senior Vice President and President, Verity, Inc., a HealthStream Company</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7"/>
                <w:szCs w:val="17"/>
                <w:color w:val="auto"/>
              </w:rPr>
              <w:t>Michael M. Collier</w:t>
            </w:r>
          </w:p>
        </w:tc>
        <w:tc>
          <w:tcPr>
            <w:tcW w:w="240" w:type="dxa"/>
            <w:vAlign w:val="bottom"/>
          </w:tcPr>
          <w:p>
            <w:pPr>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w w:val="99"/>
              </w:rPr>
              <w:t>Senior Vice President, Business Development and General Counsel</w:t>
            </w:r>
          </w:p>
        </w:tc>
        <w:tc>
          <w:tcPr>
            <w:tcW w:w="0" w:type="dxa"/>
            <w:vAlign w:val="bottom"/>
          </w:tcPr>
          <w:p>
            <w:pPr>
              <w:spacing w:after="0"/>
              <w:rPr>
                <w:sz w:val="1"/>
                <w:szCs w:val="1"/>
                <w:color w:val="auto"/>
              </w:rPr>
            </w:pPr>
          </w:p>
        </w:tc>
      </w:tr>
    </w:tbl>
    <w:p>
      <w:pPr>
        <w:ind w:firstLine="8"/>
        <w:spacing w:after="0" w:line="257" w:lineRule="auto"/>
        <w:tabs>
          <w:tab w:leader="none" w:pos="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previously announced on February 20, 2018, Mr. Doster has tendered his resignation as our Senior Vice President and Chief Information Officer, which will be effective as of March 30, 2018.</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Robert A. Frist, Jr., one of our co-founders, has served as our chief executive officer and chairman of the board of directors since 1990 and president since 2001. Mr. Frist is the company’s chief operating decision maker. He graduated with a Bachelor of Science in Business with concentrations in Finance, Economics and Marketing from Trinity University.</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Jeffrey S. Doster joined the Company in May 2008 as senior vice president and chief technology officer and was promoted to chief information officer in July 2017. He earned undergraduate degrees in both Economics and Business Administration from Towson University, as well as a Master of Business Administration from Loyola College, in Maryland.</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Gerard M. Hayden, Jr. joined the Company as senior vice president and chief financial officer in May 2008. He earned a Bachelor of Arts from the University of Notre Dame and a Master of Science from Northeastern University.</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J. Edward Pearson joined the Company in June 2006 as senior vice president and was promoted to chief operating officer in 2011. He earned a Bachelor of Business Administration in Accounting from Middle Tennessee State University.</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Michael Sousa joined the Company in October 2004 and served as senior vice president of sales from January 2010 to June 2014. In June 2014, he was promoted to senior vice president of business development. In September 2015, he was named president of Echo, Inc. (now known as Verity, Inc., a HealthStream Company), HealthStream’s Provider Solutions business segment, while continuing to serve as a senior vice president of the Company. He earned a Bachelor of Science degree from Boston College and a Master of Business Administration from Boston University.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Michael M. Collier joined the Company in August 2011 as vice president and general counsel, began serving as the vice president of business development and general counsel shortly thereafter, and was promoted to senior vice president of business development and general counsel in July 2017. Mr. Collier also serves as the Company’s Corporate Secretary. He graduated with bachelors and masters degrees in Philosophy and Religion from University of Tennessee-Knoxville and earned a Juris Doctorate (J.D.) from University of California, Berkeley – School of Law.</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that the risks and uncertainties described below are the principal material risks facing the Company as of the date of this report. In the future, we may become subject to additional risks that are not currently known to us. Our business, financial condition, results of operations, and/or prospects could be materially and adversely affected by the occurrence of any of the following risks and uncertainties. Additional risks or uncertainties not presently know to us, or that we currently deem immaterial, also may adversely affect our business, financial condition, results of operations, and prospects. The trading price of our common stock could also decline due to the occurrence of any of the following risks or any unknown risks.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Model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51" w:lineRule="exact"/>
        <w:rPr>
          <w:sz w:val="20"/>
          <w:szCs w:val="20"/>
          <w:color w:val="auto"/>
        </w:rPr>
      </w:pPr>
    </w:p>
    <w:p>
      <w:pPr>
        <w:ind w:left="220" w:hanging="212"/>
        <w:spacing w:after="0" w:line="274"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delays, and difficulties in identifying and developing new products or services and integrating such new products or services into our existing organization;</w:t>
      </w:r>
    </w:p>
    <w:p>
      <w:pPr>
        <w:spacing w:after="0" w:line="39"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leverage our operational and financial systems and processes sufficiently to support our growth;</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generate sufficient revenue from our products to offset investment costs;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effectively identify, manage, and exploit existing and emerging market opportunities;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maintain our existing customer relationships;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competition from new and existing competitors;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lengthy sales cycles, or customers delaying purchasing decisions or payments due to economic conditions;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spending within our target markets;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of the market for our products and services to grow to a sufficient size or at a sufficient rate; and</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hire sufficient number of qualified employees to execute and support the growth of the Company.</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If any of these risks are realized, our business, and our competitive position in the industry, could suffer.</w:t>
      </w:r>
    </w:p>
    <w:p>
      <w:pPr>
        <w:spacing w:after="0" w:line="115"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part of our growth strategy, we actively review possible acquisitions, joint ventures, collaborative arrangements or strategic investments that complement or enhance our business. We may not be able to identify, complete or integrate the operations of such acquisitions, joint ventures, collaborative arrangements or other strategic investments.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strategic investment strategies include:</w:t>
      </w:r>
    </w:p>
    <w:p>
      <w:pPr>
        <w:spacing w:after="0" w:line="60" w:lineRule="exact"/>
        <w:rPr>
          <w:sz w:val="20"/>
          <w:szCs w:val="20"/>
          <w:color w:val="auto"/>
        </w:rPr>
      </w:pPr>
    </w:p>
    <w:p>
      <w:pPr>
        <w:ind w:left="220" w:hanging="212"/>
        <w:spacing w:after="0" w:line="274"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expenses, delays or difficulties in identifying and integrating acquired companies or joint venture operations, collaborative arrangements or other strategic investments into our organization;</w:t>
      </w:r>
    </w:p>
    <w:p>
      <w:pPr>
        <w:spacing w:after="0" w:line="39" w:lineRule="exact"/>
        <w:rPr>
          <w:rFonts w:ascii="Arial" w:cs="Arial" w:eastAsia="Arial" w:hAnsi="Arial"/>
          <w:sz w:val="17"/>
          <w:szCs w:val="17"/>
          <w:color w:val="auto"/>
        </w:rPr>
      </w:pPr>
    </w:p>
    <w:p>
      <w:pPr>
        <w:ind w:left="220" w:hanging="212"/>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retain personnel associated with acquisitions, joint ventures, collaborative arrangements or other strategic investments;</w:t>
      </w:r>
    </w:p>
    <w:p>
      <w:pPr>
        <w:spacing w:after="0" w:line="88" w:lineRule="exact"/>
        <w:rPr>
          <w:rFonts w:ascii="Arial" w:cs="Arial" w:eastAsia="Arial" w:hAnsi="Arial"/>
          <w:sz w:val="17"/>
          <w:szCs w:val="17"/>
          <w:color w:val="auto"/>
        </w:rPr>
      </w:pPr>
    </w:p>
    <w:p>
      <w:pPr>
        <w:ind w:left="220" w:hanging="212"/>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diversion of management’s attention from other initiatives and/or day-to-day operations to effectively execute our growth strategy; and</w:t>
      </w:r>
    </w:p>
    <w:p>
      <w:pPr>
        <w:spacing w:after="0" w:line="88" w:lineRule="exact"/>
        <w:rPr>
          <w:rFonts w:ascii="Arial" w:cs="Arial" w:eastAsia="Arial" w:hAnsi="Arial"/>
          <w:sz w:val="17"/>
          <w:szCs w:val="17"/>
          <w:color w:val="auto"/>
        </w:rPr>
      </w:pPr>
    </w:p>
    <w:p>
      <w:pPr>
        <w:ind w:left="220" w:right="20" w:hanging="212"/>
        <w:spacing w:after="0" w:line="274"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generate sufficient revenue, profit, and cash flow from acquisitions, joint ventures, collaborative arrangements or other strategic investments to offset our investment costs.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accurately forecast revenue for certain products and services may be hindered by customer scheduling.</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diversify and become more sophisticated. Certain project-based products, such as consulting,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 In addition, some products, including those in our Workforce Development and Provider Solutions segments, can require significant implementation lead times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and resources, and may require a level of change management efforts from our clients, which may also impact our ability to accurately forecast financial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accurately forecast revenue may be affected by lengthy and widely varying sales cycles.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we have only limited ability to forecast the timing and type of initial sales. This, in turn, makes it more difficult to forecast quarterly and annual financial performance.</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Several of our competitors and many potential competitors have longer operating histories and significantly greater financial, technical, marketing, or other resources than we do. We encounter direct competition from both large and small talent and human resource management companies and other companies focused on workforce development in the healthcare industry, as well as companies that offer provider solutions. Given the profile and growth of the healthcare industry and the ongoing need for training, simulation, credentialing, and other information products and services,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Further, most of our customer agreements are for terms ranging from one to three years, with no obligation to renew. The terms of these agreements may enable customers to more easily shift to one of our competitors.</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entered into contracts with strategic partners,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for such strategic partners in using alternative products being developed and marketed by them or our competitors, rather than our products and services.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Lastly, we could be subject to claims and liability, as a result of the activities, products, or services of these strategic partners, and/or our acts or omissions with regard to these strategic partners.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retain distribution rights from our content partners, which could adversely affect our business and results of operations.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Most of our agreements with content and technology providers are for initial terms of three or more years. These partners may choose not to renew their agreements with us or may terminate the agreements early if we do not fulfill our contractual obligations. If a significant number of our partners terminate or fail to renew their agreements with us on as favorable terms, such as a reduction in our revenue share arrangement, it could result in a reduction in the number of courses and solutions we are able to distribute and decreased revenues. Most of our agreements with our content partners are non-exclusive, and our competitors offer, or could offer, content or solutions that are similar to or the same as ours. If our current partners offer or otherwise make available their products and services to users or our competitors on more favorable terms than those offered to us, or increase our license fees, our competitive position, revenue, and our profit margins and prospects could be harmed. In addition, the failure by our partners to deliver high-quality content and technology, and to revise their content and technology, in response to user demand and evolving healthcare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advances and trends could result in customer dissatisfaction and inhibit our ability to attract and retain subscribers.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will adopt such new products and services. Because healthcare technology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is generated from a relatively small number of customers.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 the year ended December 31, 2017, approximately 69% of our net revenue was derived from our workforce subscription-based solution products. Our subscription-based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 For example, the requirement mandated by CMS for healthcare organizations to transition to the ICD-10 coding system, effective in October 2015, generated significant demand for our ICD-10 readiness training courseware from 2012 through 2015, when subscriptions for that product positively influenced the Company’s revenue and operating income. However, sales of that product have ceased and revenue and operating income from that product declined significantly during 2016 and have ceased altogether as of December 31, 2017. HealthStream Provider Solutions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ability to recognize revenue is dependent upon several factors including the transfer of customer-specific information such as unique subscriber IDs, which are required for us to implement customers on our subscription-based platform and certain platform applications. Accordingly, if customers do not provide us with the specified information in a timely manner, our ability to recognize revenue will be delayed, which could adversely impact our operating results. In addition, implementation completion and acceptance of our subscription-based platform and certain platform applications by our customers must be achieved and delivery of services is required in connection with subscription-based products for us to recognize revenue. Some products, including those in our Provider Solutions segment, can require significant implementation lead times and the rate at which customer orders move from backlog to revenue generation in connection with these products may significantly affect the timing of revenue recognition.</w:t>
      </w:r>
    </w:p>
    <w:p>
      <w:pPr>
        <w:spacing w:after="0" w:line="8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During the year ended December 31, 2017, we recognized approximately 69% of our revenue from customers monthly over the terms of their subscription agreements, which have initial contract terms ranging from one to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meet our strategic business objectives unless we obtain additional financing, which may not be available to us on favorable terms, or at all.</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However, we may need to raise additional funds in order to:</w:t>
      </w:r>
    </w:p>
    <w:p>
      <w:pPr>
        <w:spacing w:after="0" w:line="92" w:lineRule="exact"/>
        <w:rPr>
          <w:sz w:val="20"/>
          <w:szCs w:val="20"/>
          <w:color w:val="auto"/>
        </w:rPr>
      </w:pPr>
    </w:p>
    <w:p>
      <w:pPr>
        <w:ind w:left="1360" w:hanging="326"/>
        <w:spacing w:after="0"/>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new, or enhance existing, services or products;</w:t>
      </w:r>
    </w:p>
    <w:p>
      <w:pPr>
        <w:spacing w:after="0" w:line="128" w:lineRule="exact"/>
        <w:rPr>
          <w:rFonts w:ascii="Arial" w:cs="Arial" w:eastAsia="Arial" w:hAnsi="Arial"/>
          <w:sz w:val="17"/>
          <w:szCs w:val="17"/>
          <w:color w:val="auto"/>
        </w:rPr>
      </w:pPr>
    </w:p>
    <w:p>
      <w:pPr>
        <w:ind w:left="1360" w:hanging="326"/>
        <w:spacing w:after="0"/>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respond to competitive pressures;</w:t>
      </w:r>
    </w:p>
    <w:p>
      <w:pPr>
        <w:spacing w:after="0" w:line="128" w:lineRule="exact"/>
        <w:rPr>
          <w:rFonts w:ascii="Arial" w:cs="Arial" w:eastAsia="Arial" w:hAnsi="Arial"/>
          <w:sz w:val="17"/>
          <w:szCs w:val="17"/>
          <w:color w:val="auto"/>
        </w:rPr>
      </w:pPr>
    </w:p>
    <w:p>
      <w:pPr>
        <w:ind w:left="1360" w:hanging="326"/>
        <w:spacing w:after="0"/>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finance working capital requirements;</w:t>
      </w:r>
    </w:p>
    <w:p>
      <w:pPr>
        <w:spacing w:after="0" w:line="128" w:lineRule="exact"/>
        <w:rPr>
          <w:rFonts w:ascii="Arial" w:cs="Arial" w:eastAsia="Arial" w:hAnsi="Arial"/>
          <w:sz w:val="17"/>
          <w:szCs w:val="17"/>
          <w:color w:val="auto"/>
        </w:rPr>
      </w:pPr>
    </w:p>
    <w:p>
      <w:pPr>
        <w:ind w:left="1360" w:hanging="326"/>
        <w:spacing w:after="0"/>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acquire or invest in complementary businesses, technologies, content or products; or</w:t>
      </w:r>
    </w:p>
    <w:p>
      <w:pPr>
        <w:spacing w:after="0" w:line="128" w:lineRule="exact"/>
        <w:rPr>
          <w:rFonts w:ascii="Arial" w:cs="Arial" w:eastAsia="Arial" w:hAnsi="Arial"/>
          <w:sz w:val="17"/>
          <w:szCs w:val="17"/>
          <w:color w:val="auto"/>
        </w:rPr>
      </w:pPr>
    </w:p>
    <w:p>
      <w:pPr>
        <w:ind w:left="1360" w:hanging="326"/>
        <w:spacing w:after="0"/>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otherwise effectively execute our growth strategy.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2017, we had approximately $131.1 million in cash, cash equivalents, and marketable securities. In addition, in connection with the sale of our Patient Experience business for $65.5 million in cash, which was completed in February 2018, we anticipate recording a pre-tax book gain in the first quarter of 2018 between $34.0 million and $38.0 million. Following this disposition, our Board of Directors declared a dividend of $1.00 per common share, or approximately $32.5 million, payable on April 3, 2018 to shareholders of record on March 6, 2018. We also have up to $50.0 million of availability under our Revolving Credit Facility, subject to certain covenants, which expires in November 2018. We expect to incur approximately $20.0 million of capital expenditures, software development and content purchases during 2018.</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actively review possible business acquisitions to complement or enhance our products and services. We may not have adequate cash and investments or availability under our Revolving Credit Facility to consummate one or more of these acquisitions.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2017, our balance sheet included goodwill of $110.3 million and net identifiable intangible assets of $68.8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values that do not support the carrying value of goodwill and identifiable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affected by healthcare reform efforts and other changes in the healthcare industry that impact our clients.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clients are concentrated in the healthcare industry, which is subject to changing regulatory, economic, and political conditions. In 2017, we observed an increase in bankruptcies among healthcare providers. This decrease in creditworthiness among certain of our customers along with other economic challenges facing the healthcare sector caused our bad debt expense to increase from $640,000 in 2016 to $1.8 million in 2017. Continuance or escalation of this development could result in our inability to collect amounts owed from existing clients and decrease our ability to gain new clients, which could adversely impact our revenue, results of operations, and ability to execute on our growth strategy.</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U.S. Congress and certain state legislatures have passed or are considering laws and regulations intended to result in major changes to the U.S. healthcare system. The most prominent of these reform efforts, the Patient Protection and Affordable Care Act, as amended by the Healthcare and Education Reconciliation Act of 2010 (collectively, Affordable Care Act), was designed to increase access to affordable health insurance for U.S. citizens and improve quality of care, but it also has reduced government program spending and imposed operating costs and changes on many of our clients.</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However, efforts by the presidential administration and certain members of Congress to repeal or make significant changes to the Affordable Care Act, its implementation and/or its interpretation have cast considerable uncertainty on the future of the law. For as part of tax reform legislation enacted in December 2017, Congress eliminated the financial penalty associated with the individual mandate, effective January 2019, which may impact the number of individuals that elect to purchase health insurance. In addition, a presidential executive order has been signed that directs agencies to minimize “economic and regulatory burdens” of the Affordable Care Act. There is uncertainty regarding whether, when, and how the Affordable Care Act will be changed, what alternative provisions, if any, will be enacted, the timing of enactment and implementation of alternative provisions, the impact of alternative provisions on providers as well as other healthcare industry participants, and how the law will be interpreted and implemented. Changes by Congress or government agencies could eliminate or alter provisions beneficial to us while leaving in place provisions reducing our reimbursement. Some of the recent changes in the healthcare industry have driven consolidation, particularly among health insurance providers. Other industry participants, such as large employer groups and their affiliates, may intensify competitive pressures. Efforts to repeal or change the Affordable Care Act or implement other initiatives intended to reform healthcare delivery and financial systems may have an adverse effect on our clients. Any such regulatory developments, as well as other healthcare-related or other developments that adversely impact the business or financial condition of our clients, could reduce the amount of business we receive from such clients and thus have an adverse effect on our results of operations.</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demonstrate compliance with Sarbanes-Oxley Section 404 in a timely manner, and the correction of any deficiencies identified during annual audits may be costly and could harm our business.</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Changes in accounting standards issued by the Financial Accounting Standards Board, or FASB, including the new revenue recognition accounting standard, could adversely effect on our balance sheet, revenue, and results of operations, and could require a significant expenditure of time, attention and resources, especially by senior management.</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accounting and financial reporting policies conform to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Such changes could also cause us to alter the manner in which we contract for, sell, and incentivize sales of products and services. Changes to either revenue recognition or expense recognition accounting practices could affect our financial results.</w:t>
      </w:r>
    </w:p>
    <w:p>
      <w:pPr>
        <w:spacing w:after="0" w:line="140"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May 2014, the Financial Accounting Standards Board issued Accounting Standards Update No. 2014-09, Revenue from Contracts with Customers (Topic 606) (“ASU 2014-09”), which supersedes nearly all existing revenue recognition guidance. We have adopted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standard utilizing the modified retrospective approach effective as of January 1, 2018.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We will be finalizing our determination regarding the financial impact of the adoption of this accounting standard on our future financial statements in the first quarter of 2018, but it is possible that the adoption of such standard could have an adverse impact on the timing of our revenue recognition and thus adversely impact the amount of our revenue in any particular period.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Sales, Marketing and Competition</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operating margins could be affected if our ongoing refinement to pricing models for our products and services is not accepted by our customers and the market.</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continue to make changes in the pricing of our product and service offerings so as to increase revenue and meet the needs of our customers. We cannot predict whether the current pricing of our products and services, or any ongoing refinements we make will be accepted by our existing customer base or by prospective customers. If our customers and potential customers decide not to accept our current or future pricing or product and service offerings, it could have an adverse effect on our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provided our online products and services for over 18 years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and to implement the services, including customer support, necessary to meet the demand for our products and services.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of workforce development and provider solutions services. If this happens, our reputation, results of operations, and financial condition could be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operations could be significantly disrupted if we lose members of, or fail to attract and integrate new members to, our management team.</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8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We may not be able to attract, hire and retain a sufficient number of qualified employees and, as a result, we may not be able to effectively execute our growth strategy or maintain the quality of our services.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future success will depend on our ability to attract, train, motivate, and retain other highly skilled technical, managerial, marketing, sales, customer support, coaching, and survey personnel. Competition for certain personnel is intense, especially for software developers, web designers, user experience and interaction designers, and sales personnel, and we may be unable to successfully attract sufficiently qualified personnel. We have experienced in the past, and continue to experience, difficulty hiring qualified personnel in a timely manner for these positions. The pool of qualified technical personnel, in particular, is limited in Nashville, Tennessee, where our headquarters are located. Similar challenges exist within our Provider Solutions segment in our locations in San Diego, California, and Boulder, Colorado. We will also need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upgrade our hardware and software technology infrastructure quickly enough to effectively meet demand for our services or our operational needs.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also could discourage current and potential customers from using or continuing to use our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as we develop our platforms and rely on ever changing and improving technologies, we may be impeded by our customers’ inability to adopt new technologies, such as web browsers, upon which new platform enhancements may be based.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network infrastructure and computer systems and software may fail.</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An unexpected event (including but not limited to a cyber-security incident, telecommunications failure, fire, earthquake, or other catastrophic loss) at our Internet service providers’ facilities or at our on-site data center facilities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cyber liability and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revenues.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lose users and lose revenue if our security measures fail.</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penetration and vulnerability testing,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b w:val="1"/>
          <w:bCs w:val="1"/>
          <w:i w:val="1"/>
          <w:iCs w:val="1"/>
          <w:color w:val="auto"/>
        </w:rPr>
        <w:t>A data breach or security incident could result in a loss of confidential data, give rise to remediation and other expenses, expose us to liability under HIPAA, the Health Information Technology for Economic and Clinical Health Act (HITECH), state privacy laws, consumer protection laws, common law theories or other laws, subject us to litigation and federal and state governmental inquiries, damage our reputation, and otherwise be disruptive to our business.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collect and store sensitive information, including intellectual property, individually identifiable health information, provider credentialing and privileging data, and other personally identifiable information, on our networks. The secure maintenance of this information is critical to our business operations. As a result, the continued development and enhancement of controls, processes, and practices designed to protect our information systems from attack, damage, or unauthorized access remain a priority for us. We have implemented multiple layers of security measures to protect this confidential data through technology, processes, and our people, and our defenses are monitored and routinely tested internally and by external parties. Despite these efforts, a data breach or security incident could result from a variety of circumstances and events, including third-party action, system errors, employee negligence or error, malfeasance, computer viruses,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In addition, third party IT vendors may not provide us with fixes or updates to hardware or software in a manner as to avoid an unauthorized loss or disclosure or to address a known vulnerability, which may subject us to known threats or downtime as a result of those delays.</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There can be no assurance that we will not be subject to data incidents that bypass our security measures, result in loss of confidential information, or disrupt our information systems or business. Data incidents could result in interruptions, delays, loss, access, misappropriation, and disclosure or corruption of data and could damage our reputation. In addition, data incidents could expose us and our customers to liability under privacy, security, and consumer protection laws, such as HIPAA, or litigation under these or other laws, including common law theories, and subject us to federal and state governmental inquiries or enforcement, especially if a large number of individuals are affected or if the compromised information is highly sensitive. Like many other organizations, we have experienced data incidents from time to time in the course of our business and handled these incidents in accordance with our internal policies and understanding of the applicable laws.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cyber and other threats to confidential information continue to evolve, we may be required to expend significant additional resources to continue to modify or enhance our protective measures or to investigate and remediate any security vulnerabilities. The occurrence of a data incident and the resulting potential costs and liabilities could have an adverse effect on our financial position and results of operations and harm our business reputation.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We may experience errors or omissions in our software products or processes, including those that deliver provider credentialing, privileging and payer enrollment services for our hospitals and medical practice customers, and those that administer and report on hospital performance, and these errors could result in action taken against us that could harm our business.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Hospitals and medical practices use our credentialing, privileging, and payer enrollment software to manage, validate, and maintain their providers’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improperly deny or authorize a provider to practice in a hospital or medical practice, these errors or omissions could result in litigation brought against us either by our customers, the provider,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Certain survey data will continue to be reported by us in relation to the Shared Contracts (as defined and described below), such as the survey data included as part of our CAHPS</w:t>
      </w:r>
      <w:r>
        <w:rPr>
          <w:rFonts w:ascii="Arial" w:cs="Arial" w:eastAsia="Arial" w:hAnsi="Arial"/>
          <w:sz w:val="14"/>
          <w:szCs w:val="14"/>
          <w:color w:val="auto"/>
        </w:rPr>
        <w:t>®</w:t>
      </w:r>
      <w:r>
        <w:rPr>
          <w:rFonts w:ascii="Arial" w:cs="Arial" w:eastAsia="Arial" w:hAnsi="Arial"/>
          <w:sz w:val="17"/>
          <w:szCs w:val="17"/>
          <w:color w:val="auto"/>
        </w:rPr>
        <w:t xml:space="preserve"> Hospital survey is used by CMS to determine, in part, the amount of reimbursement payments to hospitals, and any errors in data collection, survey sampling, or statistical reporting could result in reduced reimbursements to our hospital customers if we are unable to correct these errors or ensure that they are corrected, and this could, in turn, result in litigation or claims against us. Further, this survey data reported to CMS is then published by CMS to the general public, and any errors we experience that result in incorrect scoring of our hospital customer may result in damage to that hospital’s reputation, and the hospital may in turn bring litigation against us.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may be required to indemnify against such claims, and defending against any such claims could be costly, and time-consuming and could negatively affect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non-renewal of our existing agreements with Laerdal could adversely affect our business and future results of operations.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 HealthStream in relation to such products. Our Joint Marketing and Licensing Agreements with Laerdal for HeartCode and for RQI, respectively, will expire on December 31, 2018.</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Revenues associated with the sales of HeartCode and RQI products have been significant in recent years, although margins on such products have been lower than HealthStream’s average margin. While we are in active negotiations to deliver resuscitation programs to our customers following the expiration of our agreements with Laerdal, there is no assurance that we will be successful in these efforts. To the extent we are not successful in these efforts and new resuscitation programs do not generate revenue and/or earnings in a manner that supplants the impact of these Laerdal agreements, our revenue and results of operations will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certain risks associated with the sale of our Patient Experience business which was completed in February 2018.</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February 2018, we completed the sale of our PX business to Press Ganey. As a result of this transaction, we are now highly dependent on the success of our two remaining business segments, our workforce solutions segment and provider solutions segment. In addition, in connection with the sale of our PX business to Press Ganey, we agreed to indemnify Press Ganey with respect to certain matters, including the breach of our representations, warranties and covenants contained in the agreements related to this transaction. A material breach or inaccuracy of these representations, warranties and covenants in any of the agreements related to those transactions could lead to a claim against us, which could require us to pay substantial sums and incur related costs and expenses.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addition, many of the customer contracts associated with the PX business were shared contracts (“Shared Contracts”) under which we provide services in connection with our existing businesses and under which we previously (prior to the closing of the sale of our Patient Experience business) provided services in connection with the Patient Experience business. Under the terms of our agreement with Press Ganey, these Shared Contracts will be retained by us; however, Press Ganey will provide services to our customers under these Shared Contracts to the extent related to the Patient Experience business (and will be entitled to receive the benefit of payments made by our customers in connection therewith) until such time that Press Ganey obtains a replacement contract and/or an assignment with respect to the portion of the Shared Contract that relates to the Patient Experience business. As a result, if Press Ganey is unable to satisfy its obligations under the Shared Contracts or if other issues arise in connection this arrangement, we could incur operational or reputational losses that may adversely affect our results of operations or business. Moreover, under the terms of our transition services agreement with Press Ganey, we will provide certain technology, financial and operational transitional services for a period of time following the closing (not to exceed one year). In connection therewith, we have certain obligations (including indemnification obligations) in respect of which we may incur additional expense or liability.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Content and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may subject us to investigation, litigation, or liability or require us to change the way we do business.</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For example, we are directly subject to certain requirements of the HIPAA privacy and security regulations. In addition, we are required through contracts with our customers known as “business associate agreements” to protect the privacy and security of certain personal and health related information. Further, government laws and regulations, such as the Affordable Care Act, that directly affect our customers, can have an indirect impact on our business.</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rapidly evolving and uncertain regulatory and technology environment could require us to change how we do business or incur additional costs. It may be difficult to predict how changes to these laws and regulations might affect our business. Our current and past privacy and security practices, including any breaches of protected health information or other data, could be subject to review or other investigation by various state and federal regulatory authorities or could become the subject of future litigation.</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Failure to comply with applicable laws and regulations, including those governing privacy and security, could subject us to civil and criminal penalties, subject us to contractual penalties (including termination of our customer agreements), adversely affect our ability to retain clients and attract new clients, damage our reputation, or otherwise have a detrimental impact on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 or change in the regulation of continuing education and training in the healthcare industry may adversely affect our business.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liable to third parties for content that is available from our online library.</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may be liable to third parties for the content in our online library if the text, graphics, software, or other content in our library violates copyright, trademark, or other intellectual property rights, if our content partners violate their contractual obligations to others by providing content to our library, or if the content is inaccurate, incomplete, or does not conform to accepted standards of care in the healthcare profession. Further, we may be liable to these content partners if we improperly release and lose control of their content stored on our platform either due to security issues or through improper release to customers who have not paid for access to this content.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Protection of certain intellectual property may be difficult and costly, and our inability to protect our intellectual property could reduce the value of our products and services.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Despite our efforts to protect our intellectual property rights, as well as the intellectual property rights of our strategic partners, a third party could, without authorization, copy or otherwise misappropriate our content, information from our databases, or other intellectual property, including that of our third party strategic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spacing w:after="0" w:line="8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business could be harmed if unauthorized parties infringe upon or misappropriate our intellectual property, proprietary systems, content, platform, services or other information, or the intellectual property of our strategic partners. Our efforts to protect our intellectual property through copyright, trademarks, and other controls, as well as our efforts to protect the intellectual property of our strategic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strategic partners, and could be required to indemnify such strategic partners if we do not adequately provide such protections.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There has been substantial litigation in the software services and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liable for infringing the intellectual property rights of others.</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A variety of other state, national, foreign, and international laws and regulations apply to the collection, use, retention, protection, security, disclosure, transfer, and other processing of personal data. Many foreign data privacy regulations (including the General Data Protection Regulation (GDPR), which becomes effective in the European Union on May 25, 2018, and China’s new Cybersecurity Law) are more stringent than those in the United States. These laws and regulations are rapidly evolving and changing, and could have an adverse effect on our operations. Companies’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prevent us from selling our products or services, and/or affect our ability to invest in or jointly develop products. We may also face audits or investigations by one or more domestic or foreign government agencies relating to our compliance with these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Tax Cuts and Jobs Act could significantly impact the Company.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Tax Cuts and Jobs Act of 2017 (“Tax Act”), which was signed into law on December 22, 2017, makes significant changes to the taxation of U.S. business entities. These changes include a permanent reduction to the federal corporate income tax rate to 21 percent from 35 percent, among others. The Company is currently evaluating the Tax Act with its professional advisors; the full impact of the Tax Act on the Company in future periods cannot be determined at this time and the Company provides no assurances in that regard.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principal office is located in Nashville, Tennessee, which is primarily used to support our workforce solutions operations and corporate functions. Our lease for approximately 73,000 square feet at this location expires in April 2019, at or near which time we expect to relocate our corporate headquarters to nearby space with approximately 66,000 square feet in Nashville, the lease for which we entered into in April 2017. As of December 31, 2017, we leased other facilities in Columbia, Maryland (such leased facility was included in the sale of our PX business); Nashville, Tennessee; Jericho, New York; Brentwood, Tennessee; San Diego, California; Chicago, Illinois; and Boulder, Colorado.</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common stock is traded on the Nasdaq Global Select Market under the symbol “HSTM”. Our common stock began trading on the Nasdaq National Market on April 14, 2000.</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sets forth, for each quarter of the two most recent years, the high and low closing prices per share of our common stock as reported on the Nasdaq Global Select Market: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w w:val="90"/>
              </w:rPr>
              <w:t>Common Stock Price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4100" w:type="dxa"/>
            <w:vAlign w:val="bottom"/>
            <w:gridSpan w:val="5"/>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High</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4"/>
              <w:spacing w:after="0" w:line="183" w:lineRule="exact"/>
              <w:rPr>
                <w:sz w:val="20"/>
                <w:szCs w:val="20"/>
                <w:color w:val="auto"/>
              </w:rPr>
            </w:pPr>
            <w:r>
              <w:rPr>
                <w:rFonts w:ascii="Arial" w:cs="Arial" w:eastAsia="Arial" w:hAnsi="Arial"/>
                <w:sz w:val="16"/>
                <w:szCs w:val="16"/>
                <w:b w:val="1"/>
                <w:bCs w:val="1"/>
                <w:color w:val="auto"/>
                <w:w w:val="93"/>
              </w:rPr>
              <w:t>Low</w:t>
            </w:r>
          </w:p>
        </w:tc>
        <w:tc>
          <w:tcPr>
            <w:tcW w:w="980" w:type="dxa"/>
            <w:vAlign w:val="bottom"/>
            <w:gridSpan w:val="4"/>
          </w:tcPr>
          <w:p>
            <w:pPr>
              <w:ind w:left="540"/>
              <w:spacing w:after="0" w:line="183" w:lineRule="exact"/>
              <w:rPr>
                <w:sz w:val="20"/>
                <w:szCs w:val="20"/>
                <w:color w:val="auto"/>
              </w:rPr>
            </w:pPr>
            <w:r>
              <w:rPr>
                <w:rFonts w:ascii="Arial" w:cs="Arial" w:eastAsia="Arial" w:hAnsi="Arial"/>
                <w:sz w:val="16"/>
                <w:szCs w:val="16"/>
                <w:b w:val="1"/>
                <w:bCs w:val="1"/>
                <w:color w:val="auto"/>
              </w:rPr>
              <w:t>High</w:t>
            </w: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ind w:right="200"/>
              <w:spacing w:after="0" w:line="183" w:lineRule="exact"/>
              <w:rPr>
                <w:sz w:val="20"/>
                <w:szCs w:val="20"/>
                <w:color w:val="auto"/>
              </w:rPr>
            </w:pPr>
            <w:r>
              <w:rPr>
                <w:rFonts w:ascii="Arial" w:cs="Arial" w:eastAsia="Arial" w:hAnsi="Arial"/>
                <w:sz w:val="16"/>
                <w:szCs w:val="16"/>
                <w:b w:val="1"/>
                <w:bCs w:val="1"/>
                <w:color w:val="auto"/>
                <w:w w:val="87"/>
              </w:rPr>
              <w:t>Low</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324"/>
              <w:spacing w:after="0"/>
              <w:rPr>
                <w:sz w:val="20"/>
                <w:szCs w:val="20"/>
                <w:color w:val="auto"/>
              </w:rPr>
            </w:pPr>
            <w:r>
              <w:rPr>
                <w:rFonts w:ascii="Arial" w:cs="Arial" w:eastAsia="Arial" w:hAnsi="Arial"/>
                <w:sz w:val="15"/>
                <w:szCs w:val="15"/>
                <w:color w:val="auto"/>
                <w:w w:val="71"/>
              </w:rPr>
              <w:t>45</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vMerge w:val="continue"/>
            <w:shd w:val="clear" w:color="auto" w:fill="CCEEFF"/>
          </w:tcPr>
          <w:p>
            <w:pPr>
              <w:spacing w:after="0"/>
              <w:rPr>
                <w:sz w:val="15"/>
                <w:szCs w:val="15"/>
                <w:color w:val="auto"/>
              </w:rPr>
            </w:pPr>
          </w:p>
        </w:tc>
        <w:tc>
          <w:tcPr>
            <w:tcW w:w="3320" w:type="dxa"/>
            <w:vAlign w:val="bottom"/>
            <w:vMerge w:val="continue"/>
            <w:shd w:val="clear" w:color="auto" w:fill="CCEEFF"/>
          </w:tcPr>
          <w:p>
            <w:pPr>
              <w:spacing w:after="0"/>
              <w:rPr>
                <w:sz w:val="15"/>
                <w:szCs w:val="15"/>
                <w:color w:val="auto"/>
              </w:rPr>
            </w:pPr>
          </w:p>
        </w:tc>
        <w:tc>
          <w:tcPr>
            <w:tcW w:w="60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25.56</w:t>
            </w:r>
          </w:p>
        </w:tc>
        <w:tc>
          <w:tcPr>
            <w:tcW w:w="280" w:type="dxa"/>
            <w:vAlign w:val="bottom"/>
            <w:gridSpan w:val="2"/>
            <w:vMerge w:val="continue"/>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5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0" w:type="dxa"/>
            <w:vAlign w:val="bottom"/>
            <w:gridSpan w:val="4"/>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22.35</w:t>
            </w:r>
          </w:p>
        </w:tc>
        <w:tc>
          <w:tcPr>
            <w:tcW w:w="280" w:type="dxa"/>
            <w:vAlign w:val="bottom"/>
            <w:gridSpan w:val="2"/>
            <w:vMerge w:val="continue"/>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Second Quarter</w:t>
            </w:r>
          </w:p>
        </w:tc>
        <w:tc>
          <w:tcPr>
            <w:tcW w:w="3920" w:type="dxa"/>
            <w:vAlign w:val="bottom"/>
            <w:gridSpan w:val="4"/>
          </w:tcPr>
          <w:p>
            <w:pPr>
              <w:jc w:val="right"/>
              <w:ind w:right="120"/>
              <w:spacing w:after="0"/>
              <w:rPr>
                <w:sz w:val="20"/>
                <w:szCs w:val="20"/>
                <w:color w:val="auto"/>
              </w:rPr>
            </w:pPr>
            <w:r>
              <w:rPr>
                <w:rFonts w:ascii="Arial" w:cs="Arial" w:eastAsia="Arial" w:hAnsi="Arial"/>
                <w:sz w:val="16"/>
                <w:szCs w:val="16"/>
                <w:color w:val="auto"/>
              </w:rPr>
              <w:t>30.89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24"/>
              <w:spacing w:after="0"/>
              <w:rPr>
                <w:sz w:val="20"/>
                <w:szCs w:val="20"/>
                <w:color w:val="auto"/>
              </w:rPr>
            </w:pPr>
            <w:r>
              <w:rPr>
                <w:rFonts w:ascii="Arial" w:cs="Arial" w:eastAsia="Arial" w:hAnsi="Arial"/>
                <w:sz w:val="16"/>
                <w:szCs w:val="16"/>
                <w:color w:val="auto"/>
              </w:rPr>
              <w:t>23.39</w:t>
            </w:r>
          </w:p>
        </w:tc>
        <w:tc>
          <w:tcPr>
            <w:tcW w:w="1140" w:type="dxa"/>
            <w:vAlign w:val="bottom"/>
            <w:gridSpan w:val="5"/>
          </w:tcPr>
          <w:p>
            <w:pPr>
              <w:jc w:val="right"/>
              <w:ind w:right="140"/>
              <w:spacing w:after="0"/>
              <w:rPr>
                <w:sz w:val="20"/>
                <w:szCs w:val="20"/>
                <w:color w:val="auto"/>
              </w:rPr>
            </w:pPr>
            <w:r>
              <w:rPr>
                <w:rFonts w:ascii="Arial" w:cs="Arial" w:eastAsia="Arial" w:hAnsi="Arial"/>
                <w:sz w:val="16"/>
                <w:szCs w:val="16"/>
                <w:color w:val="auto"/>
              </w:rPr>
              <w:t>26.58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26.39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24"/>
              <w:spacing w:after="0"/>
              <w:rPr>
                <w:sz w:val="20"/>
                <w:szCs w:val="20"/>
                <w:color w:val="auto"/>
              </w:rPr>
            </w:pPr>
            <w:r>
              <w:rPr>
                <w:rFonts w:ascii="Arial" w:cs="Arial" w:eastAsia="Arial" w:hAnsi="Arial"/>
                <w:sz w:val="16"/>
                <w:szCs w:val="16"/>
                <w:color w:val="auto"/>
              </w:rPr>
              <w:t>22.50</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27.65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rPr>
              <w:t>Fourth Quarter</w:t>
            </w:r>
          </w:p>
        </w:tc>
        <w:tc>
          <w:tcPr>
            <w:tcW w:w="3920" w:type="dxa"/>
            <w:vAlign w:val="bottom"/>
            <w:gridSpan w:val="4"/>
          </w:tcPr>
          <w:p>
            <w:pPr>
              <w:jc w:val="right"/>
              <w:ind w:right="120"/>
              <w:spacing w:after="0"/>
              <w:rPr>
                <w:sz w:val="20"/>
                <w:szCs w:val="20"/>
                <w:color w:val="auto"/>
              </w:rPr>
            </w:pPr>
            <w:r>
              <w:rPr>
                <w:rFonts w:ascii="Arial" w:cs="Arial" w:eastAsia="Arial" w:hAnsi="Arial"/>
                <w:sz w:val="16"/>
                <w:szCs w:val="16"/>
                <w:color w:val="auto"/>
              </w:rPr>
              <w:t>24.81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24"/>
              <w:spacing w:after="0"/>
              <w:rPr>
                <w:sz w:val="20"/>
                <w:szCs w:val="20"/>
                <w:color w:val="auto"/>
              </w:rPr>
            </w:pPr>
            <w:r>
              <w:rPr>
                <w:rFonts w:ascii="Arial" w:cs="Arial" w:eastAsia="Arial" w:hAnsi="Arial"/>
                <w:sz w:val="16"/>
                <w:szCs w:val="16"/>
                <w:color w:val="auto"/>
              </w:rPr>
              <w:t>22.37</w:t>
            </w:r>
          </w:p>
        </w:tc>
        <w:tc>
          <w:tcPr>
            <w:tcW w:w="1140" w:type="dxa"/>
            <w:vAlign w:val="bottom"/>
            <w:gridSpan w:val="5"/>
          </w:tcPr>
          <w:p>
            <w:pPr>
              <w:jc w:val="right"/>
              <w:ind w:right="140"/>
              <w:spacing w:after="0"/>
              <w:rPr>
                <w:sz w:val="20"/>
                <w:szCs w:val="20"/>
                <w:color w:val="auto"/>
              </w:rPr>
            </w:pPr>
            <w:r>
              <w:rPr>
                <w:rFonts w:ascii="Arial" w:cs="Arial" w:eastAsia="Arial" w:hAnsi="Arial"/>
                <w:sz w:val="16"/>
                <w:szCs w:val="16"/>
                <w:color w:val="auto"/>
              </w:rPr>
              <w:t>28.39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13, 2018, the Company had a total of 10,576 shareholders, including 547 registered holders and 10,029 beneficial 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declared a $1.00 per common share special cash dividend with the proceeds from the divestiture of the Patient Experience business segment payable on April 3, 2018 to shareholders of record on March 6, 2018. We do not anticipate paying normal cash dividends in the future as we intend to retain earnings for use in the operation of our business.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See the table labeled “Securities Authorized for Issuance Under Equity Compensation Plans” to be contained in our 2018 Proxy Statement, incorporated by reference in Part III, Item 12 of this Annual Report on Form 10-K.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graph below compares HealthStream, Inc.’s cumulative total shareholder return on common stock with the cumulative total returns of companies on the Nasdaq Composite Index and the Nasdaq Computer &amp; Data Processing Index for each of the last five fiscal years ended December 31, 2017, assuming an initial investment of $100. Data for the Nasdaq Composite Index and the Nasdaq Computer &amp; Data Processing Index assume the reinvestment of dividends.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comparisons in the graph below are based on historical data and are not necessarily indicative of future performance of our common stock.</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COMPARISON OF 5 YEAR CUMULATIVE TOTAL RETURN </w:t>
      </w:r>
      <w:r>
        <w:rPr>
          <w:rFonts w:ascii="Arial" w:cs="Arial" w:eastAsia="Arial" w:hAnsi="Arial"/>
          <w:sz w:val="14"/>
          <w:szCs w:val="14"/>
          <w:b w:val="1"/>
          <w:bCs w:val="1"/>
          <w:color w:val="auto"/>
        </w:rPr>
        <w:t>(1)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Among HealthStream, Inc., the Nasdaq Composite 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195580</wp:posOffset>
            </wp:positionV>
            <wp:extent cx="4485005" cy="391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5005"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$100 invested on 12/31/12 in stock or index, including reinvestment of dividends. Fiscal year ending December 31.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selected statement of income and balance sheet data for the past five years is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February 2018 HealthStream divested its PX business to Press Ganey. The results of operations for the PX business are included within the consolidated statement of income data set forth below.</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addition, HealthStream acquired substantially all of the assets of Baptist Leadership Group on September 9, 2013, Health Care Compliance Strategies, Inc. on March 3, 2014, HealthLine Systems, Inc. on March 16, 2015, Performance Management Services, Inc. on June 30, 2016, Nursing Registry Consultants Corporation on July 25, 2016, and MAI on August 8, 2016. The results of operations for these acquired companies are included within our consolidated statement of income data effective from the respective date of acquisition. Revenues may be subject to fluctuations as discussed further in “Management’s Discussion and Analysis of Financial Condition and Results of Operations” located elsewhere in this report. As a result of these factors, the annual results presented below are not comparable. The operating results for any single year are not necessarily indicative of the results to be expected in the future.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40" w:type="dxa"/>
            <w:vAlign w:val="bottom"/>
            <w:gridSpan w:val="13"/>
          </w:tcPr>
          <w:p>
            <w:pPr>
              <w:jc w:val="center"/>
              <w:ind w:right="44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gridSpan w:val="15"/>
          </w:tcPr>
          <w:p>
            <w:pPr>
              <w:ind w:left="20"/>
              <w:spacing w:after="0"/>
              <w:rPr>
                <w:sz w:val="20"/>
                <w:szCs w:val="20"/>
                <w:color w:val="auto"/>
              </w:rPr>
            </w:pPr>
            <w:r>
              <w:rPr>
                <w:rFonts w:ascii="Arial" w:cs="Arial" w:eastAsia="Arial" w:hAnsi="Arial"/>
                <w:sz w:val="16"/>
                <w:szCs w:val="16"/>
                <w:b w:val="1"/>
                <w:bCs w:val="1"/>
                <w:color w:val="auto"/>
                <w:w w:val="97"/>
              </w:rPr>
              <w:t>(in thousands, except per share data)</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STATEMENT OF INCOME DATA:</w:t>
            </w:r>
          </w:p>
        </w:tc>
        <w:tc>
          <w:tcPr>
            <w:tcW w:w="1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Revenues, net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96"/>
              </w:rPr>
              <w:t>247,662</w:t>
            </w:r>
          </w:p>
        </w:tc>
        <w:tc>
          <w:tcPr>
            <w:tcW w:w="120" w:type="dxa"/>
            <w:vAlign w:val="bottom"/>
          </w:tcPr>
          <w:p>
            <w:pPr>
              <w:spacing w:after="0"/>
              <w:rPr>
                <w:sz w:val="17"/>
                <w:szCs w:val="17"/>
                <w:color w:val="auto"/>
              </w:rPr>
            </w:pP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225,974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209,002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w w:val="96"/>
              </w:rPr>
              <w:t>170,690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3"/>
              </w:rPr>
              <w:t>132,274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6"/>
              </w:rPr>
              <w:t>237,862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w w:val="93"/>
              </w:rPr>
              <w:t>220,407</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w w:val="93"/>
              </w:rPr>
              <w:t>195,445</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w w:val="96"/>
              </w:rPr>
              <w:t>154,315</w:t>
            </w:r>
          </w:p>
        </w:tc>
        <w:tc>
          <w:tcPr>
            <w:tcW w:w="1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3"/>
              </w:rPr>
              <w:t>117,608</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6"/>
                <w:szCs w:val="16"/>
                <w:color w:val="auto"/>
              </w:rPr>
              <w:t>Operating income</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9,800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5,567</w:t>
            </w: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13,557</w:t>
            </w:r>
          </w:p>
        </w:tc>
        <w:tc>
          <w:tcPr>
            <w:tcW w:w="120" w:type="dxa"/>
            <w:vAlign w:val="bottom"/>
          </w:tcPr>
          <w:p>
            <w:pPr>
              <w:spacing w:after="0"/>
              <w:rPr>
                <w:sz w:val="17"/>
                <w:szCs w:val="17"/>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rPr>
              <w:t>16,375</w:t>
            </w: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14,666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10,004</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3,755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8,621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10,394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8,418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80" w:type="dxa"/>
            <w:vAlign w:val="bottom"/>
            <w:gridSpan w:val="2"/>
          </w:tcPr>
          <w:p>
            <w:pPr>
              <w:spacing w:after="0"/>
              <w:rPr>
                <w:sz w:val="20"/>
                <w:szCs w:val="20"/>
                <w:color w:val="auto"/>
              </w:rPr>
            </w:pPr>
            <w:r>
              <w:rPr>
                <w:rFonts w:ascii="Arial" w:cs="Arial" w:eastAsia="Arial" w:hAnsi="Arial"/>
                <w:sz w:val="16"/>
                <w:szCs w:val="16"/>
                <w:color w:val="auto"/>
              </w:rPr>
              <w:t>Net income per share – basic</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0.12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0.29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rPr>
              <w:t>0.38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0.31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 – diluted</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shares of common stock outstanding – basic</w:t>
            </w: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8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31,861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31,721</w:t>
            </w:r>
          </w:p>
        </w:tc>
        <w:tc>
          <w:tcPr>
            <w:tcW w:w="120" w:type="dxa"/>
            <w:vAlign w:val="bottom"/>
          </w:tcPr>
          <w:p>
            <w:pPr>
              <w:spacing w:after="0"/>
              <w:rPr>
                <w:sz w:val="16"/>
                <w:szCs w:val="16"/>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30,057</w:t>
            </w:r>
          </w:p>
        </w:tc>
        <w:tc>
          <w:tcPr>
            <w:tcW w:w="120" w:type="dxa"/>
            <w:vAlign w:val="bottom"/>
          </w:tcPr>
          <w:p>
            <w:pPr>
              <w:spacing w:after="0"/>
              <w:rPr>
                <w:sz w:val="16"/>
                <w:szCs w:val="16"/>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rPr>
              <w:t>27,570</w:t>
            </w:r>
          </w:p>
        </w:tc>
        <w:tc>
          <w:tcPr>
            <w:tcW w:w="14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26,853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of common stock outstanding – diluted</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32,196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32,068</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30,436</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28,023</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27,663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6"/>
                <w:szCs w:val="16"/>
                <w:color w:val="auto"/>
              </w:rPr>
              <w:t>BALANCE SHEET DATA:</w:t>
            </w: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4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84,768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49,634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82,010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81,995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59,537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Marketable securities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46,350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53,540</w:t>
            </w: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66,976</w:t>
            </w:r>
          </w:p>
        </w:tc>
        <w:tc>
          <w:tcPr>
            <w:tcW w:w="120" w:type="dxa"/>
            <w:vAlign w:val="bottom"/>
          </w:tcPr>
          <w:p>
            <w:pPr>
              <w:spacing w:after="0"/>
              <w:rPr>
                <w:sz w:val="17"/>
                <w:szCs w:val="17"/>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rPr>
              <w:t>38,973</w:t>
            </w: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48,659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40,849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44,805</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36,348</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33,167</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25,314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Goodwill and intangible assets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6"/>
                <w:szCs w:val="16"/>
                <w:color w:val="auto"/>
                <w:w w:val="96"/>
              </w:rPr>
              <w:t>179,114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188,129</w:t>
            </w: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139,039</w:t>
            </w:r>
          </w:p>
        </w:tc>
        <w:tc>
          <w:tcPr>
            <w:tcW w:w="120" w:type="dxa"/>
            <w:vAlign w:val="bottom"/>
          </w:tcPr>
          <w:p>
            <w:pPr>
              <w:spacing w:after="0"/>
              <w:rPr>
                <w:sz w:val="17"/>
                <w:szCs w:val="17"/>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rPr>
              <w:t>56,709</w:t>
            </w: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44,616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98,662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82,467</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w w:val="93"/>
              </w:rPr>
              <w:t>120,459</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97,352</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90,912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Total assets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6"/>
                <w:szCs w:val="16"/>
                <w:color w:val="auto"/>
                <w:w w:val="96"/>
              </w:rPr>
              <w:t>411,074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396,000</w:t>
            </w: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379,569</w:t>
            </w:r>
          </w:p>
        </w:tc>
        <w:tc>
          <w:tcPr>
            <w:tcW w:w="120" w:type="dxa"/>
            <w:vAlign w:val="bottom"/>
          </w:tcPr>
          <w:p>
            <w:pPr>
              <w:spacing w:after="0"/>
              <w:rPr>
                <w:sz w:val="17"/>
                <w:szCs w:val="17"/>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w w:val="96"/>
              </w:rPr>
              <w:t>257,262</w:t>
            </w: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3"/>
              </w:rPr>
              <w:t>212,594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 current and noncurrent</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75,256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76,401</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69,448</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57,373</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38,168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Shareholders’ equity</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96"/>
              </w:rPr>
              <w:t>300,170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286,108</w:t>
            </w:r>
          </w:p>
        </w:tc>
        <w:tc>
          <w:tcPr>
            <w:tcW w:w="120" w:type="dxa"/>
            <w:vAlign w:val="bottom"/>
          </w:tcPr>
          <w:p>
            <w:pPr>
              <w:spacing w:after="0"/>
              <w:rPr>
                <w:sz w:val="17"/>
                <w:szCs w:val="17"/>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w w:val="93"/>
              </w:rPr>
              <w:t>280,320</w:t>
            </w:r>
          </w:p>
        </w:tc>
        <w:tc>
          <w:tcPr>
            <w:tcW w:w="120" w:type="dxa"/>
            <w:vAlign w:val="bottom"/>
          </w:tcPr>
          <w:p>
            <w:pPr>
              <w:spacing w:after="0"/>
              <w:rPr>
                <w:sz w:val="17"/>
                <w:szCs w:val="17"/>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6"/>
                <w:szCs w:val="16"/>
                <w:color w:val="auto"/>
                <w:w w:val="96"/>
              </w:rPr>
              <w:t>167,859</w:t>
            </w: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3"/>
              </w:rPr>
              <w:t>149,433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HealthStream provides workforce development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training, certification, competency assessment, performance appraisal, and development needs. Provider Solutions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February 12, 2018, the Company divested its PX business to Press Ganey for $65.5 million in cash (subject to adjustment based on the working capital of the PX business at closing), of which $6.5 million will be held in escrow for a period of time following the disposition as a source of recovery for indemnification claims by Press Ganey. The sale of the PX business was effected by (i) the contribution by the Company of specified assets and certain liabilities used in the PX business to a newly-formed wholly-owned subsidiary of the Company, and (ii) immediately thereafter, the sale by the Company to Press Ganey of all of the outstanding equity interests such wholly-owned subsidiary. In connection with such contribution, the Company retained certain liabilities related to the PX business.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Prior the disposition of the PX business, our Patient Experience Solutions products provided our customers information about patients’ experiences and how to improve them, workforce engagement, physician relations, and community perceptions of their services. Our results of operations for the years ended December 31, 2017, December 31, 2016 and December 31, 2015 presented in this Annual Report on Form 10-K include the results of the PX business. Beginning with the quarter ending March 31, 2018, the historical financial results of the PX business for periods prior to the closing of the disposition of the PX business will be reflected in the Company’s consolidated financial statements as discontinued operations. This sale of the PX business resulted in the Company’s divestiture of the Company’s patient experience solutions business segment.</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HealthStream anticipates recording a pre-tax book gain in the first quarter of 2018 on the sale of its PX business between $34.0 million to $38.0 million. With the proceeds from this transaction, our Board of Directors declared a $1.00 per common share special cash dividend payable on April 3, 2018 to shareholders of record on March 6, 2018. For additional information regarding the disposition of the PX business, including certain pro forma financial information reflecting the disposition of the PX business, see our Current Report on Form 8-K filed on February 12, 2018.</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Revenues for the year ended December 31, 2017 were approximately $247.7 million compared to $226.0 million for the year ended December 31, 2016, an increase of 10%. Operating income increased by 76% to $9.8 million for 2017, compared to $5.6 million for 2016. Net income increased by 166% to $10.0 million for 2017, compared to $3.8 million for 2016. Earnings per share (EPS) were $0.31 per share (diluted) for 2017 compared to $0.12 per share (diluted) for 2016. Revenues from HealthStream Workforce Solutions grew by 6%, or $10.0 million; revenues from HealthStream Patient Experience Solutions declined by 3%, or $1.1 million; and revenues from HealthStream Provider Solutions grew by 53%, or $12.8 million. As of December 31, 2017, the Company had approximately 4.77 million total subscribers, of which approximately 4.65 million were fully implemented subscribers on its SaaS-based platform. As of December 31, 2017, cash and investment balances approximated $131.1 million, and the Company maintained full availability under its $50.0 million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Revenues are recognized from subscription-based workforce development products and content subscriptions based on a per person subscription basis, and in some cases on a per license basis. Fees are based on the size of the facilities’ or organizations’ employee user population and the service offerings to which they subscribe. Subscription-based revenue is recognized ratably over the service period of the underlying contract. Implementation services revenue is deferred until the subscription-based product is implemented, at which time revenues are recognized ratably over the subscription service period. All other service revenues are recognized as the related services are performed or products are delivered.</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Revenues from provider solutions products are predominantly related to software licensing and support/maintenance renewals. Revenues derived from the license of installed software products are recognized using the residual method upon delivery of the software when vendor specific objective evidence (VSOE) of fair value for the undelivered elements within the contract can be established. For installed software products, if the Company cannot objectively determine the fair value of each undelivered element based on the VSOE of fair value, the Company defers revenue recognition until all elements are delivered, all services have been performed, or until fair value can be objectively determined. Software support and maintenance revenues are recognized ratably over the term of the related agreement.</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Revenues from patient experience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Coaching and consulting revenues are generally recognized using the proportional performance method as these services are performed throughout the contract term.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Revenues from professional services primarily include consulting and content development services. Fees are based on the time and efforts involved, and revenue is recognized upon completion of performance milestones using the proportional performance method.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offers training services for clients to facilitate integration of its software solutions. Fees for training are based on the time and efforts of the personnel involved. Training revenues are generally recognized upon completion of training services.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supersedes the revenue recognition requirements in Topic 605, Revenue Recognition, and most industry-specific revenue recognition guidance throughout the Industry Topics of the Accounting Standards Codification. The Company will adopt this standard using the modified retrospective approach effective January 1, 2018. For additional information regarding the Company’s adoption of this standard and its potential impact on the Company, see “Recent Accounting Pronouncements” below under “Management’s Discussion and Analysis of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Income Taxes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$1.1 million for the portion of its deferred tax assets that are not more likely than not expected to be realized.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Development Costs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Capitalized software development includes costs to develop and maintain our products and applications, including our SaaS-based workforce development platform products and our survey reporting applications, which are accounted for as internal use software. For internal use software development, once planning is completed and the software development process begins, internal costs and payments to third parties associated with the software development efforts are capitalized when the life expectancy is greater than one year and the anticipated cash flows are expected to exceed the cost of the related asset. During 2017 and 2016, we capitalized approximately $12.5 million and $10.0 million, respectively, for software development. Such amounts are included in the accompanying consolidated balance sheets under the caption “capitalized software development.” The Company amortizes capitalized software development costs over their expected life of three years using the straight-line method. Capitalized software development costs are subject to a periodic impairment review in accordance with our impairment review policy. In connection with capitalized software development, significant estimates involve the assessment of the development period for new products and feature enhancements, as well as the expected useful life of underlying software, feature enhancements, or product created. Once capitalized, software development costs are subject to the policies and estimates described below regarding goodwill, intangibles, and other long-lived assets.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Long-lived Assets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estimates the allowance for doubtful accounts using both a specific and non-specific identification method. Management’s evaluation includes reviewing past due accounts on a case-by-case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$2.2 million as of December 31, 2017.</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Based Compensation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recognizes compensation expense using a fair-value based method for costs related to share based payments including stock options and restricted share units. Measurement of such compensation expense requires significant estimation and assumptions; however, we believe that the Black Scholes option pricing model used for calculating the fair value of our stock based compensation plans provides a reasonable measurement methodology using a framework that is widely adopted.</w:t>
      </w:r>
    </w:p>
    <w:p>
      <w:pPr>
        <w:spacing w:after="0" w:line="5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2017, the Company had three stock incentive plans under which awards were outstanding, which qualified as stock based compensation plans. During the years ended December 31, 2017, 2016, and 2015, approximately $1.9 million, $2.0 million,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$3.3 million of stock based compensation expense was recorded, respectively. The Company has historically granted equity based awards to both its management group and members of the Company’s board of directors on an annual basis under stockholder-approved plans, and expects to continue providing equity awards to these groups for the foreseeable future. The Company also provides grants of equity based awards when new members of the management group begin their employment, or when new members join the Company’s board of directors. As of December 31, 2017, total future compensation cost related to non-vested awards not yet recognized was approximately $3.4 million net of estimated forfeitures, with a weighted average expense recognition period of 2.6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initial estimates.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Expense Components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descriptions of the components of revenues and expenses apply to the comparison of results of operations.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for our HealthStream Workforce Solutions business segment primarily consist of the following products and services: provision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SaaS-based platform, authoring tools, a variety of content subscriptions, competency and performance appraisal tools, implementation and consulting services, content development, online sales training courses, and a variety of other educational activities to serve professionals that work within healthcare organizations. Revenues for our HealthStream Patient Experience Solutions business segment (prior to our disposition of such business) consisted of quality and satisfaction surveys, data analyses of survey results, coaching/consulting services, and other research-based measurement tools focused on patients, employees, physicians, and other members of the community. Revenues for our HealthStream Provider Solutions business segment consist of proprietary software applications to help facilitate provider credentialing, privileging, call center, and enrollment administration for healthcare organizations.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customer surveys; handle customer support calls or inquiries; manage the technology infrastructure for our hosted applications; manage content and survey services; coordinate content maintenance services; and provide training or implementation services.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consists primarily of salaries and employee benefits, contract labor, stock based compensation, costs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new software feature enhancements, new products, and costs associated with maintaining and developing our platform products. Personnel costs within product development include our systems, application development, quality assurance teams, product managers, and other personnel associated with software and product development.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consists primarily of salaries, commissions and employee benefits, stock based compensation, employee travel and lodging,</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trade shows, promotions, and related marketing costs. We have historically hosted a national customer conference in Nashville, Tennessee known as “Summit,” a significant portion of the costs of which are included in sales and marketing expenses. Personnel costs within sales and marketing include our sales teams and marketing personnel.</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consist primarily of salaries and employee benefits, stock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employee travel and lodging, facility costs, office expenses, fees for professional services, business development and acquisition related costs,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consist of fixed asset depreciation, amortization of intangibles considered to have definite lives,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of capitalized software development.</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The primary component of other income is interest income related to interest earned on cash, cash equivalents, and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securities. The primary component of other expense is interest expense related to our revolving credit facility. In addition, the income or loss attributed to equity method investments is included in this category.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Compared to 2016</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$21.7 million, or 10%, to $247.6 million for 2017 from $226.0 million for 2016. A comparison of revenues by</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segment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5"/>
          </w:tcPr>
          <w:p>
            <w:pPr>
              <w:jc w:val="center"/>
              <w:ind w:left="59"/>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183"/>
        </w:trPr>
        <w:tc>
          <w:tcPr>
            <w:tcW w:w="790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Revenues by Business Segment:</w:t>
            </w:r>
          </w:p>
        </w:tc>
        <w:tc>
          <w:tcPr>
            <w:tcW w:w="160" w:type="dxa"/>
            <w:vAlign w:val="bottom"/>
          </w:tcPr>
          <w:p>
            <w:pPr>
              <w:spacing w:after="0"/>
              <w:rPr>
                <w:sz w:val="15"/>
                <w:szCs w:val="15"/>
                <w:color w:val="auto"/>
              </w:rPr>
            </w:pPr>
          </w:p>
        </w:tc>
        <w:tc>
          <w:tcPr>
            <w:tcW w:w="620" w:type="dxa"/>
            <w:vAlign w:val="bottom"/>
            <w:gridSpan w:val="3"/>
          </w:tcPr>
          <w:p>
            <w:pPr>
              <w:jc w:val="right"/>
              <w:ind w:right="220"/>
              <w:spacing w:after="0" w:line="169" w:lineRule="exact"/>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4"/>
              </w:rPr>
              <w:t>2016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gridSpan w:val="3"/>
          </w:tcPr>
          <w:p>
            <w:pPr>
              <w:jc w:val="center"/>
              <w:ind w:right="20"/>
              <w:spacing w:after="0" w:line="169" w:lineRule="exact"/>
              <w:rPr>
                <w:sz w:val="20"/>
                <w:szCs w:val="20"/>
                <w:color w:val="auto"/>
              </w:rPr>
            </w:pPr>
            <w:r>
              <w:rPr>
                <w:rFonts w:ascii="Arial" w:cs="Arial" w:eastAsia="Arial" w:hAnsi="Arial"/>
                <w:sz w:val="16"/>
                <w:szCs w:val="16"/>
                <w:b w:val="1"/>
                <w:bCs w:val="1"/>
                <w:color w:val="auto"/>
                <w:w w:val="91"/>
              </w:rPr>
              <w:t>Change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Workforce Solutions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w w:val="89"/>
              </w:rPr>
              <w:t>178,061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89"/>
              </w:rPr>
              <w:t>168,040</w:t>
            </w: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Patient Experience Solutions</w:t>
            </w:r>
          </w:p>
        </w:tc>
        <w:tc>
          <w:tcPr>
            <w:tcW w:w="16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32,763</w:t>
            </w:r>
          </w:p>
        </w:tc>
        <w:tc>
          <w:tcPr>
            <w:tcW w:w="24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33,850</w:t>
            </w:r>
          </w:p>
        </w:tc>
        <w:tc>
          <w:tcPr>
            <w:tcW w:w="980" w:type="dxa"/>
            <w:vAlign w:val="bottom"/>
            <w:gridSpan w:val="5"/>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Provider Solutions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36,838</w:t>
            </w: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24,084</w:t>
            </w:r>
          </w:p>
        </w:tc>
        <w:tc>
          <w:tcPr>
            <w:tcW w:w="18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7"/>
        </w:trPr>
        <w:tc>
          <w:tcPr>
            <w:tcW w:w="7900" w:type="dxa"/>
            <w:vAlign w:val="bottom"/>
            <w:gridSpan w:val="2"/>
          </w:tcPr>
          <w:p>
            <w:pPr>
              <w:spacing w:after="0"/>
              <w:rPr>
                <w:sz w:val="20"/>
                <w:szCs w:val="20"/>
                <w:color w:val="auto"/>
              </w:rPr>
            </w:pPr>
            <w:r>
              <w:rPr>
                <w:rFonts w:ascii="Arial" w:cs="Arial" w:eastAsia="Arial" w:hAnsi="Arial"/>
                <w:sz w:val="16"/>
                <w:szCs w:val="16"/>
                <w:color w:val="auto"/>
              </w:rPr>
              <w:t>Total revenues, net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247,662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w w:val="89"/>
              </w:rPr>
              <w:t>225,974</w:t>
            </w:r>
          </w:p>
        </w:tc>
        <w:tc>
          <w:tcPr>
            <w:tcW w:w="980" w:type="dxa"/>
            <w:vAlign w:val="bottom"/>
            <w:gridSpan w:val="5"/>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of Revenues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Workforce Solutions</w:t>
            </w:r>
          </w:p>
        </w:tc>
        <w:tc>
          <w:tcPr>
            <w:tcW w:w="16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Patient Experience Solutions</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Provider Solutions</w:t>
            </w:r>
          </w:p>
        </w:tc>
        <w:tc>
          <w:tcPr>
            <w:tcW w:w="16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Revenues for HealthStream Workforce Solutions, which are primarily subscription-based, increased approximately $10.1 million, or 6%, to $178.1 million for 2017 from $168.0 million for 2016. Revenues in 2017 were positively influenced by growth in content subscriptions and our enterprise applications, but were partially offset by an expected decline in ICD-10 readiness revenues. Revenues from ICD-10 readiness products declined by $7.6 million to $909,000 in 2017 compared to $8.5 million in 2016. The requirement mandated by CMS for healthcare organizations to transition to the ICD-10 coding system was effective in October 2015, and generated significant demand for our ICD-10 readiness training courseware from 2012 through 2015. However, as a result of the effectiveness of such mandate in October 2015, sales of that product have ceased and there will not be renewals of the specific ICD-10 readiness product. Implemented subscribers increased by 4% during 2017 to 4.65 million subscribers at the end of 2017 compared to 4.47 million subscribers at the end of 2016. Additionally, total subscribers increased by 5%, with 4.77 million total subscribers at December 31, 2017 compared to 4.55 million total subscribers at December 31, 2016.</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Revenues for HealthStream Patient Experience Solutions decreased approximately $1.1 million, or 3%, to $32.8 million for 2017 from $33.9 million for 2016. Revenues from Patient Insights™ surveys, our survey research product that generates recurring revenues, decreased by $386,000, or 1%, to $26.3 million for 2017 from $26.7 million for 2016. The decline in our patient survey revenues is partially due to changes in product mix, such as the adoption of our e-survey products, which have both lower revenue and cost per survey than our traditional phone survey products. Revenues from other products, including surveys conducted on annual or bi-annual cycles and consulting/coaching services, collectively decreased by $701,000, or 10%, compared to 2016 due to fewer engagements compared to 2016.</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Revenues for HealthStream Provider Solutions increased approximately $12.8 million, or 53%, to $36.8 million for 2017 from $24.1 million for 2016. Revenues from the MAI acquisition, which was consummated in August 2016, accounted for $8.1 million of the increase in revenues during 2017. Revenues from other provider solutions products accounted for the remaining $4.7 million increase in revenues in 2017.</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$9.4 million, or 10%, to $106.0 million for 2017 from</w:t>
      </w:r>
      <w:r>
        <w:rPr>
          <w:rFonts w:ascii="Arial" w:cs="Arial" w:eastAsia="Arial" w:hAnsi="Arial"/>
          <w:sz w:val="17"/>
          <w:szCs w:val="17"/>
          <w:i w:val="1"/>
          <w:iCs w:val="1"/>
          <w:color w:val="auto"/>
        </w:rPr>
        <w:t xml:space="preserve"> </w:t>
      </w:r>
      <w:r>
        <w:rPr>
          <w:rFonts w:ascii="Arial" w:cs="Arial" w:eastAsia="Arial" w:hAnsi="Arial"/>
          <w:sz w:val="17"/>
          <w:szCs w:val="17"/>
          <w:color w:val="auto"/>
        </w:rPr>
        <w:t>$96.6 million for 2016. Cost of revenues as a percentage of revenues was approximately 43% of revenues for both 2017 and 2016.</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Cost of revenues for HealthStream Workforce Solutions increased approximately $7.9 million to $75.3 million and approximated 42% and 40% of revenues for HealthStream Workforce Solutions for 2017 and 2016, respectively. The increase in both amount and as a percentage of revenues is primarily associated with increased royalties paid by us resulting from growth in content subscription revenues and increased personnel costs. Cost of revenues for HealthStream Patient Experience Solutions decreased approximately $2.9 million to $18.8 million and approximated 57% and 64% of revenues for HealthStream Patient Experience Solutions for 2017 and 2016, respectively. The decrease in both amount and as a percentage of revenue is primarily due to reductions in personnel costs and lower costs associated with declines in phone based survey volume compared to 2016. Cost of revenues for HealthStream Provider Solutions increased approximately $4.3 million to $11.9 million and approximated 32% of HealthStream Provider Solutions revenues for both 2017 and 2016. The increase in amount and as a percentage of revenue is primarily the result of the MAI acquisition and additions to personnel and increased hosting costs.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decreased approximately $1.0 million, or 3%, to $27.9 million for 2017 from $28.9 million for 2016.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as a percentage of revenues were approximately 11% and 13% of revenues for 2017 and 2016,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Product development expenses for HealthStream Workforce Solutions decreased approximately $800,000 to $19.6 million and</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approximated 11% and 12% of revenues for HealthStream Workforce Solutions for 2017 and 2016, respectively. The decrease in amount and as a percentage of revenues is primarily due to lower outsourced labor expenses, but partially offset by an increase in personnel costs. Product development expenses for HealthStream Patient Experience Solutions decreased approximately $912,000 to $3.8 million and approximated 11% and 14% of revenues for HealthStream Patient Experience Solutions for 2017 and 2016, respectively. The decrease in both amount and as a percentage of revenue is due to higher labor capitalization for internal software development and lower outsourced labor costs, partially offset by an increase in personnel costs. Product development expenses for HealthStream Provider Solutions increased approximately $714,000 to $4.5 million and approximated 12% and 16% of revenues for HealthStream Provider Solutions for 2017 and 2016, respectively. The increase in amount is primarily associated with the MAI acquisition and additions to personnel over the year, but partially offset by higher labor capitalization for internal software development.</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$3.9 million, or 10%, to $42.9 million for 2017 from</w:t>
      </w:r>
      <w:r>
        <w:rPr>
          <w:rFonts w:ascii="Arial" w:cs="Arial" w:eastAsia="Arial" w:hAnsi="Arial"/>
          <w:sz w:val="17"/>
          <w:szCs w:val="17"/>
          <w:i w:val="1"/>
          <w:iCs w:val="1"/>
          <w:color w:val="auto"/>
        </w:rPr>
        <w:t xml:space="preserve"> </w:t>
      </w:r>
      <w:r>
        <w:rPr>
          <w:rFonts w:ascii="Arial" w:cs="Arial" w:eastAsia="Arial" w:hAnsi="Arial"/>
          <w:sz w:val="17"/>
          <w:szCs w:val="17"/>
          <w:color w:val="auto"/>
        </w:rPr>
        <w:t>$39.0 million for 2016. Sales and marketing expenses were approximately 17% of revenues for both 2017 and 2016.</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Sales and marketing expenses for HealthStream Workforce Solutions increased approximately $2.9 million to $31.4 million and approximated 18% and 17% of revenues for HealthStream Workforce Solutions for 2017 and 2016, respectively. The increase in amount and as a percentage of revenues is primarily due to additions to personnel and higher sales commissions compared to 2016. Sales and marketing expenses for HealthStream Patient Experience Solutions increased approximately $235,000 to $4.3 million and approximated 13% and 12% of revenues for HealthStream Patient Experience Solutions for 2017 and 2016, respectively. The increase in both amount and as a percentage of revenues is primarily due to higher sales commissions compared to 2016. Sales and marketing expenses for HealthStream Provider Solutions increased approximately $674,000 to $5.9 million and approximated 16% and 22% of revenues for HealthStream Provider Solutions for 2017 and 2016, respectively. The increase in amount is primarily the result of higher sales commissions resulting from growth in sales. The unallocated corporate portion of sales and marketing expenses increased by $165,000 to $1.3 million over 2016 primarily due to higher personnel costs and increased marketing spending.</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$1.1 million, or 3%, to $34.8 million for 2017 from</w:t>
      </w:r>
      <w:r>
        <w:rPr>
          <w:rFonts w:ascii="Arial" w:cs="Arial" w:eastAsia="Arial" w:hAnsi="Arial"/>
          <w:sz w:val="17"/>
          <w:szCs w:val="17"/>
          <w:i w:val="1"/>
          <w:iCs w:val="1"/>
          <w:color w:val="auto"/>
        </w:rPr>
        <w:t xml:space="preserve"> </w:t>
      </w:r>
      <w:r>
        <w:rPr>
          <w:rFonts w:ascii="Arial" w:cs="Arial" w:eastAsia="Arial" w:hAnsi="Arial"/>
          <w:sz w:val="17"/>
          <w:szCs w:val="17"/>
          <w:color w:val="auto"/>
        </w:rPr>
        <w:t>$33.7 million for 2016. Other general and administrative expenses as a percentage of revenues were approximately 14% and 15% of revenues for 2017 and 2016, respectively.</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Other general and administrative expenses for HealthStream Workforce Solutions increased approximately $2.1 million to $8.1 million and approximated 5% and 4% of revenues for HealthStream Workforce Solutions for 2017 and 2016, respectively. The increase in amount and as a percentage of revenues is primarily due to higher facility costs and increases in technology infrastructure investments. Other general and administrative expenses for HealthStream Patient Experience Solutions increased approximately $89,000 to $2.9 million and approximated 9% and 8% of revenues for HealthStream Patient Experience Solutions for 2017 and 2016, respectively. The increase in amount and as a percentage of revenues is due to an increase in general administrative expenses. Other general and administrative expenses for HealthStream Provider Solutions increased approximately $1.7 million to $5.5 million and approximated 15% and 16% of revenues for HealthStream Provider Solutions for 2017 and 2016, respectively. The increase in amount is primarily associated with increased facility costs, contract labor, and higher bad debt expense. The unallocated corporate portion of other general and administrative expenses decreased approximately $2.7 million to $18.2 million over 2016, primarily due to lower professional service expenses as a result of the implementation of a new financial systems platform and the MAI transaction during the prior year period, reductions to contract labor, and reductions of other general administrative expenses, but were partially offset by implementation costs for compliance with ASC 606.</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$4.1 million, or 18%, to $26.3 million for 2017 from $22.2 million for 2016.</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primarily resulted from amortization of capitalized software development, amortization of intangible assets from recent acquisitions, and depreciation expense associated with capital expenditures.</w:t>
      </w:r>
    </w:p>
    <w:p>
      <w:pPr>
        <w:spacing w:after="0" w:line="10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was income of approximately $733,000 for 2017 compared to $581,000 for 2016. The increase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an increase in interest income from cash and investments in marketable securities.</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i w:val="1"/>
          <w:iCs w:val="1"/>
          <w:color w:val="auto"/>
        </w:rPr>
        <w:t xml:space="preserve">Income Tax Provision. </w:t>
      </w:r>
      <w:r>
        <w:rPr>
          <w:rFonts w:ascii="Arial" w:cs="Arial" w:eastAsia="Arial" w:hAnsi="Arial"/>
          <w:sz w:val="15"/>
          <w:szCs w:val="15"/>
          <w:color w:val="auto"/>
        </w:rPr>
        <w:t>The Company recorded a provision for income taxes of approximately $529,000 for 2017 compared to $2.4 million for 2016.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tax rate was approximately 5% for 2017 compared to approximately 39% for 2016. The decrease in income tax expense during 2017 is primarily attributable to the enactment of the Tax Cuts and Jobs Act on December 22, 2017, which reduced the corporate federal income tax rate from 35% to 21%. This change in tax law resulted in an income tax benefit of approximately $2.7 million during the fourth quarter of 2017 through the revaluation of our net deferred tax liabilities.</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approximately $6.2 million, or 166%, to $10.0 million for 2017 compared to $3.8 million for 2016. The increase resulted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mentioned above. Earnings per diluted share were $0.31 per share for 2017 compared to $0.12 per diluted share for 2016.</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Adjusted EBITDA (a non-GAAP financial measure which we define as net income before interest, income taxes, stock based compensation, and depreciation and amortization) increased approximately 27% to approximately $37.9 million for 2017 compared to $29.9 million for 2016. The increase resulted from the factors mentioned above. See Reconciliation of Non-GAAP Financial Measures below for our reconciliation of this calculation to measures under US GAAP.</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 Compared to 2015</w:t>
      </w:r>
    </w:p>
    <w:p>
      <w:pPr>
        <w:spacing w:after="0" w:line="16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$16.9 million, or 8%, to $225.9 million for 2016 from $209.0 million for 2015. A comparison of revenues by</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segment is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03"/>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Revenues by Business Segment:</w:t>
            </w: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Workforce Solutions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w w:val="89"/>
              </w:rPr>
              <w:t>168,040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161,293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Patient Experience Solutions</w:t>
            </w:r>
          </w:p>
        </w:tc>
        <w:tc>
          <w:tcPr>
            <w:tcW w:w="16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33,850</w:t>
            </w:r>
          </w:p>
        </w:tc>
        <w:tc>
          <w:tcPr>
            <w:tcW w:w="16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34,189</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Provider Solutions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24,084</w:t>
            </w: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13,520</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7"/>
        </w:trPr>
        <w:tc>
          <w:tcPr>
            <w:tcW w:w="7900" w:type="dxa"/>
            <w:vAlign w:val="bottom"/>
            <w:gridSpan w:val="2"/>
          </w:tcPr>
          <w:p>
            <w:pPr>
              <w:spacing w:after="0"/>
              <w:rPr>
                <w:sz w:val="20"/>
                <w:szCs w:val="20"/>
                <w:color w:val="auto"/>
              </w:rPr>
            </w:pPr>
            <w:r>
              <w:rPr>
                <w:rFonts w:ascii="Arial" w:cs="Arial" w:eastAsia="Arial" w:hAnsi="Arial"/>
                <w:sz w:val="16"/>
                <w:szCs w:val="16"/>
                <w:color w:val="auto"/>
              </w:rPr>
              <w:t>Total revenues, net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225,974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209,002</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of Revenues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Workforce Solutions</w:t>
            </w:r>
          </w:p>
        </w:tc>
        <w:tc>
          <w:tcPr>
            <w:tcW w:w="16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77%</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Patient Experience Solutions</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Provider Solutions</w:t>
            </w:r>
          </w:p>
        </w:tc>
        <w:tc>
          <w:tcPr>
            <w:tcW w:w="16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Revenues for HealthStream Workforce Solutions, which are primarily subscription-based, increased approximately $6.7 million, or 4%, to $168.0 million compared to 2015. Revenues in 2016 were positively influenced by growth in courseware subscriptions and our enterprise applications, but were partially offset by an expected decline in ICD-10 readiness revenues. Revenues from ICD-10 readiness products declined by $18.2 million to $8.5 million in 2016 compared to $26.7 million in 2015. The requirement mandated by CMS for healthcare organizations to transition to the ICD-10 coding system was effective in October 2015, and generated significant demand for our ICD-10 readiness training courseware from 2012 through 2015. However, as a result of the effectiveness of such mandate in October 2015, sales of that product have ceased and there will not be renewals of the specific ICD-10 readiness product. Implemented subscribers decreased by less than 1% during 2016 to 4.47 million subscribers at the end of 2016 compared to 4.48 million subscribers at the end of 2015. Additionally, total subscribers decreased by less than 2%, with 4.55 million total subscribers at December 31, 2016 compared to 4.62 million total subscribers at December 31, 2015.</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Revenues for HealthStream Patient Experience Solutions decreased approximately $343,000, or 1%, to $33.9 million compared to 2015. Revenues from Patient Insights™ surveys, our survey research product that generates recurring revenues, decreased by $239,000, or 1% compared to 2015. The decline in our patient survey revenues is partially due to changes in product mix, such as the adoption of our e-survey products, which have both lower revenue and cost per survey than our traditional phone survey products. Revenues from other products, including surveys conducted on annual or bi-annual cycles and consulting/coaching services, collectively decreased by $101,000, or 1%, compared to 2015.</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Revenues for HealthStream Provider Solutions increased approximately $10.6 million, or 78%, to $24.1 million compared to 2015. Revenues from both the HLS and MAI acquisitions, which were consummated in March 2015 and August 2016, respectively, accounted for the majority of the increase in revenues during 2016. Revenues from the MAI acquisition, which was consummated on August 8, 2016, were approximately $2.6 million during 2016.</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$7.2 million, or 8%, to $96.6 million for 2016 from</w:t>
      </w:r>
      <w:r>
        <w:rPr>
          <w:rFonts w:ascii="Arial" w:cs="Arial" w:eastAsia="Arial" w:hAnsi="Arial"/>
          <w:sz w:val="16"/>
          <w:szCs w:val="16"/>
          <w:i w:val="1"/>
          <w:iCs w:val="1"/>
          <w:color w:val="auto"/>
        </w:rPr>
        <w:t xml:space="preserve"> </w:t>
      </w:r>
      <w:r>
        <w:rPr>
          <w:rFonts w:ascii="Arial" w:cs="Arial" w:eastAsia="Arial" w:hAnsi="Arial"/>
          <w:sz w:val="16"/>
          <w:szCs w:val="16"/>
          <w:color w:val="auto"/>
        </w:rPr>
        <w:t>$89.4 million for 2015. Cost of revenues as a percentage of revenues was approximately 43% of revenues for both 2016 and 2015. Cost of revenues for HealthStream Workforce Solutions increased approximately $3.8 million to $67.4 million and approximated 40% and 39% of revenues for HealthStream Workforce Solutions for 2016 and 2015, respectively. The increase in both amount and as a percentage of revenues is primarily associated with increased royalties paid by us resulting from growth in courseware subscription revenues, increased personnel costs, and other support costs. The increase was partially offset by a decrease in stock based compensation. Cost of revenues for HealthStream Patient Experience Solutions decreased approximately $697,000 to $21.7 million and approximated 64% and 65% of revenues for HealthStream Patient Experience Solutions for 2016 and 2015, respectively. The decrease in amount is primarily associated with lower personnel costs and stock based compensation. Cost of revenues for HealthStream Provider Solutions increased approximately $4.1 million to $7.6 million and approximated 32% and 26% of HealthStream Provider Solutions revenues for 2016 and 2015, respectively. The increase in amount and as a percentage of revenues is primarily the result of increased personnel and related costs, including additional personnel from MAI.</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$4.7 million, or 19%, to $28.9 million for 2016 from $24.2 million for 2015.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as a percentage of revenues were approximately 13% and 12% of revenues for 2016 and 2015, respectively.</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Product development expenses for HealthStream Workforce Solutions increased approximately $1.0 million to $20.4 million and approximated 12% of revenues for HealthStream Workforce Solutions for both 2016 and 2015. The increase in amount is due to additional personnel expenses associated with new product development initiatives for our subscription-based products. This increase was partially offset by lower stock based compensation. Product development expenses for HealthStream Patient Experience Solutions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increased approximately $2.3 million to $4.7 million and approximated 14% and 7% of revenues for HealthStream Patient Experience Solutions for 2016 and 2015, respectively. The increase in both amount and as a percentage of revenue is due to additional personnel expenses associated with new product development initiatives. Product development expenses for HealthStream Provider Solutions increased approximately $1.3 million to $3.8 million and approximated 16% and 18% of revenues for HealthStream Provider Solutions for 2016 and 2015, respectively. The increase in amount is primarily the result of increased personnel costs, including additional personnel from MAI.</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$3.4 million, or 10%, to $39.0 million for 2016 from</w:t>
      </w:r>
      <w:r>
        <w:rPr>
          <w:rFonts w:ascii="Arial" w:cs="Arial" w:eastAsia="Arial" w:hAnsi="Arial"/>
          <w:sz w:val="17"/>
          <w:szCs w:val="17"/>
          <w:i w:val="1"/>
          <w:iCs w:val="1"/>
          <w:color w:val="auto"/>
        </w:rPr>
        <w:t xml:space="preserve"> </w:t>
      </w:r>
      <w:r>
        <w:rPr>
          <w:rFonts w:ascii="Arial" w:cs="Arial" w:eastAsia="Arial" w:hAnsi="Arial"/>
          <w:sz w:val="17"/>
          <w:szCs w:val="17"/>
          <w:color w:val="auto"/>
        </w:rPr>
        <w:t>$35.6 million for 2015. Sales and marketing expenses were approximately 17% of revenues for both 2016 and 2015.</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Sales and marketing expenses for HealthStream Workforce Solutions increased approximately $1.6 million to $28.6 million and approximated 17% of revenues for HealthStream Workforce Solutions for both 2016 and 2015. The increase in amount is mainly due to additional personnel, sales commissions, and increased marketing spending. Sales and marketing expenses for HealthStream Patient Experience Solutions decreased approximately $446,000 to $4.1 million and approximated 12% and 13% of revenues for HealthStream Patient Experience Solutions for 2016 and 2015, respectively. The decrease in both amount and as a percentage of revenues is primarily due to reduced marketing personnel and related costs. Sales and marketing expenses for HealthStream Provider Solutions increased approximately $1.7 million to $5.2 million and approximated 22% and 26% of revenues for HealthStream Provider Solutions for 2016 and 2015, respectively. The increase in amount is primarily the result of increased personnel costs, sales commissions, and marketing spending. The unallocated corporate portion of sales and marketing expenses increased by $584,000 to $1.1 million primarily due to additional marketing personnel and related costs.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$4.4 million, or 15%, to $33.7 million for 2016 from</w:t>
      </w:r>
      <w:r>
        <w:rPr>
          <w:rFonts w:ascii="Arial" w:cs="Arial" w:eastAsia="Arial" w:hAnsi="Arial"/>
          <w:sz w:val="17"/>
          <w:szCs w:val="17"/>
          <w:i w:val="1"/>
          <w:iCs w:val="1"/>
          <w:color w:val="auto"/>
        </w:rPr>
        <w:t xml:space="preserve"> </w:t>
      </w:r>
      <w:r>
        <w:rPr>
          <w:rFonts w:ascii="Arial" w:cs="Arial" w:eastAsia="Arial" w:hAnsi="Arial"/>
          <w:sz w:val="17"/>
          <w:szCs w:val="17"/>
          <w:color w:val="auto"/>
        </w:rPr>
        <w:t>$29.3 million for 2015. Other general and administrative expenses as a percentage of revenues were approximately 15% and 14% of revenues for 2016 and 2015, respectively.</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$1.4 million to $6.1 million over 2015 primarily associated with increased technology infrastructure investments. Other general and administrative expenses for HealthStream Patient Experience Solutions increased approximately $443,000 to $2.8 million over 2015 due to additional personnel and facility costs. Other general and administrative expenses for HealthStream Provider Solutions increased approximately $1.3 million to $3.8 million over 2015 primarily associated with increased personnel expenses and facility costs, including costs associated with the MAI acquisition. The unallocated corporate portion of other general and administrative expenses increased approximately $1.3 million to $20.9 million over 2015, primarily associated with additional personnel and related costs, higher due diligence costs of approximately $260,000 to , and costs associated with the implementation of a new financial systems platform of approximately $600,000, which was substantially completed during the second quarter of 2016.</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$5.2 million, or 31%, to $22.2 million for 2016 from $17.0 million for 2015.</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was income of approximately $581,000 for 2016 compared to $162,000 for 2015. The increase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 gain recorded in relation to the acquisition of all of the remaining outstanding stock of Nursing Registry Consultants Corporation (see Note 5 in the Notes to Consolidated Financial Statements for further discussion), an increase in interest income from investments in marketable securities, and lower interest expense.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$2.4 million for 2016 compared to $5.1 million for 2015.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effective tax rate was approximately 39% for 2016 compared to approximately 37% for 2015. The decrease in income tax expense during 2016 is attributable to lower taxable income compared to the prior year period.</w:t>
      </w:r>
    </w:p>
    <w:p>
      <w:pPr>
        <w:spacing w:after="0" w:line="186"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approximately $4.8 million, or 56%, to $3.8 million for 2016 compared to $8.6 million for 2015. The decrease resulted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mentioned above. Earnings per diluted share were $0.12 per share for 2016 compared to $0.28 per diluted share for 2015.</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Adjusted EBITDA (a non-GAAP financial measure which we define as net income before interest, income taxes, stock based compensation, and depreciation and amortization) decreased approximately 12% to approximately $29.9 million for 2016 compared to $33.8 million for 2015. The decrease resulted from the factors mentioned above. See Reconciliation of Non-GAAP Financial Measures below for our reconciliation of this calculation to measures under US GAAP.</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Developments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 HealthStream in relation to such products. Our Joint Marketing and Licensing Agreements with Laerdal for HeartCode and for RQI, respectively, remain unaltered and continue in effect through December 31, 2018. Up to that expiration date, we retain the right to offer HeartCode and RQI licenses that extend through December 31, 2020. We retain exclusivity of RQI sales to our existing customer network through the agreement expiration date of December 31, 2018 and are prohibited from selling substantially similar products to HeartCode and RQI during that time.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Revenues associated with the sales of HeartCode and RQI products have been significant in recent years, although margins on such products have been lower than HealthStream’s average margin. We are actively engaged in efforts to broaden the scope and utilization of our simulation-related offerings to include a range of clinical competencies that extend beyond resuscitation, and integrate with our platform in ways that HeartCode and RQI never have. We intend to bring to market a broadened scope of simulation-based offerings, including— following the December 31, 2018 expiration date of our agreements with Laerdal—resuscitation programs. We believe these efforts have the potential to give rise to additional and higher margin opportunities than currently exist under the Laerdal agreements for HeartCode and RQI, and will likely feature solutions with a lower price point than our current offerings. However, there is no assurance that we will be successful in these efforts, and to the extent that new simulation-based or other solutions do not generate revenue and/or earnings following the December 31, 2018 expiration date in a manner that supplants the impact of these agreements with Laerdal, our revenue and results of operations following this expiration date may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report contains certain non-GAAP financial measures, including non-GAAP net income, non-GAAP operating income, and adjusted EBITDA, which are used by management in analyzing the Company’s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 useful measure for evaluating the operating performance of the Company because adjusted EBITDA reflects net income adjusted for certain non-cash and non-operating items. The Company believes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Company understands that, although adjusted EBITDA is frequently used by investors and securities analysts in their evaluation of companies, this measure has limitations as an analytical tool, and should not be considered in isolation, or as a substitute for an analysis of the Company’s results as reported under US GAAP.</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addresses these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recent years, including the March 2015 acquisition of HLS and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connection therewith, this report presents below non-GAAP revenues,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4"/>
              </w:rPr>
              <w:t>2017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4"/>
              </w:rPr>
              <w:t>2016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4"/>
              </w:rPr>
              <w:t>2015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GAAP net income</w:t>
            </w: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000000"/>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vMerge w:val="continue"/>
            <w:shd w:val="clear" w:color="auto" w:fill="CCEEFF"/>
          </w:tcPr>
          <w:p>
            <w:pPr>
              <w:spacing w:after="0"/>
              <w:rPr>
                <w:sz w:val="16"/>
                <w:szCs w:val="16"/>
                <w:color w:val="auto"/>
              </w:rPr>
            </w:pPr>
          </w:p>
        </w:tc>
        <w:tc>
          <w:tcPr>
            <w:tcW w:w="180" w:type="dxa"/>
            <w:vAlign w:val="bottom"/>
            <w:tcBorders>
              <w:right w:val="single" w:sz="8" w:color="CCEEFF"/>
            </w:tcBorders>
            <w:vMerge w:val="continue"/>
            <w:shd w:val="clear" w:color="auto" w:fill="CCEEFF"/>
          </w:tcPr>
          <w:p>
            <w:pPr>
              <w:spacing w:after="0"/>
              <w:rPr>
                <w:sz w:val="16"/>
                <w:szCs w:val="16"/>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98"/>
              </w:rPr>
              <w:t>10,004</w:t>
            </w:r>
          </w:p>
        </w:tc>
        <w:tc>
          <w:tcPr>
            <w:tcW w:w="180" w:type="dxa"/>
            <w:vAlign w:val="bottom"/>
            <w:tcBorders>
              <w:right w:val="single" w:sz="8" w:color="CCEEFF"/>
            </w:tcBorders>
            <w:vMerge w:val="continue"/>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320" w:type="dxa"/>
            <w:vAlign w:val="bottom"/>
            <w:shd w:val="clear" w:color="auto" w:fill="CCEEFF"/>
          </w:tcPr>
          <w:p>
            <w:pPr>
              <w:spacing w:after="0"/>
              <w:rPr>
                <w:sz w:val="16"/>
                <w:szCs w:val="16"/>
                <w:color w:val="auto"/>
              </w:rPr>
            </w:pPr>
          </w:p>
        </w:tc>
        <w:tc>
          <w:tcPr>
            <w:tcW w:w="180" w:type="dxa"/>
            <w:vAlign w:val="bottom"/>
            <w:tcBorders>
              <w:right w:val="single" w:sz="8" w:color="CCEEFF"/>
            </w:tcBorders>
            <w:vMerge w:val="continue"/>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(870)</w:t>
            </w:r>
          </w:p>
        </w:tc>
        <w:tc>
          <w:tcPr>
            <w:tcW w:w="18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(574)</w:t>
            </w:r>
          </w:p>
        </w:tc>
        <w:tc>
          <w:tcPr>
            <w:tcW w:w="18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131</w:t>
            </w: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Income tax provision</w:t>
            </w:r>
          </w:p>
        </w:tc>
        <w:tc>
          <w:tcPr>
            <w:tcW w:w="180" w:type="dxa"/>
            <w:vAlign w:val="bottom"/>
          </w:tcPr>
          <w:p>
            <w:pPr>
              <w:spacing w:after="0"/>
              <w:rPr>
                <w:sz w:val="17"/>
                <w:szCs w:val="17"/>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6"/>
                <w:szCs w:val="16"/>
                <w:color w:val="auto"/>
              </w:rPr>
              <w:t>529</w:t>
            </w: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2,393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 expense</w:t>
            </w: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1,852</w:t>
            </w: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6"/>
                <w:szCs w:val="16"/>
                <w:color w:val="auto"/>
                <w:w w:val="98"/>
              </w:rPr>
              <w:t>26,283</w:t>
            </w: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22,207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16,997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98"/>
              </w:rPr>
              <w:t>37,929</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29,851</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33,783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520" w:type="dxa"/>
            <w:vAlign w:val="bottom"/>
            <w:gridSpan w:val="2"/>
          </w:tcPr>
          <w:p>
            <w:pPr>
              <w:spacing w:after="0"/>
              <w:rPr>
                <w:sz w:val="20"/>
                <w:szCs w:val="20"/>
                <w:color w:val="auto"/>
              </w:rPr>
            </w:pPr>
            <w:r>
              <w:rPr>
                <w:rFonts w:ascii="Arial" w:cs="Arial" w:eastAsia="Arial" w:hAnsi="Arial"/>
                <w:sz w:val="16"/>
                <w:szCs w:val="16"/>
                <w:color w:val="auto"/>
              </w:rPr>
              <w:t>GAAP operating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320"/>
              <w:spacing w:after="0"/>
              <w:rPr>
                <w:sz w:val="20"/>
                <w:szCs w:val="20"/>
                <w:color w:val="auto"/>
              </w:rPr>
            </w:pPr>
            <w:r>
              <w:rPr>
                <w:rFonts w:ascii="Arial" w:cs="Arial" w:eastAsia="Arial" w:hAnsi="Arial"/>
                <w:sz w:val="16"/>
                <w:szCs w:val="16"/>
                <w:color w:val="auto"/>
              </w:rPr>
              <w:t>9,800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5,567</w:t>
            </w:r>
          </w:p>
        </w:tc>
        <w:tc>
          <w:tcPr>
            <w:tcW w:w="32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13,557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 for deferred revenue write-down</w:t>
            </w: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1,621</w:t>
            </w: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6"/>
                <w:szCs w:val="16"/>
                <w:color w:val="auto"/>
              </w:rPr>
              <w:t>Non-GAAP operating income</w:t>
            </w: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20" w:type="dxa"/>
            <w:vAlign w:val="bottom"/>
            <w:gridSpan w:val="2"/>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320"/>
              <w:spacing w:after="0"/>
              <w:rPr>
                <w:sz w:val="20"/>
                <w:szCs w:val="20"/>
                <w:color w:val="auto"/>
              </w:rPr>
            </w:pPr>
            <w:r>
              <w:rPr>
                <w:rFonts w:ascii="Arial" w:cs="Arial" w:eastAsia="Arial" w:hAnsi="Arial"/>
                <w:sz w:val="16"/>
                <w:szCs w:val="16"/>
                <w:color w:val="auto"/>
                <w:w w:val="98"/>
              </w:rPr>
              <w:t>11,421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9,405</w:t>
            </w:r>
          </w:p>
        </w:tc>
        <w:tc>
          <w:tcPr>
            <w:tcW w:w="3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20,379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98"/>
              </w:rPr>
              <w:t>10,004</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320"/>
              <w:spacing w:after="0"/>
              <w:rPr>
                <w:sz w:val="20"/>
                <w:szCs w:val="20"/>
                <w:color w:val="auto"/>
              </w:rPr>
            </w:pPr>
            <w:r>
              <w:rPr>
                <w:rFonts w:ascii="Arial" w:cs="Arial" w:eastAsia="Arial" w:hAnsi="Arial"/>
                <w:sz w:val="16"/>
                <w:szCs w:val="16"/>
                <w:color w:val="auto"/>
              </w:rPr>
              <w:t>Adjustment for deferred revenue write-down, net of tax</w:t>
            </w:r>
          </w:p>
        </w:tc>
        <w:tc>
          <w:tcPr>
            <w:tcW w:w="180" w:type="dxa"/>
            <w:vAlign w:val="bottom"/>
          </w:tcPr>
          <w:p>
            <w:pPr>
              <w:spacing w:after="0"/>
              <w:rPr>
                <w:sz w:val="17"/>
                <w:szCs w:val="17"/>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6"/>
                <w:szCs w:val="16"/>
                <w:color w:val="auto"/>
              </w:rPr>
              <w:t>1,295</w:t>
            </w: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2,345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Non-GAAP net income</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98"/>
              </w:rPr>
              <w:t>11,299</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12,908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OUTLOOK FOR 2018</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provides projections and other forward-looking information in this “Financial Outlook for 2018”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and the risks and uncertainties described in Item 1A, Risk Factors and elsewhere in this document. Actual results are likely to differ, and in the past have differed, materially from those forecast by the Company, depending on the outcome of various factors, including, but not limited to, those set forth in Item 1A, Risk Factors.</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As noted above, the Company adopted the new revenue recognition standard (ASC 606), utilizing the modified retrospective approach effective January 1, 2018, such that the Company will recognize revenue under this new standard for periods beginning on and after January 1, 2018, but will continue to report results for periods prior to January 1, 2018 under the old revenue recognition standard (ASC 605). To allow for comparability against 2017 results, the financial outlook below with respect to anticipated 2018 results does not include the impact of ASC 606 but instead has been determined utilizing the ASC 605 revenue recognition standard.</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Beginning with our financial statements for the quarter ending March 31, 2018, the historical financial results of the PX business for periods prior to the closing of this transaction will be reflected in the Company’s consolidated financial statements as discontinued operations. Accordingly, this financial outlook does not include</w:t>
      </w:r>
    </w:p>
    <w:p>
      <w:pPr>
        <w:spacing w:after="0" w:line="1" w:lineRule="exact"/>
        <w:rPr>
          <w:sz w:val="20"/>
          <w:szCs w:val="20"/>
          <w:color w:val="auto"/>
        </w:rPr>
      </w:pPr>
    </w:p>
    <w:p>
      <w:pPr>
        <w:ind w:firstLine="8"/>
        <w:spacing w:after="0" w:line="288" w:lineRule="auto"/>
        <w:tabs>
          <w:tab w:leader="none" w:pos="2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 on the sale of our Patient Experience business, which we completed on February 12, 2018, or (b) the results of our Patient Experience business during the period in 2018 prior to the sale of such business, or the results of our Patient Experience in 2017 for financial outlook comparison purposes.</w:t>
      </w:r>
    </w:p>
    <w:p>
      <w:pPr>
        <w:spacing w:after="0" w:line="16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2018 we anticipate that consolidated revenues will increase six to eight percent as compared to 2017. We anticipate that revenue growth in our Workforce Solutions segment will be in the four to six percent range and our Provider Solutions segment to grow 10 to 20 percent when compared to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We anticipate operating income for 2018 to increase between 20 and 30 percent as compared to 2017.</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anticipate that capital expenditures will be approximately $20 million during 2018. We expect the annual effective income tax rate to range between 26 percent and 28 percent for 2018.</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This guidance does not include the impact of any acquisitions that we may complete during 2018.</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OPERATING RESULTS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following tables set forth selected statements of income data for each of the four quarters in the periods ended December 31, 2017 and December 31, 2016, respectively.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Revenues from our subscription-based products are recognized ratably over the subscription term. Patient experience revenues are impacted by seasonal factors resulting from the volume, timing, and frequency of survey cycles.</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w w:val="93"/>
              </w:rPr>
              <w:t>Quarter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300" w:type="dxa"/>
            <w:vAlign w:val="bottom"/>
            <w:gridSpan w:val="4"/>
          </w:tcPr>
          <w:p>
            <w:pPr>
              <w:ind w:left="1580"/>
              <w:spacing w:after="0" w:line="175" w:lineRule="exact"/>
              <w:rPr>
                <w:sz w:val="20"/>
                <w:szCs w:val="20"/>
                <w:color w:val="auto"/>
              </w:rPr>
            </w:pPr>
            <w:r>
              <w:rPr>
                <w:rFonts w:ascii="Arial" w:cs="Arial" w:eastAsia="Arial" w:hAnsi="Arial"/>
                <w:sz w:val="16"/>
                <w:szCs w:val="16"/>
                <w:b w:val="1"/>
                <w:bCs w:val="1"/>
                <w:color w:val="auto"/>
                <w:w w:val="94"/>
              </w:rPr>
              <w:t>March 31,</w:t>
            </w:r>
          </w:p>
        </w:tc>
        <w:tc>
          <w:tcPr>
            <w:tcW w:w="320" w:type="dxa"/>
            <w:vAlign w:val="bottom"/>
          </w:tcPr>
          <w:p>
            <w:pPr>
              <w:spacing w:after="0"/>
              <w:rPr>
                <w:sz w:val="15"/>
                <w:szCs w:val="15"/>
                <w:color w:val="auto"/>
              </w:rPr>
            </w:pPr>
          </w:p>
        </w:tc>
        <w:tc>
          <w:tcPr>
            <w:tcW w:w="60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auto"/>
                <w:w w:val="81"/>
              </w:rPr>
              <w:t>June 30,</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4"/>
          </w:tcPr>
          <w:p>
            <w:pPr>
              <w:ind w:left="340"/>
              <w:spacing w:after="0" w:line="175" w:lineRule="exact"/>
              <w:rPr>
                <w:sz w:val="20"/>
                <w:szCs w:val="20"/>
                <w:color w:val="auto"/>
              </w:rPr>
            </w:pPr>
            <w:r>
              <w:rPr>
                <w:rFonts w:ascii="Arial" w:cs="Arial" w:eastAsia="Arial" w:hAnsi="Arial"/>
                <w:sz w:val="16"/>
                <w:szCs w:val="16"/>
                <w:b w:val="1"/>
                <w:bCs w:val="1"/>
                <w:color w:val="auto"/>
                <w:w w:val="74"/>
              </w:rPr>
              <w:t>September</w:t>
            </w:r>
          </w:p>
        </w:tc>
        <w:tc>
          <w:tcPr>
            <w:tcW w:w="36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30,</w:t>
            </w:r>
          </w:p>
        </w:tc>
        <w:tc>
          <w:tcPr>
            <w:tcW w:w="1340" w:type="dxa"/>
            <w:vAlign w:val="bottom"/>
            <w:gridSpan w:val="6"/>
          </w:tcPr>
          <w:p>
            <w:pPr>
              <w:ind w:left="340"/>
              <w:spacing w:after="0" w:line="175" w:lineRule="exact"/>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4"/>
              </w:rPr>
              <w:t>2017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(In</w:t>
            </w:r>
          </w:p>
        </w:tc>
        <w:tc>
          <w:tcPr>
            <w:tcW w:w="320" w:type="dxa"/>
            <w:vAlign w:val="bottom"/>
            <w:shd w:val="clear" w:color="auto" w:fill="00000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6"/>
                <w:szCs w:val="16"/>
                <w:b w:val="1"/>
                <w:bCs w:val="1"/>
                <w:color w:val="auto"/>
                <w:w w:val="91"/>
              </w:rPr>
              <w:t>thousands, except per share data)</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STATEMENT OF INCOME DATA:</w:t>
            </w: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Revenues, net</w:t>
            </w:r>
          </w:p>
        </w:tc>
        <w:tc>
          <w:tcPr>
            <w:tcW w:w="176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59,870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61,481</w:t>
            </w:r>
          </w:p>
        </w:tc>
        <w:tc>
          <w:tcPr>
            <w:tcW w:w="5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6"/>
                <w:szCs w:val="16"/>
                <w:color w:val="auto"/>
              </w:rPr>
              <w:t>63,553</w:t>
            </w: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62,758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1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58,037</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58,626</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59,571</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61,629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6"/>
                <w:szCs w:val="16"/>
                <w:color w:val="auto"/>
              </w:rPr>
              <w:t>Operating income</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1,833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2,855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6"/>
                <w:szCs w:val="16"/>
                <w:color w:val="auto"/>
              </w:rPr>
              <w:t>3,982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1,129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2,504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3,948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236" w:lineRule="exact"/>
              <w:rPr>
                <w:sz w:val="20"/>
                <w:szCs w:val="20"/>
                <w:color w:val="auto"/>
              </w:rPr>
            </w:pPr>
            <w:r>
              <w:rPr>
                <w:rFonts w:ascii="Arial" w:cs="Arial" w:eastAsia="Arial" w:hAnsi="Arial"/>
                <w:sz w:val="16"/>
                <w:szCs w:val="16"/>
                <w:color w:val="auto"/>
              </w:rPr>
              <w:t xml:space="preserve">Net income per share </w:t>
            </w:r>
            <w:r>
              <w:rPr>
                <w:rFonts w:ascii="Arial" w:cs="Arial" w:eastAsia="Arial" w:hAnsi="Arial"/>
                <w:sz w:val="27"/>
                <w:szCs w:val="27"/>
                <w:color w:val="auto"/>
                <w:vertAlign w:val="superscript"/>
              </w:rPr>
              <w:t>(1)</w:t>
            </w:r>
            <w:r>
              <w:rPr>
                <w:rFonts w:ascii="Arial" w:cs="Arial" w:eastAsia="Arial" w:hAnsi="Arial"/>
                <w:sz w:val="16"/>
                <w:szCs w:val="16"/>
                <w:color w:val="auto"/>
              </w:rPr>
              <w:t>:</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160"/>
              <w:spacing w:after="0"/>
              <w:rPr>
                <w:sz w:val="20"/>
                <w:szCs w:val="20"/>
                <w:color w:val="auto"/>
              </w:rPr>
            </w:pPr>
            <w:r>
              <w:rPr>
                <w:rFonts w:ascii="Arial" w:cs="Arial" w:eastAsia="Arial" w:hAnsi="Arial"/>
                <w:sz w:val="16"/>
                <w:szCs w:val="16"/>
                <w:color w:val="auto"/>
              </w:rPr>
              <w:t>Diluted</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00" w:type="dxa"/>
            <w:vAlign w:val="bottom"/>
            <w:vMerge w:val="continue"/>
          </w:tcPr>
          <w:p>
            <w:pPr>
              <w:spacing w:after="0"/>
              <w:rPr>
                <w:sz w:val="16"/>
                <w:szCs w:val="16"/>
                <w:color w:val="auto"/>
              </w:rPr>
            </w:pPr>
          </w:p>
        </w:tc>
        <w:tc>
          <w:tcPr>
            <w:tcW w:w="176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0.04</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0.07</w:t>
            </w:r>
          </w:p>
        </w:tc>
        <w:tc>
          <w:tcPr>
            <w:tcW w:w="5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6"/>
                <w:szCs w:val="16"/>
                <w:color w:val="auto"/>
              </w:rPr>
              <w:t>0.08</w:t>
            </w: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0.12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of common stock outstanding:</w:t>
            </w: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rPr>
                <w:sz w:val="20"/>
                <w:szCs w:val="20"/>
                <w:color w:val="auto"/>
              </w:rPr>
            </w:pPr>
            <w:r>
              <w:rPr>
                <w:rFonts w:ascii="Arial" w:cs="Arial" w:eastAsia="Arial" w:hAnsi="Arial"/>
                <w:sz w:val="16"/>
                <w:szCs w:val="16"/>
                <w:color w:val="auto"/>
              </w:rPr>
              <w:t>Basic</w:t>
            </w:r>
          </w:p>
        </w:tc>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31,774</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31,876</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31,893</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31,902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32,104</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32,229</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32,217</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w w:val="93"/>
              </w:rPr>
              <w:t>Quarter Ended</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300" w:type="dxa"/>
            <w:vAlign w:val="bottom"/>
            <w:gridSpan w:val="4"/>
          </w:tcPr>
          <w:p>
            <w:pPr>
              <w:ind w:left="1580"/>
              <w:spacing w:after="0" w:line="175" w:lineRule="exact"/>
              <w:rPr>
                <w:sz w:val="20"/>
                <w:szCs w:val="20"/>
                <w:color w:val="auto"/>
              </w:rPr>
            </w:pPr>
            <w:r>
              <w:rPr>
                <w:rFonts w:ascii="Arial" w:cs="Arial" w:eastAsia="Arial" w:hAnsi="Arial"/>
                <w:sz w:val="16"/>
                <w:szCs w:val="16"/>
                <w:b w:val="1"/>
                <w:bCs w:val="1"/>
                <w:color w:val="auto"/>
                <w:w w:val="94"/>
              </w:rPr>
              <w:t>March 31,</w:t>
            </w:r>
          </w:p>
        </w:tc>
        <w:tc>
          <w:tcPr>
            <w:tcW w:w="320" w:type="dxa"/>
            <w:vAlign w:val="bottom"/>
          </w:tcPr>
          <w:p>
            <w:pPr>
              <w:spacing w:after="0"/>
              <w:rPr>
                <w:sz w:val="15"/>
                <w:szCs w:val="15"/>
                <w:color w:val="auto"/>
              </w:rPr>
            </w:pPr>
          </w:p>
        </w:tc>
        <w:tc>
          <w:tcPr>
            <w:tcW w:w="60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auto"/>
                <w:w w:val="81"/>
              </w:rPr>
              <w:t>June 30,</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4"/>
          </w:tcPr>
          <w:p>
            <w:pPr>
              <w:ind w:left="340"/>
              <w:spacing w:after="0" w:line="175" w:lineRule="exact"/>
              <w:rPr>
                <w:sz w:val="20"/>
                <w:szCs w:val="20"/>
                <w:color w:val="auto"/>
              </w:rPr>
            </w:pPr>
            <w:r>
              <w:rPr>
                <w:rFonts w:ascii="Arial" w:cs="Arial" w:eastAsia="Arial" w:hAnsi="Arial"/>
                <w:sz w:val="16"/>
                <w:szCs w:val="16"/>
                <w:b w:val="1"/>
                <w:bCs w:val="1"/>
                <w:color w:val="auto"/>
                <w:w w:val="74"/>
              </w:rPr>
              <w:t>September</w:t>
            </w:r>
          </w:p>
        </w:tc>
        <w:tc>
          <w:tcPr>
            <w:tcW w:w="36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30,</w:t>
            </w:r>
          </w:p>
        </w:tc>
        <w:tc>
          <w:tcPr>
            <w:tcW w:w="1340" w:type="dxa"/>
            <w:vAlign w:val="bottom"/>
            <w:gridSpan w:val="6"/>
          </w:tcPr>
          <w:p>
            <w:pPr>
              <w:ind w:left="340"/>
              <w:spacing w:after="0" w:line="175" w:lineRule="exact"/>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4"/>
              </w:rPr>
              <w:t>2016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(In</w:t>
            </w:r>
          </w:p>
        </w:tc>
        <w:tc>
          <w:tcPr>
            <w:tcW w:w="320" w:type="dxa"/>
            <w:vAlign w:val="bottom"/>
            <w:shd w:val="clear" w:color="auto" w:fill="00000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6"/>
                <w:szCs w:val="16"/>
                <w:b w:val="1"/>
                <w:bCs w:val="1"/>
                <w:color w:val="auto"/>
                <w:w w:val="91"/>
              </w:rPr>
              <w:t>thousands, except per share data)</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STATEMENT OF INCOME DATA:</w:t>
            </w: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Revenues, net</w:t>
            </w:r>
          </w:p>
        </w:tc>
        <w:tc>
          <w:tcPr>
            <w:tcW w:w="176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54,078</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54,793</w:t>
            </w:r>
          </w:p>
        </w:tc>
        <w:tc>
          <w:tcPr>
            <w:tcW w:w="5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6"/>
                <w:szCs w:val="16"/>
                <w:color w:val="auto"/>
              </w:rPr>
              <w:t>58,367</w:t>
            </w: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58,737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1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51,592</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52,477</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57,081</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59,258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2,486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2,316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6"/>
                <w:szCs w:val="16"/>
                <w:color w:val="auto"/>
              </w:rPr>
              <w:t>1,286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1,162</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236" w:lineRule="exact"/>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7"/>
                <w:szCs w:val="27"/>
                <w:color w:val="auto"/>
                <w:vertAlign w:val="superscript"/>
              </w:rPr>
              <w:t>(1)</w:t>
            </w:r>
            <w:r>
              <w:rPr>
                <w:rFonts w:ascii="Arial" w:cs="Arial" w:eastAsia="Arial" w:hAnsi="Arial"/>
                <w:sz w:val="16"/>
                <w:szCs w:val="16"/>
                <w:color w:val="auto"/>
              </w:rPr>
              <w:t>:</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160"/>
              <w:spacing w:after="0"/>
              <w:rPr>
                <w:sz w:val="20"/>
                <w:szCs w:val="20"/>
                <w:color w:val="auto"/>
              </w:rPr>
            </w:pPr>
            <w:r>
              <w:rPr>
                <w:rFonts w:ascii="Arial" w:cs="Arial" w:eastAsia="Arial" w:hAnsi="Arial"/>
                <w:sz w:val="16"/>
                <w:szCs w:val="16"/>
                <w:color w:val="auto"/>
              </w:rPr>
              <w:t>Diluted</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00" w:type="dxa"/>
            <w:vAlign w:val="bottom"/>
            <w:vMerge w:val="continue"/>
          </w:tcPr>
          <w:p>
            <w:pPr>
              <w:spacing w:after="0"/>
              <w:rPr>
                <w:sz w:val="16"/>
                <w:szCs w:val="16"/>
                <w:color w:val="auto"/>
              </w:rPr>
            </w:pPr>
          </w:p>
        </w:tc>
        <w:tc>
          <w:tcPr>
            <w:tcW w:w="176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0.05</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0.04</w:t>
            </w:r>
          </w:p>
        </w:tc>
        <w:tc>
          <w:tcPr>
            <w:tcW w:w="5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6"/>
                <w:szCs w:val="16"/>
                <w:color w:val="auto"/>
              </w:rPr>
              <w:t>0.04</w:t>
            </w: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of common stock outstanding:</w:t>
            </w: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rPr>
                <w:sz w:val="20"/>
                <w:szCs w:val="20"/>
                <w:color w:val="auto"/>
              </w:rPr>
            </w:pPr>
            <w:r>
              <w:rPr>
                <w:rFonts w:ascii="Arial" w:cs="Arial" w:eastAsia="Arial" w:hAnsi="Arial"/>
                <w:sz w:val="16"/>
                <w:szCs w:val="16"/>
                <w:color w:val="auto"/>
              </w:rPr>
              <w:t>Basic</w:t>
            </w:r>
          </w:p>
        </w:tc>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31,666</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31,736</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31,739</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31,743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31,974</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32,071</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32,107</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31,743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(1) – Due to the nature of interim earnings per share calculations, the sum of quarterly earnings per share amounts may not equal the reported earnings per share for the full year.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cash provided by operating activities was approximately $46.7 million during 2017 compared to $24.2 million during 2016, an increase of 93%. The primary sources of cash were generated from receipts from the sales of our products and services. The number of days sales outstanding (DSO) was 63 days for 2017 compared to 66 days for 2016.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cash used in investing activities was approximately $11.6 million during 2017 and $56.7 million during 2016. During 2017, the Company purchased $83.3 million of marketable securities, spent $11.9 million for capitalized software development, purchased $6.0 million of property and equipment, and invested $500,000 in a cost method investee. These uses of cash were partially offset by maturities of marketable securities of $90.1 million. During 2016, the Company utilized $55.3 million (net of cash acquired) for acquisitions, purchased $107.0 million of marketable securities, spent $9.7 million for capitalized software development, and purchased $5.1 million of property and equipment. These uses of cash were partially offset by maturities of marketable securities of $119.4 million and proceeds from the sale of long lived assets of $975,000.</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Cash provided by financing activities was approximately $1,000 during 2017 and $46,000 during 2016. During 2017, the primary source of cash from financing activities resulted from $413,000 from the exercise of employee stock options. The primary use of cash during 2017 related to $412,000 for payments of payroll taxes from stock based compensation arrangements. During 2016, the primary source of cash from financing activities resulted from $217,000 of excess tax benefits from equity awards and $145,000 from the exercise of employee stock options. The primary uses of cash during 2016 related to $316,000 for payments of payroll taxes from stock based compensation arrangements.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balance sheet reflects positive working capital of $98.7 million at December 31, 2017 compared to $82.5 million at December 31, 2016. The increase in working capital was primarily due to net cash provided by operating activities, partially offset by an increase in current liabilities. The Company’s primary source of liquidity is $131.1 million of cash and cash equivalents and marketable securities. The Company also has a $50.0 million revolving credit facility loan agreement, all of which was available at December 31, 2017.</w:t>
      </w:r>
    </w:p>
    <w:p>
      <w:pPr>
        <w:spacing w:after="0" w:line="12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growth strategy includes acquiring businesses that provide complementary product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2017, the Company was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16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Company’s off-balance sheet arrangements primarily consist of operating leases, contractual obligations, and our revolving credit facility, which is described further in Note 13 to the Company’s consolidated financial statements contained elsewhere in this report.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future anticipated payments due by the Company under contractual obligations with firm minimum commitments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excluding amounts already recorded in the consolidated balance sheets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9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88"/>
              </w:rPr>
              <w:t>Less than 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7"/>
          </w:tcPr>
          <w:p>
            <w:pPr>
              <w:spacing w:after="0"/>
              <w:rPr>
                <w:sz w:val="20"/>
                <w:szCs w:val="20"/>
                <w:color w:val="auto"/>
              </w:rPr>
            </w:pPr>
            <w:r>
              <w:rPr>
                <w:rFonts w:ascii="Arial" w:cs="Arial" w:eastAsia="Arial" w:hAnsi="Arial"/>
                <w:sz w:val="14"/>
                <w:szCs w:val="14"/>
                <w:b w:val="1"/>
                <w:bCs w:val="1"/>
                <w:color w:val="auto"/>
                <w:w w:val="88"/>
              </w:rPr>
              <w:t>Payments due by period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More than 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2"/>
                <w:szCs w:val="12"/>
                <w:color w:val="auto"/>
              </w:rPr>
            </w:pPr>
          </w:p>
        </w:tc>
        <w:tc>
          <w:tcPr>
            <w:tcW w:w="7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8"/>
              </w:rPr>
              <w:t>3-5 years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81"/>
              </w:rPr>
              <w:t>years</w:t>
            </w:r>
          </w:p>
        </w:tc>
        <w:tc>
          <w:tcPr>
            <w:tcW w:w="220" w:type="dxa"/>
            <w:vAlign w:val="bottom"/>
          </w:tcPr>
          <w:p>
            <w:pPr>
              <w:spacing w:after="0"/>
              <w:rPr>
                <w:sz w:val="12"/>
                <w:szCs w:val="12"/>
                <w:color w:val="auto"/>
              </w:rPr>
            </w:pPr>
          </w:p>
        </w:tc>
        <w:tc>
          <w:tcPr>
            <w:tcW w:w="60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000000"/>
          </w:tcPr>
          <w:p>
            <w:pPr>
              <w:spacing w:after="0"/>
              <w:rPr>
                <w:sz w:val="2"/>
                <w:szCs w:val="2"/>
                <w:color w:val="auto"/>
              </w:rPr>
            </w:pPr>
          </w:p>
        </w:tc>
        <w:tc>
          <w:tcPr>
            <w:tcW w:w="480" w:type="dxa"/>
            <w:vAlign w:val="bottom"/>
            <w:gridSpan w:val="2"/>
            <w:shd w:val="clear" w:color="auto" w:fill="CCEEFF"/>
          </w:tcPr>
          <w:p>
            <w:pPr>
              <w:spacing w:after="0"/>
              <w:rPr>
                <w:sz w:val="2"/>
                <w:szCs w:val="2"/>
                <w:color w:val="auto"/>
              </w:rPr>
            </w:pPr>
          </w:p>
        </w:tc>
        <w:tc>
          <w:tcPr>
            <w:tcW w:w="180" w:type="dxa"/>
            <w:vAlign w:val="bottom"/>
            <w:tcBorders>
              <w:left w:val="single" w:sz="8" w:color="CCEEFF"/>
            </w:tcBorders>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200" w:type="dxa"/>
            <w:vAlign w:val="bottom"/>
            <w:tcBorders>
              <w:right w:val="single" w:sz="8" w:color="CCEEFF"/>
            </w:tcBorders>
            <w:vMerge w:val="restart"/>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000000"/>
          </w:tcPr>
          <w:p>
            <w:pPr>
              <w:spacing w:after="0"/>
              <w:rPr>
                <w:sz w:val="2"/>
                <w:szCs w:val="2"/>
                <w:color w:val="auto"/>
              </w:rPr>
            </w:pPr>
          </w:p>
        </w:tc>
        <w:tc>
          <w:tcPr>
            <w:tcW w:w="500" w:type="dxa"/>
            <w:vAlign w:val="bottom"/>
            <w:gridSpan w:val="2"/>
            <w:shd w:val="clear" w:color="auto" w:fill="CCEEFF"/>
          </w:tcPr>
          <w:p>
            <w:pPr>
              <w:spacing w:after="0"/>
              <w:rPr>
                <w:sz w:val="2"/>
                <w:szCs w:val="2"/>
                <w:color w:val="auto"/>
              </w:rPr>
            </w:pPr>
          </w:p>
        </w:tc>
        <w:tc>
          <w:tcPr>
            <w:tcW w:w="220" w:type="dxa"/>
            <w:vAlign w:val="bottom"/>
            <w:tcBorders>
              <w:right w:val="single" w:sz="8" w:color="CCEEFF"/>
            </w:tcBorders>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000000"/>
          </w:tcPr>
          <w:p>
            <w:pPr>
              <w:spacing w:after="0"/>
              <w:rPr>
                <w:sz w:val="2"/>
                <w:szCs w:val="2"/>
                <w:color w:val="auto"/>
              </w:rPr>
            </w:pPr>
          </w:p>
        </w:tc>
        <w:tc>
          <w:tcPr>
            <w:tcW w:w="28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520" w:type="dxa"/>
            <w:vAlign w:val="bottom"/>
            <w:vMerge w:val="continue"/>
            <w:shd w:val="clear" w:color="auto" w:fill="CCEEFF"/>
          </w:tcPr>
          <w:p>
            <w:pPr>
              <w:spacing w:after="0"/>
              <w:rPr>
                <w:sz w:val="16"/>
                <w:szCs w:val="16"/>
                <w:color w:val="auto"/>
              </w:rPr>
            </w:pPr>
          </w:p>
        </w:tc>
        <w:tc>
          <w:tcPr>
            <w:tcW w:w="220" w:type="dxa"/>
            <w:vAlign w:val="bottom"/>
            <w:tcBorders>
              <w:right w:val="single" w:sz="8" w:color="CCEEFF"/>
            </w:tcBorders>
            <w:vMerge w:val="continue"/>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4,720</w:t>
            </w:r>
          </w:p>
        </w:tc>
        <w:tc>
          <w:tcPr>
            <w:tcW w:w="180" w:type="dxa"/>
            <w:vAlign w:val="bottom"/>
            <w:tcBorders>
              <w:left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79"/>
              </w:rPr>
              <w:t>7,415</w:t>
            </w:r>
          </w:p>
        </w:tc>
        <w:tc>
          <w:tcPr>
            <w:tcW w:w="140" w:type="dxa"/>
            <w:vAlign w:val="bottom"/>
            <w:vMerge w:val="continue"/>
            <w:shd w:val="clear" w:color="auto" w:fill="CCEEFF"/>
          </w:tcPr>
          <w:p>
            <w:pPr>
              <w:spacing w:after="0"/>
              <w:rPr>
                <w:sz w:val="16"/>
                <w:szCs w:val="16"/>
                <w:color w:val="auto"/>
              </w:rPr>
            </w:pPr>
          </w:p>
        </w:tc>
        <w:tc>
          <w:tcPr>
            <w:tcW w:w="200" w:type="dxa"/>
            <w:vAlign w:val="bottom"/>
            <w:tcBorders>
              <w:right w:val="single" w:sz="8" w:color="CCEEFF"/>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7,494</w:t>
            </w:r>
          </w:p>
        </w:tc>
        <w:tc>
          <w:tcPr>
            <w:tcW w:w="14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w w:val="94"/>
              </w:rPr>
              <w:t>20,361</w:t>
            </w:r>
          </w:p>
        </w:tc>
        <w:tc>
          <w:tcPr>
            <w:tcW w:w="220" w:type="dxa"/>
            <w:vAlign w:val="bottom"/>
            <w:tcBorders>
              <w:right w:val="single" w:sz="8" w:color="CCEEFF"/>
            </w:tcBorders>
            <w:vMerge w:val="continue"/>
            <w:shd w:val="clear" w:color="auto" w:fill="CCEEFF"/>
          </w:tcPr>
          <w:p>
            <w:pPr>
              <w:spacing w:after="0"/>
              <w:rPr>
                <w:sz w:val="16"/>
                <w:szCs w:val="16"/>
                <w:color w:val="auto"/>
              </w:rPr>
            </w:pPr>
          </w:p>
        </w:tc>
        <w:tc>
          <w:tcPr>
            <w:tcW w:w="6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4"/>
              </w:rPr>
              <w:t>39,990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2,434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6,569</w:t>
            </w:r>
          </w:p>
        </w:tc>
        <w:tc>
          <w:tcPr>
            <w:tcW w:w="180" w:type="dxa"/>
            <w:vAlign w:val="bottom"/>
            <w:tcBorders>
              <w:left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9,849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4"/>
              </w:rPr>
              <w:t>20,361</w:t>
            </w:r>
          </w:p>
        </w:tc>
        <w:tc>
          <w:tcPr>
            <w:tcW w:w="220" w:type="dxa"/>
            <w:vAlign w:val="bottom"/>
            <w:tcBorders>
              <w:right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44,273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May 2014, the FASB issued ASU 2014-09, Revenue from Contracts with Customers (Topic 606), which supersedes the revenue recognition requirements in Topic 605, Revenue Recognition,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will adopt the standard using the modified retrospective approach effective January 1, 2018. In preparation for adoption of the standard, the Company implemented internal controls and key system functionality to enable the preparation of financial information and has reached conclusions on key accounting assessments related to the standard.</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most significant impact of the standard relates to capitalizing costs to acquire contracts, which have historically been expensed as incurred. As of December 31, 2017, the Company’s sales commission plans have included multiple payments, including initial payments in the period a customer contract is obtained and deferred payments either 15 or 27 months after the initial payment. Under the standard, only the initial payment is subject to capitalization as the deferred payments require a substantive performance condition of the employee. These initial commission payments will be capitalized in the period a customer contract is obtained and will be amortized consistent with the transfer of the goods or services to the customer over the expected period of benefit. The expected period of benefit is the contract term, except when the commission payment is expected to provide economic benefit to the Company for a period longer than the contract term, such as for new customer or incremental sales where renewals are expected and renewal commissions are not commensurate with initial commissions. Such commissions will be amortized over the greater of contract term or technological obsolescence period when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underlying contracted products are technology-based, such as for the SaaS-based platforms, or the expected customer relationship period when the underlying contracted products are not technology-based, such as for patient experience survey products.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Additionally, the standard impacts several of the Company’s revenue streams. The primary streams affected are professional services and patient experience surveys. For professional services, the identification of performance obligations and the related timing of revenue recognition is changing such that revenues will be recognized earlier, during the period of service delivery, rather than over the related product’s contractual term. For patient experience surveys, revenues will correlate to survey delivery, which approximates ratable recognition over the contractual term, rather than the current method of spreading quarterly revenue over the five-month life cycle of the patient experience survey cycle.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will finalize its calculation of the financial impact of the adoption of this accounting standard on its future consolidated financial statements in the first quarter of 2018. The Company anticipates adjustments to retained earnings of no more than $10 million and $16 million, net of related tax effects, upon adoption for revenue recognition and sales commissions, respectively. It is possible that the adoption of this standard could have an adverse impact on the timing of our revenue recognition and thus adversely impact the amount of our revenue in a particular period.</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January 2016, the FASB issued ASU 2016-01, Financial Instruments – Overall (Sub Topic 825-10), which addresses certain aspects of the recognition, measurement, presentation, and disclosure of financial instruments. The guidance will, among other things, require equity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plans to adopt this ASU on January 1, 2018, and is currently reviewing this standard to assess the impact on its future consolidated financial statements.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February 2016, the FASB issued ASU 2016-02, Leases (Topic 842),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assess the impact on its future consolidated financial statements. The standard will be effective for the first interim period within annual reporting periods beginning after December 15, 2018, and early adoption is permitted. The Company expects to adopt this ASU on January 1, 2019, and is currently evaluating the impact that adoption of this ASU will have on its consolidated financial position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December 31, 2017,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$131.1 million at December 31, 2017. Assuming a hypothetical 10% decrease in interest rates, interest income from cash and investments would decrease on an annualized basis by approximately $183,000.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Company’s investment policy and strategy is focused on investing in highly rated securities, with the objective of minimizing the potential risk of principal loss.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Company’s policy limits the amount of credit exposure to any single issuer and sets limits on the average portfolio maturity.</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43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Reports of Independent Registered Public Accounting Firm</w:t>
              </w:r>
            </w:hyperlink>
          </w:p>
        </w:tc>
        <w:tc>
          <w:tcPr>
            <w:tcW w:w="660" w:type="dxa"/>
            <w:vAlign w:val="bottom"/>
          </w:tcPr>
          <w:p>
            <w:pPr>
              <w:spacing w:after="0"/>
              <w:rPr>
                <w:sz w:val="22"/>
                <w:szCs w:val="22"/>
                <w:color w:val="auto"/>
              </w:rPr>
            </w:pPr>
          </w:p>
        </w:tc>
        <w:tc>
          <w:tcPr>
            <w:tcW w:w="6460" w:type="dxa"/>
            <w:vAlign w:val="bottom"/>
            <w:gridSpan w:val="2"/>
          </w:tcPr>
          <w:p>
            <w:pPr>
              <w:jc w:val="center"/>
              <w:ind w:left="6071"/>
              <w:spacing w:after="0"/>
              <w:rPr>
                <w:sz w:val="20"/>
                <w:szCs w:val="20"/>
                <w:color w:val="auto"/>
              </w:rPr>
            </w:pPr>
            <w:r>
              <w:rPr>
                <w:rFonts w:ascii="Arial" w:cs="Arial" w:eastAsia="Arial" w:hAnsi="Arial"/>
                <w:sz w:val="18"/>
                <w:szCs w:val="18"/>
                <w:color w:val="auto"/>
                <w:w w:val="89"/>
              </w:rPr>
              <w:t>36</w:t>
            </w: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Balance Sheets</w:t>
              </w:r>
            </w:hyperlink>
          </w:p>
        </w:tc>
        <w:tc>
          <w:tcPr>
            <w:tcW w:w="2860" w:type="dxa"/>
            <w:vAlign w:val="bottom"/>
            <w:gridSpan w:val="7"/>
          </w:tcPr>
          <w:p>
            <w:pPr>
              <w:spacing w:after="0"/>
              <w:rPr>
                <w:sz w:val="17"/>
                <w:szCs w:val="17"/>
                <w:color w:val="auto"/>
              </w:rPr>
            </w:pPr>
          </w:p>
        </w:tc>
        <w:tc>
          <w:tcPr>
            <w:tcW w:w="6460" w:type="dxa"/>
            <w:vAlign w:val="bottom"/>
            <w:gridSpan w:val="2"/>
          </w:tcPr>
          <w:p>
            <w:pPr>
              <w:jc w:val="center"/>
              <w:ind w:left="6071"/>
              <w:spacing w:after="0" w:line="196" w:lineRule="exact"/>
              <w:rPr>
                <w:sz w:val="20"/>
                <w:szCs w:val="20"/>
                <w:color w:val="auto"/>
              </w:rPr>
            </w:pPr>
            <w:r>
              <w:rPr>
                <w:rFonts w:ascii="Arial" w:cs="Arial" w:eastAsia="Arial" w:hAnsi="Arial"/>
                <w:sz w:val="18"/>
                <w:szCs w:val="18"/>
                <w:color w:val="auto"/>
                <w:w w:val="89"/>
              </w:rPr>
              <w:t>38</w:t>
            </w: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Income</w:t>
              </w:r>
            </w:hyperlink>
          </w:p>
        </w:tc>
        <w:tc>
          <w:tcPr>
            <w:tcW w:w="2380" w:type="dxa"/>
            <w:vAlign w:val="bottom"/>
            <w:gridSpan w:val="6"/>
          </w:tcPr>
          <w:p>
            <w:pPr>
              <w:spacing w:after="0"/>
              <w:rPr>
                <w:sz w:val="17"/>
                <w:szCs w:val="17"/>
                <w:color w:val="auto"/>
              </w:rPr>
            </w:pPr>
          </w:p>
        </w:tc>
        <w:tc>
          <w:tcPr>
            <w:tcW w:w="6460" w:type="dxa"/>
            <w:vAlign w:val="bottom"/>
            <w:gridSpan w:val="2"/>
          </w:tcPr>
          <w:p>
            <w:pPr>
              <w:jc w:val="center"/>
              <w:ind w:left="6071"/>
              <w:spacing w:after="0" w:line="196" w:lineRule="exact"/>
              <w:rPr>
                <w:sz w:val="20"/>
                <w:szCs w:val="20"/>
                <w:color w:val="auto"/>
              </w:rPr>
            </w:pPr>
            <w:r>
              <w:rPr>
                <w:rFonts w:ascii="Arial" w:cs="Arial" w:eastAsia="Arial" w:hAnsi="Arial"/>
                <w:sz w:val="18"/>
                <w:szCs w:val="18"/>
                <w:color w:val="auto"/>
                <w:w w:val="89"/>
              </w:rPr>
              <w:t>39</w:t>
            </w: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Comprehensive Income</w:t>
              </w:r>
            </w:hyperlink>
          </w:p>
        </w:tc>
        <w:tc>
          <w:tcPr>
            <w:tcW w:w="6460" w:type="dxa"/>
            <w:vAlign w:val="bottom"/>
            <w:gridSpan w:val="2"/>
          </w:tcPr>
          <w:p>
            <w:pPr>
              <w:jc w:val="center"/>
              <w:ind w:left="6071"/>
              <w:spacing w:after="0" w:line="196" w:lineRule="exact"/>
              <w:rPr>
                <w:sz w:val="20"/>
                <w:szCs w:val="20"/>
                <w:color w:val="auto"/>
              </w:rPr>
            </w:pPr>
            <w:r>
              <w:rPr>
                <w:rFonts w:ascii="Arial" w:cs="Arial" w:eastAsia="Arial" w:hAnsi="Arial"/>
                <w:sz w:val="18"/>
                <w:szCs w:val="18"/>
                <w:color w:val="auto"/>
                <w:w w:val="89"/>
              </w:rPr>
              <w:t>40</w:t>
            </w: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Consolidated Statements of Shareholders’ Equity</w:t>
              </w:r>
            </w:hyperlink>
          </w:p>
        </w:tc>
        <w:tc>
          <w:tcPr>
            <w:tcW w:w="18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6460" w:type="dxa"/>
            <w:vAlign w:val="bottom"/>
            <w:gridSpan w:val="2"/>
          </w:tcPr>
          <w:p>
            <w:pPr>
              <w:jc w:val="center"/>
              <w:ind w:left="6071"/>
              <w:spacing w:after="0" w:line="196" w:lineRule="exact"/>
              <w:rPr>
                <w:sz w:val="20"/>
                <w:szCs w:val="20"/>
                <w:color w:val="auto"/>
              </w:rPr>
            </w:pPr>
            <w:r>
              <w:rPr>
                <w:rFonts w:ascii="Arial" w:cs="Arial" w:eastAsia="Arial" w:hAnsi="Arial"/>
                <w:sz w:val="18"/>
                <w:szCs w:val="18"/>
                <w:color w:val="auto"/>
                <w:w w:val="89"/>
              </w:rPr>
              <w:t>41</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w:t>
              </w:r>
            </w:hyperlink>
          </w:p>
        </w:tc>
        <w:tc>
          <w:tcPr>
            <w:tcW w:w="2080" w:type="dxa"/>
            <w:vAlign w:val="bottom"/>
            <w:gridSpan w:val="5"/>
          </w:tcPr>
          <w:p>
            <w:pPr>
              <w:spacing w:after="0"/>
              <w:rPr>
                <w:sz w:val="17"/>
                <w:szCs w:val="17"/>
                <w:color w:val="auto"/>
              </w:rPr>
            </w:pPr>
          </w:p>
        </w:tc>
        <w:tc>
          <w:tcPr>
            <w:tcW w:w="6460" w:type="dxa"/>
            <w:vAlign w:val="bottom"/>
            <w:gridSpan w:val="2"/>
          </w:tcPr>
          <w:p>
            <w:pPr>
              <w:jc w:val="center"/>
              <w:ind w:left="6071"/>
              <w:spacing w:after="0" w:line="196" w:lineRule="exact"/>
              <w:rPr>
                <w:sz w:val="20"/>
                <w:szCs w:val="20"/>
                <w:color w:val="auto"/>
              </w:rPr>
            </w:pPr>
            <w:r>
              <w:rPr>
                <w:rFonts w:ascii="Arial" w:cs="Arial" w:eastAsia="Arial" w:hAnsi="Arial"/>
                <w:sz w:val="18"/>
                <w:szCs w:val="18"/>
                <w:color w:val="auto"/>
                <w:w w:val="89"/>
              </w:rPr>
              <w:t>42</w:t>
            </w: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6460" w:type="dxa"/>
            <w:vAlign w:val="bottom"/>
            <w:gridSpan w:val="2"/>
          </w:tcPr>
          <w:p>
            <w:pPr>
              <w:jc w:val="center"/>
              <w:ind w:left="6071"/>
              <w:spacing w:after="0" w:line="196" w:lineRule="exact"/>
              <w:rPr>
                <w:sz w:val="20"/>
                <w:szCs w:val="20"/>
                <w:color w:val="auto"/>
              </w:rPr>
            </w:pPr>
            <w:r>
              <w:rPr>
                <w:rFonts w:ascii="Arial" w:cs="Arial" w:eastAsia="Arial" w:hAnsi="Arial"/>
                <w:sz w:val="18"/>
                <w:szCs w:val="18"/>
                <w:color w:val="auto"/>
                <w:w w:val="89"/>
              </w:rPr>
              <w:t>43</w:t>
            </w:r>
          </w:p>
        </w:tc>
      </w:tr>
      <w:tr>
        <w:trPr>
          <w:trHeight w:val="368"/>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80" w:type="dxa"/>
            <w:vAlign w:val="bottom"/>
          </w:tcPr>
          <w:p>
            <w:pPr>
              <w:jc w:val="right"/>
              <w:ind w:right="5251"/>
              <w:spacing w:after="0"/>
              <w:rPr>
                <w:sz w:val="20"/>
                <w:szCs w:val="20"/>
                <w:color w:val="auto"/>
              </w:rPr>
            </w:pPr>
            <w:r>
              <w:rPr>
                <w:rFonts w:ascii="Arial" w:cs="Arial" w:eastAsia="Arial" w:hAnsi="Arial"/>
                <w:sz w:val="17"/>
                <w:szCs w:val="17"/>
                <w:color w:val="auto"/>
              </w:rPr>
              <w:t>35</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HealthStream,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audited the accompanying consolidated balance sheets of HealthStream, Inc. (the Company) as of December 31, 2017 and December 31, 2016, the related consolidated statements of income, comprehensive income,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26, 2018, expressed an unqualified opinion thereon.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2018</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560" w:firstLine="3566"/>
        <w:spacing w:after="0" w:line="464"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HealthStream,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Internal Control Over Financial Reporting</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audited HealthStream, Inc.’s internal control over financial reporting as of December 31, 2017, based on criteria established in Internal Control—Integrated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2017, based on the COSO criteria.</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HealthStream, Inc. as of December 31, 2017 and 2016, and the related consolidated statements of income, comprehensive income, shareholders’ equity, and cash flows for each of the three years in the period ended December 31, 2017, and the related notes and our report dated February 26,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the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2018</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Arial" w:cs="Arial" w:eastAsia="Arial" w:hAnsi="Arial"/>
                <w:sz w:val="15"/>
                <w:szCs w:val="15"/>
                <w:b w:val="1"/>
                <w:bCs w:val="1"/>
                <w:color w:val="auto"/>
                <w:w w:val="94"/>
              </w:rPr>
              <w:t>December 31,</w:t>
            </w:r>
          </w:p>
        </w:tc>
        <w:tc>
          <w:tcPr>
            <w:tcW w:w="0" w:type="dxa"/>
            <w:vAlign w:val="bottom"/>
          </w:tcPr>
          <w:p>
            <w:pPr>
              <w:spacing w:after="0"/>
              <w:rPr>
                <w:sz w:val="1"/>
                <w:szCs w:val="1"/>
                <w:color w:val="auto"/>
              </w:rPr>
            </w:pPr>
          </w:p>
        </w:tc>
      </w:tr>
      <w:tr>
        <w:trPr>
          <w:trHeight w:val="186"/>
        </w:trPr>
        <w:tc>
          <w:tcPr>
            <w:tcW w:w="6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2016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880" w:type="dxa"/>
            <w:vAlign w:val="bottom"/>
            <w:tcBorders>
              <w:top w:val="single" w:sz="8" w:color="CCEEFF"/>
            </w:tcBorders>
            <w:shd w:val="clear" w:color="auto" w:fill="CCEEFF"/>
          </w:tcPr>
          <w:p>
            <w:pPr>
              <w:ind w:left="3980"/>
              <w:spacing w:after="0" w:line="135" w:lineRule="exact"/>
              <w:rPr>
                <w:sz w:val="20"/>
                <w:szCs w:val="20"/>
                <w:color w:val="auto"/>
              </w:rPr>
            </w:pPr>
            <w:r>
              <w:rPr>
                <w:rFonts w:ascii="Arial" w:cs="Arial" w:eastAsia="Arial" w:hAnsi="Arial"/>
                <w:sz w:val="15"/>
                <w:szCs w:val="15"/>
                <w:b w:val="1"/>
                <w:bCs w:val="1"/>
                <w:color w:val="auto"/>
              </w:rPr>
              <w:t>ASSETS</w:t>
            </w:r>
          </w:p>
        </w:tc>
        <w:tc>
          <w:tcPr>
            <w:tcW w:w="2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80" w:type="dxa"/>
            <w:vAlign w:val="bottom"/>
          </w:tcPr>
          <w:p>
            <w:pPr>
              <w:spacing w:after="0" w:line="162" w:lineRule="exact"/>
              <w:rPr>
                <w:sz w:val="20"/>
                <w:szCs w:val="20"/>
                <w:color w:val="auto"/>
              </w:rPr>
            </w:pPr>
            <w:r>
              <w:rPr>
                <w:rFonts w:ascii="Arial" w:cs="Arial" w:eastAsia="Arial" w:hAnsi="Arial"/>
                <w:sz w:val="15"/>
                <w:szCs w:val="15"/>
                <w:color w:val="auto"/>
              </w:rPr>
              <w:t>Current assets: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Cash and cash equivalents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84,768</w:t>
            </w:r>
          </w:p>
        </w:tc>
        <w:tc>
          <w:tcPr>
            <w:tcW w:w="48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49,634</w:t>
            </w: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Marketable securities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46,350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53,540</w:t>
            </w:r>
          </w:p>
        </w:tc>
        <w:tc>
          <w:tcPr>
            <w:tcW w:w="0" w:type="dxa"/>
            <w:vAlign w:val="bottom"/>
          </w:tcPr>
          <w:p>
            <w:pPr>
              <w:spacing w:after="0"/>
              <w:rPr>
                <w:sz w:val="1"/>
                <w:szCs w:val="1"/>
                <w:color w:val="auto"/>
              </w:rPr>
            </w:pPr>
          </w:p>
        </w:tc>
      </w:tr>
      <w:tr>
        <w:trPr>
          <w:trHeight w:val="162"/>
        </w:trPr>
        <w:tc>
          <w:tcPr>
            <w:tcW w:w="902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Accounts receivable, net of allowance for doubtful accounts of $2,205 and $863 at December 31, 2017 and 2016, respectively</w:t>
            </w: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40,849</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44,805</w:t>
            </w: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Accounts receivable - unbilled</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2,602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2,581</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Prepaid royalties, net of amortization</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16,174</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18,183</w:t>
            </w: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Other prepaid expenses and other current assets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8,985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Total current assets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199,728</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177,437</w:t>
            </w:r>
          </w:p>
        </w:tc>
        <w:tc>
          <w:tcPr>
            <w:tcW w:w="0" w:type="dxa"/>
            <w:vAlign w:val="bottom"/>
          </w:tcPr>
          <w:p>
            <w:pPr>
              <w:spacing w:after="0"/>
              <w:rPr>
                <w:sz w:val="1"/>
                <w:szCs w:val="1"/>
                <w:color w:val="auto"/>
              </w:rPr>
            </w:pPr>
          </w:p>
        </w:tc>
      </w:tr>
      <w:tr>
        <w:trPr>
          <w:trHeight w:val="257"/>
        </w:trPr>
        <w:tc>
          <w:tcPr>
            <w:tcW w:w="9020" w:type="dxa"/>
            <w:vAlign w:val="bottom"/>
            <w:gridSpan w:val="2"/>
          </w:tcPr>
          <w:p>
            <w:pPr>
              <w:spacing w:after="0"/>
              <w:rPr>
                <w:sz w:val="20"/>
                <w:szCs w:val="20"/>
                <w:color w:val="auto"/>
              </w:rPr>
            </w:pPr>
            <w:r>
              <w:rPr>
                <w:rFonts w:ascii="Arial" w:cs="Arial" w:eastAsia="Arial" w:hAnsi="Arial"/>
                <w:sz w:val="15"/>
                <w:szCs w:val="15"/>
                <w:color w:val="auto"/>
              </w:rPr>
              <w:t>Property and equipment, net of accumulated depreciation of $25,862 and $20,527 at December 31, 2017 and December 31, 2016,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880" w:type="dxa"/>
            <w:vAlign w:val="bottom"/>
          </w:tcPr>
          <w:p>
            <w:pPr>
              <w:ind w:left="160"/>
              <w:spacing w:after="0"/>
              <w:rPr>
                <w:sz w:val="20"/>
                <w:szCs w:val="20"/>
                <w:color w:val="auto"/>
              </w:rPr>
            </w:pPr>
            <w:r>
              <w:rPr>
                <w:rFonts w:ascii="Arial" w:cs="Arial" w:eastAsia="Arial" w:hAnsi="Arial"/>
                <w:sz w:val="15"/>
                <w:szCs w:val="15"/>
                <w:color w:val="auto"/>
              </w:rPr>
              <w:t>respectively</w:t>
            </w: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5"/>
                <w:szCs w:val="15"/>
                <w:color w:val="auto"/>
              </w:rPr>
              <w:t>8,992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5"/>
                <w:szCs w:val="15"/>
                <w:color w:val="auto"/>
              </w:rPr>
              <w:t>10,245</w:t>
            </w:r>
          </w:p>
        </w:tc>
        <w:tc>
          <w:tcPr>
            <w:tcW w:w="0" w:type="dxa"/>
            <w:vAlign w:val="bottom"/>
          </w:tcPr>
          <w:p>
            <w:pPr>
              <w:spacing w:after="0"/>
              <w:rPr>
                <w:sz w:val="1"/>
                <w:szCs w:val="1"/>
                <w:color w:val="auto"/>
              </w:rPr>
            </w:pPr>
          </w:p>
        </w:tc>
      </w:tr>
      <w:tr>
        <w:trPr>
          <w:trHeight w:val="149"/>
        </w:trPr>
        <w:tc>
          <w:tcPr>
            <w:tcW w:w="90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Capitalized software development, net of accumulated amortization of $41,884 and $31,787 at December 31, 2017   and 2016,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respectively</w:t>
            </w:r>
          </w:p>
        </w:tc>
        <w:tc>
          <w:tcPr>
            <w:tcW w:w="2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18,697</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16,310</w:t>
            </w:r>
          </w:p>
        </w:tc>
        <w:tc>
          <w:tcPr>
            <w:tcW w:w="0" w:type="dxa"/>
            <w:vAlign w:val="bottom"/>
          </w:tcPr>
          <w:p>
            <w:pPr>
              <w:spacing w:after="0"/>
              <w:rPr>
                <w:sz w:val="1"/>
                <w:szCs w:val="1"/>
                <w:color w:val="auto"/>
              </w:rPr>
            </w:pPr>
          </w:p>
        </w:tc>
      </w:tr>
      <w:tr>
        <w:trPr>
          <w:trHeight w:val="162"/>
        </w:trPr>
        <w:tc>
          <w:tcPr>
            <w:tcW w:w="6880" w:type="dxa"/>
            <w:vAlign w:val="bottom"/>
          </w:tcPr>
          <w:p>
            <w:pPr>
              <w:spacing w:after="0" w:line="162" w:lineRule="exact"/>
              <w:rPr>
                <w:sz w:val="20"/>
                <w:szCs w:val="20"/>
                <w:color w:val="auto"/>
              </w:rPr>
            </w:pPr>
            <w:r>
              <w:rPr>
                <w:rFonts w:ascii="Arial" w:cs="Arial" w:eastAsia="Arial" w:hAnsi="Arial"/>
                <w:sz w:val="15"/>
                <w:szCs w:val="15"/>
                <w:color w:val="auto"/>
              </w:rPr>
              <w:t>Goodwill</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110,298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109,765</w:t>
            </w:r>
          </w:p>
        </w:tc>
        <w:tc>
          <w:tcPr>
            <w:tcW w:w="0" w:type="dxa"/>
            <w:vAlign w:val="bottom"/>
          </w:tcPr>
          <w:p>
            <w:pPr>
              <w:spacing w:after="0"/>
              <w:rPr>
                <w:sz w:val="1"/>
                <w:szCs w:val="1"/>
                <w:color w:val="auto"/>
              </w:rPr>
            </w:pPr>
          </w:p>
        </w:tc>
      </w:tr>
      <w:tr>
        <w:trPr>
          <w:trHeight w:val="149"/>
        </w:trPr>
        <w:tc>
          <w:tcPr>
            <w:tcW w:w="90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Customer-related intangibles, net of accumulated amortization of $18,027 and $11,539 at December 31, 2017 and</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2016, respectively</w:t>
            </w:r>
          </w:p>
        </w:tc>
        <w:tc>
          <w:tcPr>
            <w:tcW w:w="2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59,958</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66,446</w:t>
            </w:r>
          </w:p>
        </w:tc>
        <w:tc>
          <w:tcPr>
            <w:tcW w:w="0" w:type="dxa"/>
            <w:vAlign w:val="bottom"/>
          </w:tcPr>
          <w:p>
            <w:pPr>
              <w:spacing w:after="0"/>
              <w:rPr>
                <w:sz w:val="1"/>
                <w:szCs w:val="1"/>
                <w:color w:val="auto"/>
              </w:rPr>
            </w:pPr>
          </w:p>
        </w:tc>
      </w:tr>
      <w:tr>
        <w:trPr>
          <w:trHeight w:val="162"/>
        </w:trPr>
        <w:tc>
          <w:tcPr>
            <w:tcW w:w="6880" w:type="dxa"/>
            <w:vAlign w:val="bottom"/>
          </w:tcPr>
          <w:p>
            <w:pPr>
              <w:spacing w:after="0" w:line="162" w:lineRule="exact"/>
              <w:rPr>
                <w:sz w:val="20"/>
                <w:szCs w:val="20"/>
                <w:color w:val="auto"/>
              </w:rPr>
            </w:pPr>
            <w:r>
              <w:rPr>
                <w:rFonts w:ascii="Arial" w:cs="Arial" w:eastAsia="Arial" w:hAnsi="Arial"/>
                <w:sz w:val="15"/>
                <w:szCs w:val="15"/>
                <w:color w:val="auto"/>
                <w:w w:val="92"/>
              </w:rPr>
              <w:t>Other intangible assets, net of accumulated amortization of $7,966 and $4,906 at December 31, 2017 and 2016,</w:t>
            </w:r>
          </w:p>
        </w:tc>
        <w:tc>
          <w:tcPr>
            <w:tcW w:w="2140" w:type="dxa"/>
            <w:vAlign w:val="bottom"/>
          </w:tcPr>
          <w:p>
            <w:pPr>
              <w:ind w:left="140"/>
              <w:spacing w:after="0" w:line="162" w:lineRule="exact"/>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8,858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11,918</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Non-marketable equity investments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3,772</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3,276</w:t>
            </w:r>
          </w:p>
        </w:tc>
        <w:tc>
          <w:tcPr>
            <w:tcW w:w="0" w:type="dxa"/>
            <w:vAlign w:val="bottom"/>
          </w:tcPr>
          <w:p>
            <w:pPr>
              <w:spacing w:after="0"/>
              <w:rPr>
                <w:sz w:val="1"/>
                <w:szCs w:val="1"/>
                <w:color w:val="auto"/>
              </w:rPr>
            </w:pPr>
          </w:p>
        </w:tc>
      </w:tr>
      <w:tr>
        <w:trPr>
          <w:trHeight w:val="162"/>
        </w:trPr>
        <w:tc>
          <w:tcPr>
            <w:tcW w:w="6880" w:type="dxa"/>
            <w:vAlign w:val="bottom"/>
          </w:tcPr>
          <w:p>
            <w:pPr>
              <w:spacing w:after="0" w:line="162" w:lineRule="exact"/>
              <w:rPr>
                <w:sz w:val="20"/>
                <w:szCs w:val="20"/>
                <w:color w:val="auto"/>
              </w:rPr>
            </w:pPr>
            <w:r>
              <w:rPr>
                <w:rFonts w:ascii="Arial" w:cs="Arial" w:eastAsia="Arial" w:hAnsi="Arial"/>
                <w:sz w:val="15"/>
                <w:szCs w:val="15"/>
                <w:color w:val="auto"/>
              </w:rPr>
              <w:t>Other assets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771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603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80" w:type="dxa"/>
            <w:vAlign w:val="bottom"/>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assets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411,074</w:t>
            </w:r>
          </w:p>
        </w:tc>
        <w:tc>
          <w:tcPr>
            <w:tcW w:w="48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396,000</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2600"/>
              <w:spacing w:after="0"/>
              <w:rPr>
                <w:sz w:val="20"/>
                <w:szCs w:val="20"/>
                <w:color w:val="auto"/>
              </w:rPr>
            </w:pPr>
            <w:r>
              <w:rPr>
                <w:rFonts w:ascii="Arial" w:cs="Arial" w:eastAsia="Arial" w:hAnsi="Arial"/>
                <w:sz w:val="15"/>
                <w:szCs w:val="15"/>
                <w:b w:val="1"/>
                <w:bCs w:val="1"/>
                <w:color w:val="auto"/>
              </w:rPr>
              <w:t>LIABILITIES AND SHAREHOLDERS’ EQUITY</w:t>
            </w: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8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liabilities: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Accounts payable</w:t>
            </w:r>
          </w:p>
        </w:tc>
        <w:tc>
          <w:tcPr>
            <w:tcW w:w="2140" w:type="dxa"/>
            <w:vAlign w:val="bottom"/>
          </w:tcPr>
          <w:p>
            <w:pPr>
              <w:spacing w:after="0"/>
              <w:rPr>
                <w:sz w:val="14"/>
                <w:szCs w:val="14"/>
                <w:color w:val="auto"/>
              </w:rPr>
            </w:pPr>
          </w:p>
        </w:tc>
        <w:tc>
          <w:tcPr>
            <w:tcW w:w="2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4,836</w:t>
            </w:r>
          </w:p>
        </w:tc>
        <w:tc>
          <w:tcPr>
            <w:tcW w:w="48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3,127</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Accrued royalties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12,877</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13,161</w:t>
            </w: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Accrued liabilities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11,062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8,146</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Accrued compensation and related expenses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3,337</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1,994</w:t>
            </w: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Deferred revenue</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68,954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68,542</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80" w:type="dxa"/>
            <w:vAlign w:val="bottom"/>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current liabilities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101,066</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94,970</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2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5"/>
                <w:szCs w:val="15"/>
                <w:color w:val="auto"/>
              </w:rPr>
              <w:t>1,926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5"/>
                <w:szCs w:val="15"/>
                <w:color w:val="auto"/>
              </w:rPr>
              <w:t>5,968</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revenue, noncurrent</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6,302</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7,859</w:t>
            </w:r>
          </w:p>
        </w:tc>
        <w:tc>
          <w:tcPr>
            <w:tcW w:w="0" w:type="dxa"/>
            <w:vAlign w:val="bottom"/>
          </w:tcPr>
          <w:p>
            <w:pPr>
              <w:spacing w:after="0"/>
              <w:rPr>
                <w:sz w:val="1"/>
                <w:szCs w:val="1"/>
                <w:color w:val="auto"/>
              </w:rPr>
            </w:pPr>
          </w:p>
        </w:tc>
      </w:tr>
      <w:tr>
        <w:trPr>
          <w:trHeight w:val="162"/>
        </w:trPr>
        <w:tc>
          <w:tcPr>
            <w:tcW w:w="6880" w:type="dxa"/>
            <w:vAlign w:val="bottom"/>
          </w:tcPr>
          <w:p>
            <w:pPr>
              <w:spacing w:after="0" w:line="162" w:lineRule="exact"/>
              <w:rPr>
                <w:sz w:val="20"/>
                <w:szCs w:val="20"/>
                <w:color w:val="auto"/>
              </w:rPr>
            </w:pPr>
            <w:r>
              <w:rPr>
                <w:rFonts w:ascii="Arial" w:cs="Arial" w:eastAsia="Arial" w:hAnsi="Arial"/>
                <w:sz w:val="15"/>
                <w:szCs w:val="15"/>
                <w:color w:val="auto"/>
              </w:rPr>
              <w:t>Other long term liabilities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1,610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Commitments and contingencies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5"/>
                <w:szCs w:val="15"/>
                <w:color w:val="auto"/>
              </w:rPr>
              <w:t>Shareholders’ equity:</w:t>
            </w:r>
          </w:p>
        </w:tc>
        <w:tc>
          <w:tcPr>
            <w:tcW w:w="2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88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w w:val="92"/>
              </w:rPr>
              <w:t>Common stock, no par value, 75,000 shares authorized; 31,908 and 31,748 shares issued and outstanding at</w:t>
            </w:r>
          </w:p>
        </w:tc>
        <w:tc>
          <w:tcPr>
            <w:tcW w:w="2140" w:type="dxa"/>
            <w:vAlign w:val="bottom"/>
            <w:shd w:val="clear" w:color="auto" w:fill="CCEEFF"/>
          </w:tcPr>
          <w:p>
            <w:pPr>
              <w:ind w:left="60"/>
              <w:spacing w:after="0" w:line="149" w:lineRule="exact"/>
              <w:rPr>
                <w:sz w:val="20"/>
                <w:szCs w:val="20"/>
                <w:color w:val="auto"/>
              </w:rPr>
            </w:pPr>
            <w:r>
              <w:rPr>
                <w:rFonts w:ascii="Arial" w:cs="Arial" w:eastAsia="Arial" w:hAnsi="Arial"/>
                <w:sz w:val="15"/>
                <w:szCs w:val="15"/>
                <w:color w:val="auto"/>
              </w:rPr>
              <w:t>December 31, 2017 and</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2016, respectively</w:t>
            </w:r>
          </w:p>
        </w:tc>
        <w:tc>
          <w:tcPr>
            <w:tcW w:w="2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282,666</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280,813</w:t>
            </w:r>
          </w:p>
        </w:tc>
        <w:tc>
          <w:tcPr>
            <w:tcW w:w="0" w:type="dxa"/>
            <w:vAlign w:val="bottom"/>
          </w:tcPr>
          <w:p>
            <w:pPr>
              <w:spacing w:after="0"/>
              <w:rPr>
                <w:sz w:val="1"/>
                <w:szCs w:val="1"/>
                <w:color w:val="auto"/>
              </w:rPr>
            </w:pPr>
          </w:p>
        </w:tc>
      </w:tr>
      <w:tr>
        <w:trPr>
          <w:trHeight w:val="162"/>
        </w:trPr>
        <w:tc>
          <w:tcPr>
            <w:tcW w:w="6880" w:type="dxa"/>
            <w:vAlign w:val="bottom"/>
          </w:tcPr>
          <w:p>
            <w:pPr>
              <w:ind w:left="160"/>
              <w:spacing w:after="0" w:line="162" w:lineRule="exact"/>
              <w:rPr>
                <w:sz w:val="20"/>
                <w:szCs w:val="20"/>
                <w:color w:val="auto"/>
              </w:rPr>
            </w:pPr>
            <w:r>
              <w:rPr>
                <w:rFonts w:ascii="Arial" w:cs="Arial" w:eastAsia="Arial" w:hAnsi="Arial"/>
                <w:sz w:val="15"/>
                <w:szCs w:val="15"/>
                <w:color w:val="auto"/>
              </w:rPr>
              <w:t>Retained earnings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17,542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5,346</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Accumulated other comprehensive loss</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(38)</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620"/>
              <w:spacing w:after="0"/>
              <w:rPr>
                <w:sz w:val="20"/>
                <w:szCs w:val="20"/>
                <w:color w:val="auto"/>
              </w:rPr>
            </w:pPr>
            <w:r>
              <w:rPr>
                <w:rFonts w:ascii="Arial" w:cs="Arial" w:eastAsia="Arial" w:hAnsi="Arial"/>
                <w:sz w:val="15"/>
                <w:szCs w:val="15"/>
                <w:color w:val="auto"/>
              </w:rPr>
              <w:t>Total shareholders’ equity</w:t>
            </w:r>
          </w:p>
        </w:tc>
        <w:tc>
          <w:tcPr>
            <w:tcW w:w="2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8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ind w:right="280"/>
              <w:spacing w:after="0" w:line="169" w:lineRule="exact"/>
              <w:rPr>
                <w:sz w:val="20"/>
                <w:szCs w:val="20"/>
                <w:color w:val="auto"/>
              </w:rPr>
            </w:pPr>
            <w:r>
              <w:rPr>
                <w:rFonts w:ascii="Arial" w:cs="Arial" w:eastAsia="Arial" w:hAnsi="Arial"/>
                <w:sz w:val="15"/>
                <w:szCs w:val="15"/>
                <w:color w:val="auto"/>
              </w:rPr>
              <w:t>300,170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9" w:lineRule="exact"/>
              <w:rPr>
                <w:sz w:val="20"/>
                <w:szCs w:val="20"/>
                <w:color w:val="auto"/>
              </w:rPr>
            </w:pPr>
            <w:r>
              <w:rPr>
                <w:rFonts w:ascii="Arial" w:cs="Arial" w:eastAsia="Arial" w:hAnsi="Arial"/>
                <w:sz w:val="15"/>
                <w:szCs w:val="15"/>
                <w:color w:val="auto"/>
              </w:rPr>
              <w:t>286,108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80" w:type="dxa"/>
            <w:vAlign w:val="bottom"/>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liabilities and shareholders’ equity</w:t>
            </w: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411,074</w:t>
            </w:r>
          </w:p>
        </w:tc>
        <w:tc>
          <w:tcPr>
            <w:tcW w:w="48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396,000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14"/>
          </w:tcPr>
          <w:p>
            <w:pPr>
              <w:ind w:left="200"/>
              <w:spacing w:after="0"/>
              <w:rPr>
                <w:sz w:val="20"/>
                <w:szCs w:val="20"/>
                <w:color w:val="auto"/>
              </w:rPr>
            </w:pPr>
            <w:r>
              <w:rPr>
                <w:rFonts w:ascii="Arial" w:cs="Arial" w:eastAsia="Arial" w:hAnsi="Arial"/>
                <w:sz w:val="15"/>
                <w:szCs w:val="15"/>
                <w:b w:val="1"/>
                <w:bCs w:val="1"/>
                <w:color w:val="auto"/>
              </w:rPr>
              <w:t>For the Year Ended 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9"/>
              </w:rPr>
              <w:t>2017</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2015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line="162" w:lineRule="exact"/>
              <w:rPr>
                <w:sz w:val="20"/>
                <w:szCs w:val="20"/>
                <w:color w:val="auto"/>
              </w:rPr>
            </w:pPr>
            <w:r>
              <w:rPr>
                <w:rFonts w:ascii="Arial" w:cs="Arial" w:eastAsia="Arial" w:hAnsi="Arial"/>
                <w:sz w:val="15"/>
                <w:szCs w:val="15"/>
                <w:color w:val="auto"/>
              </w:rPr>
              <w:t>Revenues, net</w:t>
            </w:r>
          </w:p>
        </w:tc>
        <w:tc>
          <w:tcPr>
            <w:tcW w:w="2380" w:type="dxa"/>
            <w:vAlign w:val="bottom"/>
            <w:gridSpan w:val="2"/>
            <w:vMerge w:val="restart"/>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gridSpan w:val="2"/>
            <w:shd w:val="clear" w:color="auto" w:fill="CCEEFF"/>
          </w:tcPr>
          <w:p>
            <w:pPr>
              <w:spacing w:after="0"/>
              <w:rPr>
                <w:sz w:val="2"/>
                <w:szCs w:val="2"/>
                <w:color w:val="auto"/>
              </w:rPr>
            </w:pPr>
          </w:p>
        </w:tc>
        <w:tc>
          <w:tcPr>
            <w:tcW w:w="180" w:type="dxa"/>
            <w:vAlign w:val="bottom"/>
            <w:vMerge w:val="restart"/>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12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gridSpan w:val="2"/>
            <w:shd w:val="clear" w:color="auto" w:fill="CCEEFF"/>
          </w:tcPr>
          <w:p>
            <w:pPr>
              <w:spacing w:after="0"/>
              <w:rPr>
                <w:sz w:val="2"/>
                <w:szCs w:val="2"/>
                <w:color w:val="auto"/>
              </w:rPr>
            </w:pPr>
          </w:p>
        </w:tc>
        <w:tc>
          <w:tcPr>
            <w:tcW w:w="320" w:type="dxa"/>
            <w:vAlign w:val="bottom"/>
            <w:gridSpan w:val="2"/>
            <w:vMerge w:val="restart"/>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vMerge w:val="continue"/>
            <w:shd w:val="clear" w:color="auto" w:fill="CCEEFF"/>
          </w:tcPr>
          <w:p>
            <w:pPr>
              <w:spacing w:after="0"/>
              <w:rPr>
                <w:sz w:val="11"/>
                <w:szCs w:val="11"/>
                <w:color w:val="auto"/>
              </w:rPr>
            </w:pPr>
          </w:p>
        </w:tc>
        <w:tc>
          <w:tcPr>
            <w:tcW w:w="23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5"/>
                <w:szCs w:val="15"/>
                <w:color w:val="auto"/>
              </w:rPr>
              <w:t>247,662</w:t>
            </w:r>
          </w:p>
        </w:tc>
        <w:tc>
          <w:tcPr>
            <w:tcW w:w="18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225,974</w:t>
            </w:r>
          </w:p>
        </w:tc>
        <w:tc>
          <w:tcPr>
            <w:tcW w:w="32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5"/>
                <w:szCs w:val="15"/>
                <w:color w:val="auto"/>
              </w:rPr>
              <w:t>209,002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line="162" w:lineRule="exact"/>
              <w:rPr>
                <w:sz w:val="20"/>
                <w:szCs w:val="20"/>
                <w:color w:val="auto"/>
              </w:rPr>
            </w:pPr>
            <w:r>
              <w:rPr>
                <w:rFonts w:ascii="Arial" w:cs="Arial" w:eastAsia="Arial" w:hAnsi="Arial"/>
                <w:sz w:val="15"/>
                <w:szCs w:val="15"/>
                <w:color w:val="auto"/>
              </w:rPr>
              <w:t>Operating costs and expenses:</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Cost of revenues (excluding depreciation and amortization)</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106,000</w:t>
            </w:r>
          </w:p>
        </w:tc>
        <w:tc>
          <w:tcPr>
            <w:tcW w:w="1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96,634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89,386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140"/>
              <w:spacing w:after="0" w:line="162" w:lineRule="exact"/>
              <w:rPr>
                <w:sz w:val="20"/>
                <w:szCs w:val="20"/>
                <w:color w:val="auto"/>
              </w:rPr>
            </w:pPr>
            <w:r>
              <w:rPr>
                <w:rFonts w:ascii="Arial" w:cs="Arial" w:eastAsia="Arial" w:hAnsi="Arial"/>
                <w:sz w:val="15"/>
                <w:szCs w:val="15"/>
                <w:color w:val="auto"/>
              </w:rPr>
              <w:t>Product development</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27,899</w:t>
            </w:r>
          </w:p>
        </w:tc>
        <w:tc>
          <w:tcPr>
            <w:tcW w:w="180" w:type="dxa"/>
            <w:vAlign w:val="bottom"/>
          </w:tcPr>
          <w:p>
            <w:pPr>
              <w:spacing w:after="0"/>
              <w:rPr>
                <w:sz w:val="14"/>
                <w:szCs w:val="14"/>
                <w:color w:val="auto"/>
              </w:rPr>
            </w:pPr>
          </w:p>
        </w:tc>
        <w:tc>
          <w:tcPr>
            <w:tcW w:w="84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28,897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Sales and marketing</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42,915</w:t>
            </w:r>
          </w:p>
        </w:tc>
        <w:tc>
          <w:tcPr>
            <w:tcW w:w="1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39,004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35,589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140"/>
              <w:spacing w:after="0" w:line="162" w:lineRule="exact"/>
              <w:rPr>
                <w:sz w:val="20"/>
                <w:szCs w:val="20"/>
                <w:color w:val="auto"/>
              </w:rPr>
            </w:pPr>
            <w:r>
              <w:rPr>
                <w:rFonts w:ascii="Arial" w:cs="Arial" w:eastAsia="Arial" w:hAnsi="Arial"/>
                <w:sz w:val="15"/>
                <w:szCs w:val="15"/>
                <w:color w:val="auto"/>
              </w:rPr>
              <w:t>Other general and administrative expenses</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34,765</w:t>
            </w:r>
          </w:p>
        </w:tc>
        <w:tc>
          <w:tcPr>
            <w:tcW w:w="180" w:type="dxa"/>
            <w:vAlign w:val="bottom"/>
          </w:tcPr>
          <w:p>
            <w:pPr>
              <w:spacing w:after="0"/>
              <w:rPr>
                <w:sz w:val="14"/>
                <w:szCs w:val="14"/>
                <w:color w:val="auto"/>
              </w:rPr>
            </w:pPr>
          </w:p>
        </w:tc>
        <w:tc>
          <w:tcPr>
            <w:tcW w:w="84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33,665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29,259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Depreciation and amortization</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26,283</w:t>
            </w:r>
          </w:p>
        </w:tc>
        <w:tc>
          <w:tcPr>
            <w:tcW w:w="1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22,207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16,997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600"/>
              <w:spacing w:after="0"/>
              <w:rPr>
                <w:sz w:val="20"/>
                <w:szCs w:val="20"/>
                <w:color w:val="auto"/>
              </w:rPr>
            </w:pPr>
            <w:r>
              <w:rPr>
                <w:rFonts w:ascii="Arial" w:cs="Arial" w:eastAsia="Arial" w:hAnsi="Arial"/>
                <w:sz w:val="15"/>
                <w:szCs w:val="15"/>
                <w:color w:val="auto"/>
              </w:rPr>
              <w:t>Total operating costs and expenses</w:t>
            </w:r>
          </w:p>
        </w:tc>
        <w:tc>
          <w:tcPr>
            <w:tcW w:w="2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98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5"/>
                <w:szCs w:val="15"/>
                <w:color w:val="auto"/>
              </w:rPr>
              <w:t>237,862</w:t>
            </w:r>
          </w:p>
        </w:tc>
        <w:tc>
          <w:tcPr>
            <w:tcW w:w="180" w:type="dxa"/>
            <w:vAlign w:val="bottom"/>
          </w:tcPr>
          <w:p>
            <w:pPr>
              <w:spacing w:after="0"/>
              <w:rPr>
                <w:sz w:val="16"/>
                <w:szCs w:val="16"/>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5"/>
                <w:szCs w:val="15"/>
                <w:color w:val="auto"/>
              </w:rPr>
              <w:t>220,407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5"/>
                <w:szCs w:val="15"/>
                <w:color w:val="auto"/>
              </w:rPr>
              <w:t>195,445</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5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income</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9,800</w:t>
            </w:r>
          </w:p>
        </w:tc>
        <w:tc>
          <w:tcPr>
            <w:tcW w:w="1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5,567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13,557</w:t>
            </w:r>
          </w:p>
        </w:tc>
        <w:tc>
          <w:tcPr>
            <w:tcW w:w="0" w:type="dxa"/>
            <w:vAlign w:val="bottom"/>
          </w:tcPr>
          <w:p>
            <w:pPr>
              <w:spacing w:after="0"/>
              <w:rPr>
                <w:sz w:val="1"/>
                <w:szCs w:val="1"/>
                <w:color w:val="auto"/>
              </w:rPr>
            </w:pP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Other income, net</w:t>
            </w:r>
          </w:p>
        </w:tc>
        <w:tc>
          <w:tcPr>
            <w:tcW w:w="2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5"/>
                <w:szCs w:val="15"/>
                <w:color w:val="auto"/>
              </w:rPr>
              <w:t>733</w:t>
            </w:r>
          </w:p>
        </w:tc>
        <w:tc>
          <w:tcPr>
            <w:tcW w:w="180" w:type="dxa"/>
            <w:vAlign w:val="bottom"/>
          </w:tcPr>
          <w:p>
            <w:pPr>
              <w:spacing w:after="0"/>
              <w:rPr>
                <w:sz w:val="23"/>
                <w:szCs w:val="23"/>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 provision</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10,533</w:t>
            </w:r>
          </w:p>
        </w:tc>
        <w:tc>
          <w:tcPr>
            <w:tcW w:w="1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6,148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13,719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140"/>
              <w:spacing w:after="0" w:line="162" w:lineRule="exact"/>
              <w:rPr>
                <w:sz w:val="20"/>
                <w:szCs w:val="20"/>
                <w:color w:val="auto"/>
              </w:rPr>
            </w:pPr>
            <w:r>
              <w:rPr>
                <w:rFonts w:ascii="Arial" w:cs="Arial" w:eastAsia="Arial" w:hAnsi="Arial"/>
                <w:sz w:val="15"/>
                <w:szCs w:val="15"/>
                <w:color w:val="auto"/>
              </w:rPr>
              <w:t>Income tax provision</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529</w:t>
            </w:r>
          </w:p>
        </w:tc>
        <w:tc>
          <w:tcPr>
            <w:tcW w:w="180" w:type="dxa"/>
            <w:vAlign w:val="bottom"/>
          </w:tcPr>
          <w:p>
            <w:pPr>
              <w:spacing w:after="0"/>
              <w:rPr>
                <w:sz w:val="14"/>
                <w:szCs w:val="14"/>
                <w:color w:val="auto"/>
              </w:rPr>
            </w:pPr>
          </w:p>
        </w:tc>
        <w:tc>
          <w:tcPr>
            <w:tcW w:w="84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2,393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5,098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23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10,004</w:t>
            </w:r>
          </w:p>
        </w:tc>
        <w:tc>
          <w:tcPr>
            <w:tcW w:w="1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3,755</w:t>
            </w:r>
          </w:p>
        </w:tc>
        <w:tc>
          <w:tcPr>
            <w:tcW w:w="3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8,621</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5"/>
                <w:szCs w:val="15"/>
                <w:color w:val="auto"/>
              </w:rPr>
              <w:t>Net income per share:</w:t>
            </w: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gridSpan w:val="2"/>
            <w:vMerge w:val="continue"/>
          </w:tcPr>
          <w:p>
            <w:pPr>
              <w:spacing w:after="0"/>
              <w:rPr>
                <w:sz w:val="22"/>
                <w:szCs w:val="22"/>
                <w:color w:val="auto"/>
              </w:rPr>
            </w:pPr>
          </w:p>
        </w:tc>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Basic</w:t>
            </w:r>
          </w:p>
        </w:tc>
        <w:tc>
          <w:tcPr>
            <w:tcW w:w="23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0.31</w:t>
            </w:r>
          </w:p>
        </w:tc>
        <w:tc>
          <w:tcPr>
            <w:tcW w:w="1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0.12</w:t>
            </w:r>
          </w:p>
        </w:tc>
        <w:tc>
          <w:tcPr>
            <w:tcW w:w="3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40"/>
              <w:spacing w:after="0"/>
              <w:rPr>
                <w:sz w:val="20"/>
                <w:szCs w:val="20"/>
                <w:color w:val="auto"/>
              </w:rPr>
            </w:pPr>
            <w:r>
              <w:rPr>
                <w:rFonts w:ascii="Arial" w:cs="Arial" w:eastAsia="Arial" w:hAnsi="Arial"/>
                <w:sz w:val="15"/>
                <w:szCs w:val="15"/>
                <w:color w:val="auto"/>
              </w:rPr>
              <w:t>Diluted</w:t>
            </w: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23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960" w:type="dxa"/>
            <w:vAlign w:val="bottom"/>
            <w:gridSpan w:val="4"/>
          </w:tcPr>
          <w:p>
            <w:pPr>
              <w:jc w:val="right"/>
              <w:ind w:right="260"/>
              <w:spacing w:after="0" w:line="156" w:lineRule="exact"/>
              <w:rPr>
                <w:sz w:val="20"/>
                <w:szCs w:val="20"/>
                <w:color w:val="auto"/>
              </w:rPr>
            </w:pPr>
            <w:r>
              <w:rPr>
                <w:rFonts w:ascii="Arial" w:cs="Arial" w:eastAsia="Arial" w:hAnsi="Arial"/>
                <w:sz w:val="15"/>
                <w:szCs w:val="15"/>
                <w:color w:val="auto"/>
              </w:rPr>
              <w:t>0.31</w:t>
            </w:r>
          </w:p>
        </w:tc>
        <w:tc>
          <w:tcPr>
            <w:tcW w:w="180" w:type="dxa"/>
            <w:vAlign w:val="bottom"/>
          </w:tcPr>
          <w:p>
            <w:pPr>
              <w:jc w:val="right"/>
              <w:ind w:right="23"/>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120"/>
              <w:spacing w:after="0" w:line="156" w:lineRule="exact"/>
              <w:rPr>
                <w:sz w:val="20"/>
                <w:szCs w:val="20"/>
                <w:color w:val="auto"/>
              </w:rPr>
            </w:pPr>
            <w:r>
              <w:rPr>
                <w:rFonts w:ascii="Arial" w:cs="Arial" w:eastAsia="Arial" w:hAnsi="Arial"/>
                <w:sz w:val="15"/>
                <w:szCs w:val="15"/>
                <w:color w:val="auto"/>
              </w:rPr>
              <w:t>0.12</w:t>
            </w:r>
          </w:p>
        </w:tc>
        <w:tc>
          <w:tcPr>
            <w:tcW w:w="32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740" w:type="dxa"/>
            <w:vAlign w:val="bottom"/>
            <w:gridSpan w:val="4"/>
          </w:tcPr>
          <w:p>
            <w:pPr>
              <w:jc w:val="right"/>
              <w:ind w:right="40"/>
              <w:spacing w:after="0" w:line="156" w:lineRule="exact"/>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Weighted average shares of common stock outstanding:</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140"/>
              <w:spacing w:after="0" w:line="162" w:lineRule="exact"/>
              <w:rPr>
                <w:sz w:val="20"/>
                <w:szCs w:val="20"/>
                <w:color w:val="auto"/>
              </w:rPr>
            </w:pPr>
            <w:r>
              <w:rPr>
                <w:rFonts w:ascii="Arial" w:cs="Arial" w:eastAsia="Arial" w:hAnsi="Arial"/>
                <w:sz w:val="15"/>
                <w:szCs w:val="15"/>
                <w:color w:val="auto"/>
              </w:rPr>
              <w:t>Basic</w:t>
            </w: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31,861</w:t>
            </w:r>
          </w:p>
        </w:tc>
        <w:tc>
          <w:tcPr>
            <w:tcW w:w="180" w:type="dxa"/>
            <w:vAlign w:val="bottom"/>
          </w:tcPr>
          <w:p>
            <w:pPr>
              <w:spacing w:after="0"/>
              <w:rPr>
                <w:sz w:val="14"/>
                <w:szCs w:val="14"/>
                <w:color w:val="auto"/>
              </w:rPr>
            </w:pPr>
          </w:p>
        </w:tc>
        <w:tc>
          <w:tcPr>
            <w:tcW w:w="84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31,721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30,057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Diluted</w:t>
            </w:r>
          </w:p>
        </w:tc>
        <w:tc>
          <w:tcPr>
            <w:tcW w:w="2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260"/>
              <w:spacing w:after="0" w:line="156" w:lineRule="exact"/>
              <w:rPr>
                <w:sz w:val="20"/>
                <w:szCs w:val="20"/>
                <w:color w:val="auto"/>
              </w:rPr>
            </w:pPr>
            <w:r>
              <w:rPr>
                <w:rFonts w:ascii="Arial" w:cs="Arial" w:eastAsia="Arial" w:hAnsi="Arial"/>
                <w:sz w:val="15"/>
                <w:szCs w:val="15"/>
                <w:color w:val="auto"/>
              </w:rPr>
              <w:t>32,196</w:t>
            </w:r>
          </w:p>
        </w:tc>
        <w:tc>
          <w:tcPr>
            <w:tcW w:w="1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rPr>
              <w:t>32,068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30,436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14"/>
          </w:tcPr>
          <w:p>
            <w:pPr>
              <w:ind w:left="100"/>
              <w:spacing w:after="0"/>
              <w:rPr>
                <w:sz w:val="20"/>
                <w:szCs w:val="20"/>
                <w:color w:val="auto"/>
              </w:rPr>
            </w:pPr>
            <w:r>
              <w:rPr>
                <w:rFonts w:ascii="Arial" w:cs="Arial" w:eastAsia="Arial" w:hAnsi="Arial"/>
                <w:sz w:val="15"/>
                <w:szCs w:val="15"/>
                <w:b w:val="1"/>
                <w:bCs w:val="1"/>
                <w:color w:val="auto"/>
              </w:rPr>
              <w:t>For the Year Ended 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rPr>
              <w:t>2016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rPr>
              <w:t>2015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vMerge w:val="restart"/>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2840" w:type="dxa"/>
            <w:vAlign w:val="bottom"/>
            <w:gridSpan w:val="2"/>
            <w:vMerge w:val="restart"/>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gridSpan w:val="2"/>
            <w:shd w:val="clear" w:color="auto" w:fill="CCEEFF"/>
          </w:tcPr>
          <w:p>
            <w:pPr>
              <w:spacing w:after="0"/>
              <w:rPr>
                <w:sz w:val="2"/>
                <w:szCs w:val="2"/>
                <w:color w:val="auto"/>
              </w:rPr>
            </w:pPr>
          </w:p>
        </w:tc>
        <w:tc>
          <w:tcPr>
            <w:tcW w:w="280" w:type="dxa"/>
            <w:vAlign w:val="bottom"/>
            <w:gridSpan w:val="2"/>
            <w:vMerge w:val="restart"/>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gridSpan w:val="2"/>
            <w:shd w:val="clear" w:color="auto" w:fill="CCEEFF"/>
          </w:tcPr>
          <w:p>
            <w:pPr>
              <w:spacing w:after="0"/>
              <w:rPr>
                <w:sz w:val="2"/>
                <w:szCs w:val="2"/>
                <w:color w:val="auto"/>
              </w:rPr>
            </w:pPr>
          </w:p>
        </w:tc>
        <w:tc>
          <w:tcPr>
            <w:tcW w:w="180" w:type="dxa"/>
            <w:vAlign w:val="bottom"/>
            <w:vMerge w:val="restart"/>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8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680" w:type="dxa"/>
            <w:vAlign w:val="bottom"/>
            <w:vMerge w:val="continue"/>
            <w:shd w:val="clear" w:color="auto" w:fill="CCEEFF"/>
          </w:tcPr>
          <w:p>
            <w:pPr>
              <w:spacing w:after="0"/>
              <w:rPr>
                <w:sz w:val="11"/>
                <w:szCs w:val="11"/>
                <w:color w:val="auto"/>
              </w:rPr>
            </w:pPr>
          </w:p>
        </w:tc>
        <w:tc>
          <w:tcPr>
            <w:tcW w:w="284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10,004</w:t>
            </w:r>
          </w:p>
        </w:tc>
        <w:tc>
          <w:tcPr>
            <w:tcW w:w="2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5"/>
                <w:szCs w:val="15"/>
                <w:color w:val="auto"/>
              </w:rPr>
              <w:t>3,755</w:t>
            </w:r>
          </w:p>
        </w:tc>
        <w:tc>
          <w:tcPr>
            <w:tcW w:w="18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5"/>
                <w:szCs w:val="15"/>
                <w:color w:val="auto"/>
              </w:rPr>
              <w:t>8,621</w:t>
            </w: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5"/>
                <w:szCs w:val="15"/>
                <w:color w:val="auto"/>
              </w:rPr>
              <w:t>Other comprehensive income, net of taxes:</w:t>
            </w:r>
          </w:p>
        </w:tc>
        <w:tc>
          <w:tcPr>
            <w:tcW w:w="2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Unrealized gain (loss) on marketable securities</w:t>
            </w:r>
          </w:p>
        </w:tc>
        <w:tc>
          <w:tcPr>
            <w:tcW w:w="2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2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gridSpan w:val="2"/>
          </w:tcPr>
          <w:p>
            <w:pPr>
              <w:spacing w:after="0" w:line="169" w:lineRule="exact"/>
              <w:rPr>
                <w:sz w:val="20"/>
                <w:szCs w:val="20"/>
                <w:color w:val="auto"/>
              </w:rPr>
            </w:pPr>
            <w:r>
              <w:rPr>
                <w:rFonts w:ascii="Arial" w:cs="Arial" w:eastAsia="Arial" w:hAnsi="Arial"/>
                <w:sz w:val="15"/>
                <w:szCs w:val="15"/>
                <w:color w:val="auto"/>
              </w:rPr>
              <w:t>Total other comprehensive income (loss)</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4"/>
          </w:tcPr>
          <w:p>
            <w:pPr>
              <w:jc w:val="right"/>
              <w:ind w:right="240"/>
              <w:spacing w:after="0" w:line="169" w:lineRule="exact"/>
              <w:rPr>
                <w:sz w:val="20"/>
                <w:szCs w:val="20"/>
                <w:color w:val="auto"/>
              </w:rPr>
            </w:pPr>
            <w:r>
              <w:rPr>
                <w:rFonts w:ascii="Arial" w:cs="Arial" w:eastAsia="Arial" w:hAnsi="Arial"/>
                <w:sz w:val="15"/>
                <w:szCs w:val="15"/>
                <w:color w:val="auto"/>
              </w:rPr>
              <w:t>19</w:t>
            </w:r>
          </w:p>
        </w:tc>
        <w:tc>
          <w:tcPr>
            <w:tcW w:w="180" w:type="dxa"/>
            <w:vAlign w:val="bottom"/>
          </w:tcPr>
          <w:p>
            <w:pPr>
              <w:spacing w:after="0"/>
              <w:rPr>
                <w:sz w:val="14"/>
                <w:szCs w:val="14"/>
                <w:color w:val="auto"/>
              </w:rPr>
            </w:pPr>
          </w:p>
        </w:tc>
        <w:tc>
          <w:tcPr>
            <w:tcW w:w="680" w:type="dxa"/>
            <w:vAlign w:val="bottom"/>
            <w:gridSpan w:val="4"/>
          </w:tcPr>
          <w:p>
            <w:pPr>
              <w:jc w:val="right"/>
              <w:ind w:right="40"/>
              <w:spacing w:after="0" w:line="169"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Comprehensive income</w:t>
            </w:r>
          </w:p>
        </w:tc>
        <w:tc>
          <w:tcPr>
            <w:tcW w:w="28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10,017</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4"/>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3,774</w:t>
            </w:r>
          </w:p>
        </w:tc>
        <w:tc>
          <w:tcPr>
            <w:tcW w:w="1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8"/>
            <w:vMerge w:val="restart"/>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8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6"/>
              </w:rPr>
              <w:t>Deficit)</w:t>
            </w:r>
          </w:p>
        </w:tc>
        <w:tc>
          <w:tcPr>
            <w:tcW w:w="3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8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vMerge w:val="restart"/>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2014</w:t>
            </w:r>
          </w:p>
        </w:tc>
        <w:tc>
          <w:tcPr>
            <w:tcW w:w="18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gridSpan w:val="2"/>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gridSpan w:val="2"/>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5"/>
                <w:szCs w:val="15"/>
                <w:color w:val="auto"/>
              </w:rPr>
              <w:t>27,677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174,926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(7,030)</w:t>
            </w: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(37)</w:t>
            </w:r>
          </w:p>
        </w:tc>
        <w:tc>
          <w:tcPr>
            <w:tcW w:w="3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5"/>
                <w:szCs w:val="15"/>
                <w:color w:val="auto"/>
              </w:rPr>
              <w:t>167,859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8,621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Arial" w:cs="Arial" w:eastAsia="Arial" w:hAnsi="Arial"/>
                <w:sz w:val="15"/>
                <w:szCs w:val="15"/>
                <w:color w:val="auto"/>
              </w:rPr>
              <w:t>Issuance of common stock</w:t>
            </w:r>
          </w:p>
        </w:tc>
        <w:tc>
          <w:tcPr>
            <w:tcW w:w="96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3,870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98,014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98,014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donated to Company</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Arial" w:cs="Arial" w:eastAsia="Arial" w:hAnsi="Arial"/>
                <w:sz w:val="15"/>
                <w:szCs w:val="15"/>
                <w:color w:val="auto"/>
              </w:rPr>
              <w:t>Stock based compensation</w:t>
            </w:r>
          </w:p>
        </w:tc>
        <w:tc>
          <w:tcPr>
            <w:tcW w:w="96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3,280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Tax benefits from equity awards</w:t>
            </w:r>
          </w:p>
        </w:tc>
        <w:tc>
          <w:tcPr>
            <w:tcW w:w="960" w:type="dxa"/>
            <w:vAlign w:val="bottom"/>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3,008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5"/>
                <w:szCs w:val="15"/>
                <w:color w:val="auto"/>
                <w:w w:val="99"/>
              </w:rPr>
              <w:t>Common stock issued under stock plans, net of shares withheld for employee taxes</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2015</w:t>
            </w:r>
          </w:p>
        </w:tc>
        <w:tc>
          <w:tcPr>
            <w:tcW w:w="960" w:type="dxa"/>
            <w:vAlign w:val="bottom"/>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31,647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278,799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1,591</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(70)</w:t>
            </w: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280,320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3,755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Comprehensive income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Arial" w:cs="Arial" w:eastAsia="Arial" w:hAnsi="Arial"/>
                <w:sz w:val="15"/>
                <w:szCs w:val="15"/>
                <w:color w:val="auto"/>
              </w:rPr>
              <w:t>Stock based compensation</w:t>
            </w:r>
          </w:p>
        </w:tc>
        <w:tc>
          <w:tcPr>
            <w:tcW w:w="96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1,968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1,968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Tax benefits from equity awards</w:t>
            </w:r>
          </w:p>
        </w:tc>
        <w:tc>
          <w:tcPr>
            <w:tcW w:w="960" w:type="dxa"/>
            <w:vAlign w:val="bottom"/>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Arial" w:cs="Arial" w:eastAsia="Arial" w:hAnsi="Arial"/>
                <w:sz w:val="15"/>
                <w:szCs w:val="15"/>
                <w:color w:val="auto"/>
                <w:w w:val="97"/>
              </w:rPr>
              <w:t>Common stock issued under stock plans, net of shares withheld for employee taxes</w:t>
            </w:r>
          </w:p>
        </w:tc>
        <w:tc>
          <w:tcPr>
            <w:tcW w:w="96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101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2016</w:t>
            </w:r>
          </w:p>
        </w:tc>
        <w:tc>
          <w:tcPr>
            <w:tcW w:w="960" w:type="dxa"/>
            <w:vAlign w:val="bottom"/>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31,748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280,813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5,346</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(51)</w:t>
            </w: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286,108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5"/>
                <w:szCs w:val="15"/>
                <w:color w:val="auto"/>
              </w:rPr>
              <w:t>Cumulative effect of accounting change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Arial" w:cs="Arial" w:eastAsia="Arial" w:hAnsi="Arial"/>
                <w:sz w:val="15"/>
                <w:szCs w:val="15"/>
                <w:color w:val="auto"/>
              </w:rPr>
              <w:t>Comprehensive income</w:t>
            </w:r>
          </w:p>
        </w:tc>
        <w:tc>
          <w:tcPr>
            <w:tcW w:w="96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13</w:t>
            </w:r>
          </w:p>
        </w:tc>
        <w:tc>
          <w:tcPr>
            <w:tcW w:w="16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 based compensation</w:t>
            </w:r>
          </w:p>
        </w:tc>
        <w:tc>
          <w:tcPr>
            <w:tcW w:w="960" w:type="dxa"/>
            <w:vAlign w:val="bottom"/>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1,852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1,852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Arial" w:cs="Arial" w:eastAsia="Arial" w:hAnsi="Arial"/>
                <w:sz w:val="15"/>
                <w:szCs w:val="15"/>
                <w:color w:val="auto"/>
                <w:w w:val="97"/>
              </w:rPr>
              <w:t>Common stock issued under stock plans, net of shares withheld for employee taxes</w:t>
            </w:r>
          </w:p>
        </w:tc>
        <w:tc>
          <w:tcPr>
            <w:tcW w:w="960" w:type="dxa"/>
            <w:vAlign w:val="bottom"/>
            <w:gridSpan w:val="4"/>
          </w:tcPr>
          <w:p>
            <w:pPr>
              <w:jc w:val="right"/>
              <w:ind w:right="180"/>
              <w:spacing w:after="0" w:line="162" w:lineRule="exact"/>
              <w:rPr>
                <w:sz w:val="20"/>
                <w:szCs w:val="20"/>
                <w:color w:val="auto"/>
              </w:rPr>
            </w:pPr>
            <w:r>
              <w:rPr>
                <w:rFonts w:ascii="Arial" w:cs="Arial" w:eastAsia="Arial" w:hAnsi="Arial"/>
                <w:sz w:val="15"/>
                <w:szCs w:val="15"/>
                <w:color w:val="auto"/>
              </w:rPr>
              <w:t>160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2017</w:t>
            </w:r>
          </w:p>
        </w:tc>
        <w:tc>
          <w:tcPr>
            <w:tcW w:w="960" w:type="dxa"/>
            <w:vAlign w:val="bottom"/>
            <w:gridSpan w:val="4"/>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31,908</w:t>
            </w:r>
          </w:p>
        </w:tc>
        <w:tc>
          <w:tcPr>
            <w:tcW w:w="3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282,666</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17,542</w:t>
            </w:r>
          </w:p>
        </w:tc>
        <w:tc>
          <w:tcPr>
            <w:tcW w:w="320" w:type="dxa"/>
            <w:vAlign w:val="bottom"/>
            <w:gridSpan w:val="2"/>
            <w:shd w:val="clear" w:color="auto" w:fill="CCEEFF"/>
          </w:tcPr>
          <w:p>
            <w:pPr>
              <w:jc w:val="right"/>
              <w:ind w:right="48"/>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(38)</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300,170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9"/>
          </w:tcPr>
          <w:p>
            <w:pPr>
              <w:jc w:val="center"/>
              <w:ind w:left="3"/>
              <w:spacing w:after="0"/>
              <w:rPr>
                <w:sz w:val="20"/>
                <w:szCs w:val="20"/>
                <w:color w:val="auto"/>
              </w:rPr>
            </w:pPr>
            <w:r>
              <w:rPr>
                <w:rFonts w:ascii="Arial" w:cs="Arial" w:eastAsia="Arial" w:hAnsi="Arial"/>
                <w:sz w:val="15"/>
                <w:szCs w:val="15"/>
                <w:b w:val="1"/>
                <w:bCs w:val="1"/>
                <w:color w:val="auto"/>
                <w:w w:val="92"/>
              </w:rPr>
              <w:t>For the Year Ended December 31,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3"/>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2016</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rPr>
              <w:t>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OPERATING ACTIVITIES:</w:t>
            </w:r>
          </w:p>
        </w:tc>
        <w:tc>
          <w:tcPr>
            <w:tcW w:w="10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22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10,004</w:t>
            </w:r>
          </w:p>
        </w:tc>
        <w:tc>
          <w:tcPr>
            <w:tcW w:w="4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3,755</w:t>
            </w: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8,621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26,283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22,207</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16,997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(2,045)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1,786</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300"/>
              <w:spacing w:after="0" w:line="162" w:lineRule="exact"/>
              <w:rPr>
                <w:sz w:val="20"/>
                <w:szCs w:val="20"/>
                <w:color w:val="auto"/>
              </w:rPr>
            </w:pPr>
            <w:r>
              <w:rPr>
                <w:rFonts w:ascii="Arial" w:cs="Arial" w:eastAsia="Arial" w:hAnsi="Arial"/>
                <w:sz w:val="15"/>
                <w:szCs w:val="15"/>
                <w:color w:val="auto"/>
              </w:rPr>
              <w:t>Share based compensation expense</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1,852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1,968</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3,280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Excess tax benefits from equity awards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(217)</w:t>
            </w: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(3,008)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300"/>
              <w:spacing w:after="0" w:line="162" w:lineRule="exact"/>
              <w:rPr>
                <w:sz w:val="20"/>
                <w:szCs w:val="20"/>
                <w:color w:val="auto"/>
              </w:rPr>
            </w:pPr>
            <w:r>
              <w:rPr>
                <w:rFonts w:ascii="Arial" w:cs="Arial" w:eastAsia="Arial" w:hAnsi="Arial"/>
                <w:sz w:val="15"/>
                <w:szCs w:val="15"/>
                <w:color w:val="auto"/>
              </w:rPr>
              <w:t>Provision for doubtful accounts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1,813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640</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Loss (gain) on non-marketable equity investments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(121)</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300"/>
              <w:spacing w:after="0" w:line="162" w:lineRule="exact"/>
              <w:rPr>
                <w:sz w:val="20"/>
                <w:szCs w:val="20"/>
                <w:color w:val="auto"/>
              </w:rPr>
            </w:pPr>
            <w:r>
              <w:rPr>
                <w:rFonts w:ascii="Arial" w:cs="Arial" w:eastAsia="Arial" w:hAnsi="Arial"/>
                <w:sz w:val="15"/>
                <w:szCs w:val="15"/>
                <w:color w:val="auto"/>
              </w:rPr>
              <w:t>Gain on sale of long-lived assets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Loss on disposal of fixed assets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300"/>
              <w:spacing w:after="0" w:line="162" w:lineRule="exact"/>
              <w:rPr>
                <w:sz w:val="20"/>
                <w:szCs w:val="20"/>
                <w:color w:val="auto"/>
              </w:rPr>
            </w:pPr>
            <w:r>
              <w:rPr>
                <w:rFonts w:ascii="Arial" w:cs="Arial" w:eastAsia="Arial" w:hAnsi="Arial"/>
                <w:sz w:val="15"/>
                <w:szCs w:val="15"/>
                <w:color w:val="auto"/>
              </w:rPr>
              <w:t>Other</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408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1,026</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Changes in assets and liabilities, net of business combinations: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600"/>
              <w:spacing w:after="0" w:line="162" w:lineRule="exact"/>
              <w:rPr>
                <w:sz w:val="20"/>
                <w:szCs w:val="20"/>
                <w:color w:val="auto"/>
              </w:rPr>
            </w:pPr>
            <w:r>
              <w:rPr>
                <w:rFonts w:ascii="Arial" w:cs="Arial" w:eastAsia="Arial" w:hAnsi="Arial"/>
                <w:sz w:val="15"/>
                <w:szCs w:val="15"/>
                <w:color w:val="auto"/>
              </w:rPr>
              <w:t>Accounts and unbilled receivables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1,125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(6,079)</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Prepaid royalties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2,008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(4,008)</w:t>
            </w: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(1,006)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600"/>
              <w:spacing w:after="0" w:line="162" w:lineRule="exact"/>
              <w:rPr>
                <w:sz w:val="20"/>
                <w:szCs w:val="20"/>
                <w:color w:val="auto"/>
              </w:rPr>
            </w:pPr>
            <w:r>
              <w:rPr>
                <w:rFonts w:ascii="Arial" w:cs="Arial" w:eastAsia="Arial" w:hAnsi="Arial"/>
                <w:sz w:val="15"/>
                <w:szCs w:val="15"/>
                <w:color w:val="auto"/>
              </w:rPr>
              <w:t>Other prepaid expenses and other current assets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(225)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(1,462)</w:t>
            </w:r>
          </w:p>
        </w:tc>
        <w:tc>
          <w:tcPr>
            <w:tcW w:w="20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Other assets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(168)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305</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600"/>
              <w:spacing w:after="0" w:line="162" w:lineRule="exact"/>
              <w:rPr>
                <w:sz w:val="20"/>
                <w:szCs w:val="20"/>
                <w:color w:val="auto"/>
              </w:rPr>
            </w:pPr>
            <w:r>
              <w:rPr>
                <w:rFonts w:ascii="Arial" w:cs="Arial" w:eastAsia="Arial" w:hAnsi="Arial"/>
                <w:sz w:val="15"/>
                <w:szCs w:val="15"/>
                <w:color w:val="auto"/>
              </w:rPr>
              <w:t>Accounts payable</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2,284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(1,319)</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Accrued royalties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(29)</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3,691</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600"/>
              <w:spacing w:after="0" w:line="149" w:lineRule="exact"/>
              <w:rPr>
                <w:sz w:val="20"/>
                <w:szCs w:val="20"/>
                <w:color w:val="auto"/>
              </w:rPr>
            </w:pPr>
            <w:r>
              <w:rPr>
                <w:rFonts w:ascii="Arial" w:cs="Arial" w:eastAsia="Arial" w:hAnsi="Arial"/>
                <w:sz w:val="15"/>
                <w:szCs w:val="15"/>
                <w:color w:val="auto"/>
              </w:rPr>
              <w:t>Accrued liabilities, accrued compensation and related expenses, and other long-term</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900"/>
              <w:spacing w:after="0"/>
              <w:rPr>
                <w:sz w:val="20"/>
                <w:szCs w:val="20"/>
                <w:color w:val="auto"/>
              </w:rPr>
            </w:pPr>
            <w:r>
              <w:rPr>
                <w:rFonts w:ascii="Arial" w:cs="Arial" w:eastAsia="Arial" w:hAnsi="Arial"/>
                <w:sz w:val="15"/>
                <w:szCs w:val="15"/>
                <w:color w:val="auto"/>
              </w:rPr>
              <w:t>liabilities</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5"/>
                <w:szCs w:val="15"/>
                <w:color w:val="auto"/>
              </w:rPr>
              <w:t>4,106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5"/>
                <w:szCs w:val="15"/>
                <w:color w:val="auto"/>
              </w:rPr>
              <w:t>(884)</w:t>
            </w:r>
          </w:p>
        </w:tc>
        <w:tc>
          <w:tcPr>
            <w:tcW w:w="200" w:type="dxa"/>
            <w:vAlign w:val="bottom"/>
          </w:tcPr>
          <w:p>
            <w:pPr>
              <w:spacing w:after="0"/>
              <w:rPr>
                <w:sz w:val="15"/>
                <w:szCs w:val="15"/>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5"/>
                <w:szCs w:val="15"/>
                <w:color w:val="auto"/>
              </w:rPr>
              <w:t>3,075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Deferred revenue</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(806)</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2,946</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6,173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680"/>
              <w:spacing w:after="0"/>
              <w:rPr>
                <w:sz w:val="20"/>
                <w:szCs w:val="20"/>
                <w:color w:val="auto"/>
              </w:rPr>
            </w:pPr>
            <w:r>
              <w:rPr>
                <w:rFonts w:ascii="Arial" w:cs="Arial" w:eastAsia="Arial" w:hAnsi="Arial"/>
                <w:sz w:val="15"/>
                <w:szCs w:val="15"/>
                <w:color w:val="auto"/>
              </w:rPr>
              <w:t>Net cash provided by operating activities</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46,712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9" w:lineRule="exact"/>
              <w:rPr>
                <w:sz w:val="20"/>
                <w:szCs w:val="20"/>
                <w:color w:val="auto"/>
              </w:rPr>
            </w:pPr>
            <w:r>
              <w:rPr>
                <w:rFonts w:ascii="Arial" w:cs="Arial" w:eastAsia="Arial" w:hAnsi="Arial"/>
                <w:sz w:val="15"/>
                <w:szCs w:val="15"/>
                <w:color w:val="auto"/>
              </w:rPr>
              <w:t>24,234</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9" w:lineRule="exact"/>
              <w:rPr>
                <w:sz w:val="20"/>
                <w:szCs w:val="20"/>
                <w:color w:val="auto"/>
              </w:rPr>
            </w:pPr>
            <w:r>
              <w:rPr>
                <w:rFonts w:ascii="Arial" w:cs="Arial" w:eastAsia="Arial" w:hAnsi="Arial"/>
                <w:sz w:val="15"/>
                <w:szCs w:val="15"/>
                <w:color w:val="auto"/>
              </w:rPr>
              <w:t>34,917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INVESTING ACTIVITIES: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Business combinations, net of cash acquired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(55,255)</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(88,075)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maturities of marketable securities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90,073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119,395</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54,799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Purchases of marketable securities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(83,279)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w w:val="99"/>
              </w:rPr>
              <w:t>(106,965)</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(84,228)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to acquire equity method investments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Payments to acquire cost method investments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(500)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for sale of long-lived assets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975</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Payments associated with capitalized software development</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(11,856)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(9,721)</w:t>
            </w:r>
          </w:p>
        </w:tc>
        <w:tc>
          <w:tcPr>
            <w:tcW w:w="20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(7,265)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(6,017)</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(5,085)</w:t>
            </w: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(8,094)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680"/>
              <w:spacing w:after="0"/>
              <w:rPr>
                <w:sz w:val="20"/>
                <w:szCs w:val="20"/>
                <w:color w:val="auto"/>
              </w:rPr>
            </w:pPr>
            <w:r>
              <w:rPr>
                <w:rFonts w:ascii="Arial" w:cs="Arial" w:eastAsia="Arial" w:hAnsi="Arial"/>
                <w:sz w:val="15"/>
                <w:szCs w:val="15"/>
                <w:color w:val="auto"/>
              </w:rPr>
              <w:t>Net cash used in investing activities</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(11,579)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9" w:lineRule="exact"/>
              <w:rPr>
                <w:sz w:val="20"/>
                <w:szCs w:val="20"/>
                <w:color w:val="auto"/>
              </w:rPr>
            </w:pPr>
            <w:r>
              <w:rPr>
                <w:rFonts w:ascii="Arial" w:cs="Arial" w:eastAsia="Arial" w:hAnsi="Arial"/>
                <w:sz w:val="15"/>
                <w:szCs w:val="15"/>
                <w:color w:val="auto"/>
              </w:rPr>
              <w:t>(56,656)</w:t>
            </w:r>
          </w:p>
        </w:tc>
        <w:tc>
          <w:tcPr>
            <w:tcW w:w="200" w:type="dxa"/>
            <w:vAlign w:val="bottom"/>
          </w:tcPr>
          <w:p>
            <w:pPr>
              <w:spacing w:after="0"/>
              <w:rPr>
                <w:sz w:val="14"/>
                <w:szCs w:val="14"/>
                <w:color w:val="auto"/>
              </w:rPr>
            </w:pPr>
          </w:p>
        </w:tc>
        <w:tc>
          <w:tcPr>
            <w:tcW w:w="620" w:type="dxa"/>
            <w:vAlign w:val="bottom"/>
            <w:gridSpan w:val="3"/>
          </w:tcPr>
          <w:p>
            <w:pPr>
              <w:jc w:val="right"/>
              <w:spacing w:after="0" w:line="169" w:lineRule="exact"/>
              <w:rPr>
                <w:sz w:val="20"/>
                <w:szCs w:val="20"/>
                <w:color w:val="auto"/>
              </w:rPr>
            </w:pPr>
            <w:r>
              <w:rPr>
                <w:rFonts w:ascii="Arial" w:cs="Arial" w:eastAsia="Arial" w:hAnsi="Arial"/>
                <w:sz w:val="15"/>
                <w:szCs w:val="15"/>
                <w:color w:val="auto"/>
                <w:w w:val="93"/>
              </w:rPr>
              <w:t>(134,863)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FINANCING ACTIVITIES: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Proceeds from issuance of common stock</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98,014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413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145</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Proceeds from borrowings under revolving line of credit facility</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Repayments under revolving line of credit facility</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Taxes paid related to net settlement of equity awards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(412)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(316)</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Excess tax benefits from equity awards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217</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3,008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line="162" w:lineRule="exact"/>
              <w:rPr>
                <w:sz w:val="20"/>
                <w:szCs w:val="20"/>
                <w:color w:val="auto"/>
              </w:rPr>
            </w:pPr>
            <w:r>
              <w:rPr>
                <w:rFonts w:ascii="Arial" w:cs="Arial" w:eastAsia="Arial" w:hAnsi="Arial"/>
                <w:sz w:val="15"/>
                <w:szCs w:val="15"/>
                <w:color w:val="auto"/>
              </w:rPr>
              <w:t>Payment of earn-outs related to business combinations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680"/>
              <w:spacing w:after="0" w:line="162" w:lineRule="exact"/>
              <w:rPr>
                <w:sz w:val="20"/>
                <w:szCs w:val="20"/>
                <w:color w:val="auto"/>
              </w:rPr>
            </w:pPr>
            <w:r>
              <w:rPr>
                <w:rFonts w:ascii="Arial" w:cs="Arial" w:eastAsia="Arial" w:hAnsi="Arial"/>
                <w:sz w:val="15"/>
                <w:szCs w:val="15"/>
                <w:color w:val="auto"/>
              </w:rPr>
              <w:t>Net cash provided by financing activities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46</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99,961</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20" w:type="dxa"/>
            <w:vAlign w:val="bottom"/>
            <w:gridSpan w:val="2"/>
          </w:tcPr>
          <w:p>
            <w:pPr>
              <w:spacing w:after="0"/>
              <w:rPr>
                <w:sz w:val="20"/>
                <w:szCs w:val="20"/>
                <w:color w:val="auto"/>
              </w:rPr>
            </w:pPr>
            <w:r>
              <w:rPr>
                <w:rFonts w:ascii="Arial" w:cs="Arial" w:eastAsia="Arial" w:hAnsi="Arial"/>
                <w:sz w:val="15"/>
                <w:szCs w:val="15"/>
                <w:color w:val="auto"/>
              </w:rPr>
              <w:t>Net increase (decrease) in cash and cash equivalents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35,134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5"/>
                <w:szCs w:val="15"/>
                <w:color w:val="auto"/>
              </w:rPr>
              <w:t>(32,376)</w:t>
            </w:r>
          </w:p>
        </w:tc>
        <w:tc>
          <w:tcPr>
            <w:tcW w:w="2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year</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49,634</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82,010</w:t>
            </w:r>
          </w:p>
        </w:tc>
        <w:tc>
          <w:tcPr>
            <w:tcW w:w="2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81,995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color w:val="auto"/>
              </w:rPr>
              <w:t>Cash and cash equivalents at end of year</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2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jc w:val="right"/>
              <w:ind w:right="23"/>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84,768</w:t>
            </w:r>
          </w:p>
        </w:tc>
        <w:tc>
          <w:tcPr>
            <w:tcW w:w="260" w:type="dxa"/>
            <w:vAlign w:val="bottom"/>
          </w:tcPr>
          <w:p>
            <w:pPr>
              <w:spacing w:after="0"/>
              <w:rPr>
                <w:sz w:val="14"/>
                <w:szCs w:val="14"/>
                <w:color w:val="auto"/>
              </w:rPr>
            </w:pPr>
          </w:p>
        </w:tc>
        <w:tc>
          <w:tcPr>
            <w:tcW w:w="4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200" w:type="dxa"/>
            <w:vAlign w:val="bottom"/>
            <w:gridSpan w:val="4"/>
          </w:tcPr>
          <w:p>
            <w:pPr>
              <w:jc w:val="right"/>
              <w:ind w:right="540"/>
              <w:spacing w:after="0" w:line="169" w:lineRule="exact"/>
              <w:rPr>
                <w:sz w:val="20"/>
                <w:szCs w:val="20"/>
                <w:color w:val="auto"/>
              </w:rPr>
            </w:pPr>
            <w:r>
              <w:rPr>
                <w:rFonts w:ascii="Arial" w:cs="Arial" w:eastAsia="Arial" w:hAnsi="Arial"/>
                <w:sz w:val="15"/>
                <w:szCs w:val="15"/>
                <w:color w:val="auto"/>
              </w:rPr>
              <w:t>49,634</w:t>
            </w:r>
          </w:p>
        </w:tc>
        <w:tc>
          <w:tcPr>
            <w:tcW w:w="200" w:type="dxa"/>
            <w:vAlign w:val="bottom"/>
          </w:tcPr>
          <w:p>
            <w:pPr>
              <w:jc w:val="right"/>
              <w:ind w:right="43"/>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40"/>
              <w:spacing w:after="0" w:line="169" w:lineRule="exact"/>
              <w:rPr>
                <w:sz w:val="20"/>
                <w:szCs w:val="20"/>
                <w:color w:val="auto"/>
              </w:rPr>
            </w:pPr>
            <w:r>
              <w:rPr>
                <w:rFonts w:ascii="Arial" w:cs="Arial" w:eastAsia="Arial" w:hAnsi="Arial"/>
                <w:sz w:val="15"/>
                <w:szCs w:val="15"/>
                <w:color w:val="auto"/>
              </w:rPr>
              <w:t>82,010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vMerge w:val="restart"/>
          </w:tcPr>
          <w:p>
            <w:pPr>
              <w:spacing w:after="0"/>
              <w:rPr>
                <w:sz w:val="24"/>
                <w:szCs w:val="24"/>
                <w:color w:val="auto"/>
              </w:rPr>
            </w:pPr>
          </w:p>
        </w:tc>
        <w:tc>
          <w:tcPr>
            <w:tcW w:w="6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SUPPLEMENTAL CASH FLOW INFORMATION:</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300"/>
              <w:spacing w:after="0" w:line="162" w:lineRule="exact"/>
              <w:rPr>
                <w:sz w:val="20"/>
                <w:szCs w:val="20"/>
                <w:color w:val="auto"/>
              </w:rPr>
            </w:pPr>
            <w:r>
              <w:rPr>
                <w:rFonts w:ascii="Arial" w:cs="Arial" w:eastAsia="Arial" w:hAnsi="Arial"/>
                <w:sz w:val="15"/>
                <w:szCs w:val="15"/>
                <w:color w:val="auto"/>
              </w:rPr>
              <w:t>Interest paid</w:t>
            </w:r>
          </w:p>
        </w:tc>
        <w:tc>
          <w:tcPr>
            <w:tcW w:w="122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101</w:t>
            </w:r>
          </w:p>
        </w:tc>
        <w:tc>
          <w:tcPr>
            <w:tcW w:w="4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4"/>
          </w:tcPr>
          <w:p>
            <w:pPr>
              <w:jc w:val="right"/>
              <w:ind w:right="540"/>
              <w:spacing w:after="0" w:line="162" w:lineRule="exact"/>
              <w:rPr>
                <w:sz w:val="20"/>
                <w:szCs w:val="20"/>
                <w:color w:val="auto"/>
              </w:rPr>
            </w:pPr>
            <w:r>
              <w:rPr>
                <w:rFonts w:ascii="Arial" w:cs="Arial" w:eastAsia="Arial" w:hAnsi="Arial"/>
                <w:sz w:val="15"/>
                <w:szCs w:val="15"/>
                <w:color w:val="auto"/>
              </w:rPr>
              <w:t>76</w:t>
            </w: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shd w:val="clear" w:color="auto" w:fill="CCEEFF"/>
          </w:tcPr>
          <w:p>
            <w:pPr>
              <w:ind w:left="300"/>
              <w:spacing w:after="0" w:line="156" w:lineRule="exact"/>
              <w:rPr>
                <w:sz w:val="20"/>
                <w:szCs w:val="20"/>
                <w:color w:val="auto"/>
              </w:rPr>
            </w:pPr>
            <w:r>
              <w:rPr>
                <w:rFonts w:ascii="Arial" w:cs="Arial" w:eastAsia="Arial" w:hAnsi="Arial"/>
                <w:sz w:val="15"/>
                <w:szCs w:val="15"/>
                <w:color w:val="auto"/>
              </w:rPr>
              <w:t>Income taxes paid</w:t>
            </w:r>
          </w:p>
        </w:tc>
        <w:tc>
          <w:tcPr>
            <w:tcW w:w="1220" w:type="dxa"/>
            <w:vAlign w:val="bottom"/>
            <w:gridSpan w:val="2"/>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900" w:type="dxa"/>
            <w:vAlign w:val="bottom"/>
            <w:gridSpan w:val="4"/>
            <w:shd w:val="clear" w:color="auto" w:fill="CCEEFF"/>
          </w:tcPr>
          <w:p>
            <w:pPr>
              <w:jc w:val="right"/>
              <w:ind w:right="260"/>
              <w:spacing w:after="0" w:line="156" w:lineRule="exact"/>
              <w:rPr>
                <w:sz w:val="20"/>
                <w:szCs w:val="20"/>
                <w:color w:val="auto"/>
              </w:rPr>
            </w:pPr>
            <w:r>
              <w:rPr>
                <w:rFonts w:ascii="Arial" w:cs="Arial" w:eastAsia="Arial" w:hAnsi="Arial"/>
                <w:sz w:val="15"/>
                <w:szCs w:val="15"/>
                <w:color w:val="auto"/>
              </w:rPr>
              <w:t>638</w:t>
            </w:r>
          </w:p>
        </w:tc>
        <w:tc>
          <w:tcPr>
            <w:tcW w:w="4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200" w:type="dxa"/>
            <w:vAlign w:val="bottom"/>
            <w:gridSpan w:val="4"/>
            <w:shd w:val="clear" w:color="auto" w:fill="CCEEFF"/>
          </w:tcPr>
          <w:p>
            <w:pPr>
              <w:jc w:val="right"/>
              <w:ind w:right="540"/>
              <w:spacing w:after="0" w:line="156" w:lineRule="exact"/>
              <w:rPr>
                <w:sz w:val="20"/>
                <w:szCs w:val="20"/>
                <w:color w:val="auto"/>
              </w:rPr>
            </w:pPr>
            <w:r>
              <w:rPr>
                <w:rFonts w:ascii="Arial" w:cs="Arial" w:eastAsia="Arial" w:hAnsi="Arial"/>
                <w:sz w:val="15"/>
                <w:szCs w:val="15"/>
                <w:color w:val="auto"/>
              </w:rPr>
              <w:t>2,496</w:t>
            </w:r>
          </w:p>
        </w:tc>
        <w:tc>
          <w:tcPr>
            <w:tcW w:w="200" w:type="dxa"/>
            <w:vAlign w:val="bottom"/>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2,648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color w:val="auto"/>
              </w:rPr>
              <w:t>NON-CASH INVESTING AND FINANCING ACTIVITIES:</w:t>
            </w: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Receivable from sale of long-lived assets</w:t>
            </w:r>
          </w:p>
        </w:tc>
        <w:tc>
          <w:tcPr>
            <w:tcW w:w="1220" w:type="dxa"/>
            <w:vAlign w:val="bottom"/>
            <w:gridSpan w:val="2"/>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4"/>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Entity and Segments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HealthStream, Inc. (the “Company”) was incorporated in 1990 as a Tennessee corporation and is headquartered in Nashville, Tennessee. As of December 31, 2017, the Company operated in three segments: HealthStream Workforce Solutions, HealthStream Patient Experience Solutions, and HealthStream Provider Solutions. Workforce Solutions products consist of software-as-a-service (“SaaS”) based services and subscription-based solutions to meet the ongoing training, certification, assessment, and development needs of the healthcare community. These solutions provide, deliver, and track online education for our customers in the United States through our SaaS model. Patient Experience products offer healthcare organizations a wide range of quality and satisfaction surveys, consulting services, analyses of survey results, and other research-based services. Provider Solutions products offer healthcare organizations software applications for administering and tracking provider credentialing, privileging, call center, and enrollment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adopted the Financial Accounting Standards Board (“FASB”) Accounting Standards Update (“ASU”) 2016-09, Improvements to Employee Share-Based Payment Accounting, effective January 1, 2017. As a result of the adoption, the Company recorded an adjustment to retained earnings of approximately $2.2 million to recognize deferred tax assets associated with previous excess tax benefits on stock based compensation that had not been previously recognized because the related tax deduction had not reduced income taxes payable. The Company elected to continue to estimate expected forfeitures rather than account for them as they occur and to prospectively reflect the presentation of excess tax benefits on the statement of cash flows as an operating activity. In addition, effective January 1, 2017, excess tax benefits or deficiencies from equity based awards is reflected in the statement of income as a component of the provision for income taxes.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January 2017, the FASB issued ASU 2017-04, Simplifying the Test for Goodwill Impairment, which simplifies the measurement of goodwill by eliminating Step 2 from the goodwill impairment test. With the elimination of Step 2, entities will measure goodwill for impairment by comparing the fair value of the reporting unit with its carrying amount. An impairment charge should be recognized for the amount by which the carrying amount exceeds the reporting unit’s fair value, only to the extent of the carrying value of goodwill allocated to that reporting unit. The Company elected to early adopt ASU 2017-04 effective January 1, 2017 and is required to apply the new guidance on a prospective basis. The adoption is not expected to have a material effect on the Company’s consolidated financial statements. The Company anticipates the new guidance will make the goodwill impairment evaluation process more efficient and cost effective.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Recognition of Revenue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Revenues are derived from providing services through our SaaS-based workforce development platform products, courseware subscriptions, provision of survey and research services, sales of software licensing arrangements, software maintenance and support, professional services, custom courseware development, and other education and training services.</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vendor specific objective evidence (“VSOE”). For installed software products, if fair value cannot be determined for each undelivered element of the arrangement, all revenue from the arrangement is deferred until fair value can be determined or until all elements of the arrangement are delivered and customer acceptance has occurred. Sales of the Company’s SaaS-based workforce development platform products include customer support, implementation services, and training; therefore all revenues are deferred until the SaaS-based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Revenues derived from the delivery of services through the Company’s SaaS-based workforce development platform products and courseware subscriptions are recognized ratably over the term of the subscription service agreement or over the historical usage period, if usage typically differs from the subscription period. Training revenues are generally recognized upon the completion of training.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62"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Revenues derived from the license of installed software products are recognized using the residual method upon delivery of the software, when VSOE of fair value for the undelivered elements within the contract can be established. If the Company cannot objectively determine the fair value of each undelivered element based on the VSOE of fair value, the Company defers revenue recognition until all elements are delivered, all services have been performed, or until fair value can be objectively determined. Software support and maintenance revenues are recognized ratably over the term of the related agreement.</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Revenues for coaching and consulting engagements are recognized using the proportional performance method over the term of the underlying contract. Fees for survey services are billed upon initiation of the survey cycle, with progress billings made throughout the survey cycle. Fees for coaching and consulting engagements are billed upon initiation of the engagement with progress billings throughout the term of the contract.</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Revenues from professional services and courseware development services are recognized upon the completion of performance milestones and deliverables using the proportional performance method. All other revenues are recognized as the related services are performed or products are delivered. Fees for these services are generally billed at project initiation and upon completion of various milestones.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consolidated financial statements include the accounts of the Company and its wholly-owned subsidiaries.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consolidated financial statements are prepared in accordance with U.S.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cash equivalents to be unrestricted, highly liquid investments with initial maturities of less than three months.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Marketable securities are classified as available for sale and are stated at fair market value, with the unrealized gains and losses, net of tax, reported in other accumulated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the yield using the effective interest method.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Receivable-Unbilled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Deferred revenue represents amounts that have been billed or collected in advance of revenue recognition. The Company typically invoices customers in quarterly, bi-annual, or annual installments. Deferred revenue is reduced as services are provided and the revenue recognition criteria are met.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Prepaid Royalties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Prepaid royalties represents advance payments associated with the sale of third party products, such as courseware subscriptions. Royalties are typically paid in advance at the commencement of the revenue cycle or periodically throughout the revenue cycle, such as quarterly, bi-annual, or annual installments. Royalty payments are amortized over the term of the underlying contracts, which generally range from 12 to 36 months,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Company estimates its allowance for doubtful accounts using a specific identification method in which management considers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doubtful accounts and the amounts charged to bad debt expense for the years ended December 31 were as follows (in thousands):</w:t>
      </w:r>
    </w:p>
    <w:p>
      <w:pPr>
        <w:spacing w:after="0" w:line="171"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20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Allowance Balance at</w:t>
            </w:r>
          </w:p>
        </w:tc>
        <w:tc>
          <w:tcPr>
            <w:tcW w:w="200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Charged to Costs and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Allowance Balance at</w:t>
            </w:r>
          </w:p>
        </w:tc>
      </w:tr>
      <w:tr>
        <w:trPr>
          <w:trHeight w:val="203"/>
        </w:trPr>
        <w:tc>
          <w:tcPr>
            <w:tcW w:w="640" w:type="dxa"/>
            <w:vAlign w:val="bottom"/>
          </w:tcPr>
          <w:p>
            <w:pPr>
              <w:spacing w:after="0"/>
              <w:rPr>
                <w:sz w:val="17"/>
                <w:szCs w:val="17"/>
                <w:color w:val="auto"/>
              </w:rPr>
            </w:pPr>
          </w:p>
        </w:tc>
        <w:tc>
          <w:tcPr>
            <w:tcW w:w="20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Beginning of Period</w:t>
            </w:r>
          </w:p>
        </w:tc>
        <w:tc>
          <w:tcPr>
            <w:tcW w:w="580" w:type="dxa"/>
            <w:vAlign w:val="bottom"/>
          </w:tcPr>
          <w:p>
            <w:pPr>
              <w:spacing w:after="0"/>
              <w:rPr>
                <w:sz w:val="17"/>
                <w:szCs w:val="17"/>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w w:val="96"/>
              </w:rPr>
              <w:t>Expenses</w:t>
            </w:r>
          </w:p>
        </w:tc>
        <w:tc>
          <w:tcPr>
            <w:tcW w:w="1280" w:type="dxa"/>
            <w:vAlign w:val="bottom"/>
            <w:gridSpan w:val="4"/>
          </w:tcPr>
          <w:p>
            <w:pPr>
              <w:ind w:left="260"/>
              <w:spacing w:after="0"/>
              <w:rPr>
                <w:sz w:val="20"/>
                <w:szCs w:val="20"/>
                <w:color w:val="auto"/>
              </w:rPr>
            </w:pPr>
            <w:r>
              <w:rPr>
                <w:rFonts w:ascii="Arial" w:cs="Arial" w:eastAsia="Arial" w:hAnsi="Arial"/>
                <w:sz w:val="16"/>
                <w:szCs w:val="16"/>
                <w:b w:val="1"/>
                <w:bCs w:val="1"/>
                <w:color w:val="auto"/>
              </w:rPr>
              <w:t>Write-offs</w:t>
            </w:r>
          </w:p>
        </w:tc>
        <w:tc>
          <w:tcPr>
            <w:tcW w:w="50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End of Period</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4"/>
              </w:rPr>
              <w:t>2017</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863</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1,813</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(471)</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2,205</w:t>
            </w:r>
          </w:p>
        </w:tc>
      </w:tr>
      <w:tr>
        <w:trPr>
          <w:trHeight w:val="203"/>
        </w:trPr>
        <w:tc>
          <w:tcPr>
            <w:tcW w:w="640" w:type="dxa"/>
            <w:vAlign w:val="bottom"/>
          </w:tcPr>
          <w:p>
            <w:pPr>
              <w:jc w:val="right"/>
              <w:ind w:right="239"/>
              <w:spacing w:after="0"/>
              <w:rPr>
                <w:sz w:val="20"/>
                <w:szCs w:val="20"/>
                <w:color w:val="auto"/>
              </w:rPr>
            </w:pPr>
            <w:r>
              <w:rPr>
                <w:rFonts w:ascii="Arial" w:cs="Arial" w:eastAsia="Arial" w:hAnsi="Arial"/>
                <w:sz w:val="16"/>
                <w:szCs w:val="16"/>
                <w:color w:val="auto"/>
                <w:w w:val="84"/>
              </w:rPr>
              <w:t>2016</w:t>
            </w:r>
          </w:p>
        </w:tc>
        <w:tc>
          <w:tcPr>
            <w:tcW w:w="108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240"/>
              <w:spacing w:after="0"/>
              <w:rPr>
                <w:sz w:val="20"/>
                <w:szCs w:val="20"/>
                <w:color w:val="auto"/>
              </w:rPr>
            </w:pPr>
            <w:r>
              <w:rPr>
                <w:rFonts w:ascii="Arial" w:cs="Arial" w:eastAsia="Arial" w:hAnsi="Arial"/>
                <w:sz w:val="16"/>
                <w:szCs w:val="16"/>
                <w:color w:val="auto"/>
              </w:rPr>
              <w:t>640</w:t>
            </w: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(80)</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863</w:t>
            </w:r>
          </w:p>
        </w:tc>
      </w:tr>
      <w:tr>
        <w:trPr>
          <w:trHeight w:val="203"/>
        </w:trPr>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4"/>
              </w:rPr>
              <w:t>2015</w:t>
            </w:r>
          </w:p>
        </w:tc>
        <w:tc>
          <w:tcPr>
            <w:tcW w:w="108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284</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(312)</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303</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 Development</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Capitalized software development is stated on the basis of cost and is presented net of accumulated amortization. The Company capitalizes costs incurred during the software development phase for projects when such costs are material. These assets are generally amortized using the straight-line method over three years. The Company capitalized approximately $12.5 million and $10.0 million during 2017 and 2016, respectively. Amortization of capitalized software development was approximately $10.1 million, $7.7 million, and $6.2 million during 2017, 2016, and 2015, respectively. Maintenance and operating costs are expensed as incurred. As of December 31, 2017 and 2016, there were no capitalized software development costs for external computer software developed for resale.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Observable inputs that reflect quoted prices (unadjusted) for identical assets or liabilities in active markets.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Inputs other than quoted prices included in Level 1 that are observable for the asset or liability, either directly or indirectly.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Unobservable inputs in which little or no market data exists, therefore requiring the Company to develop its own assumptions.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 At December 31, 2017 and 2016, our assets measured at fair value on a recurring basis consisted of marketable securities, which are classified as available for sale (see Note 4 – Marketable Securities). The Company did not have any financial liabilities that were subject to fair value measurements as of such dates.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Years</w:t>
            </w:r>
          </w:p>
        </w:tc>
      </w:tr>
      <w:tr>
        <w:trPr>
          <w:trHeight w:val="196"/>
        </w:trPr>
        <w:tc>
          <w:tcPr>
            <w:tcW w:w="10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7"/>
                <w:szCs w:val="17"/>
                <w:color w:val="auto"/>
              </w:rPr>
              <w:t>Equipment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Goodwill represents the excess of purchase price in a business combination over the fair value of the net identifiable assets acquired. The carrying amount of our goodwill is evaluated for impairment at least annually during the fourth quarter and whenever events or changes in facts or circumstances indicate that impairment may exist. 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The Company determines fair value of the reporting units using both income and market based models. These models require the use of various assumptions relating to cash flow projections, growth rates, discount rates and terminal value calculations. There were no goodwill impairments identified or recorded for the years ended December 31, 2017, 2016 or 2015.</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of December 31, 2017, intangible assets include customer relationships, internally-developed technology and patents, non-competition agreements, and trade names. These intangible assets are considered to have definite useful lives and are being amortized on a straight line basis over periods ranging between three and thirteen years. The weighted average amortization period for definite lived intangible assets as of December 31, 2017 was 11.1 years. Intangible assets are reviewed for impairment whenever events or changes in facts or circumstances indicate that the carrying amount of the assets may not be recoverable. There were no intangible asset impairments identified or recorded for the years ended December 31, 2017, 2016, or 2015.</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and other assets will be recoverable. There were no long-lived asset impairments identified or recorded for the years ended December 31, 2017, 2016, or 2015.</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Non-Marketable Equity Investments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Non-marketable equity investments are accounted for using the equity method when the Company can exercise significant influence over the investee. Investments for which the Company is not able to exercise significant influence over the investee are accounted for under the cost method. The proportionate share of income or loss from equity method investments are recorded under the caption “other income, net” in the accompanying consolidated statements of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has various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The Company also has marketable securities, which are recorded at approximate fair value based on quoted market prices or alternative pricing sources (see Note 4 – Marketable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expenses the costs of advertising as incurred. Advertising expense for the years ended December 31, 2017, 2016, and 2015 was approximately $1.0 million, $1.0 million, and $1.1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costs that are associated with our products and services are included in cost of revenues.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2017, the Company had established a valuation allowance of $1.1 million for the portion of its net deferred tax assets that are not more likely than not expected to be realized.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have been excluded from the calculation of diluted weighted average shares outstanding for the years ended December 31, 2017, 2016, and 2015.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 and Significant Customers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Company’s credit risks relate primarily to cash and cash equivalents, marketable securities and accounts receivable. The Company places its temporary excess cash investments in high quality, short-term money market instruments. At times, such investments may be in excess of the FDIC insurance limits. Marketable securities consist primarily of investment grade corporate debt securities and certificates of deposit.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sells its products and services to various companies in the healthcare industry that are located in the United States. Credit evaluations of our customers’ financial condition are performed on an ongoing basis, which generally require no collateral from customers. An allowance for doubtful accounts is maintained for potentially uncollectible accounts receivable. The Company did not have any single customer representing over 10% of net revenues or accounts receivable during 2017, 2016, or 2015.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Based Compensation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December 31, 2017, the Company maintains three stock based compensation plans under which awards are outstanding, as described in Note 11.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reflected in the statement of income as a component of the provision for income taxes when realized.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Newly Issued Accounting Standards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May 2014, the FASB issued ASU 2014-09, Revenue from Contracts with Customers (Topic 606), which supersedes the revenue recognition requirements in Topic 605, Revenue Recognition,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will adopt the standard using the modified retrospective approach effective January 1, 2018. In preparation for adoption of the standard, the Company implemented internal controls and key system functionality to enable the preparation of financial information and has reached conclusions on key accounting assessments related to the standard.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most significant impact of the standard relates to capitalizing costs to acquire contracts, which have historically been expensed as incurred. As of December 31, 2017, the Company’s sales commission plans have included multiple payments, including initial payments in the period a customer contract is obtained and deferred payments either 15 or 27 months after the initial payment. Under the standard, only the initial payment is subject to capitalization as the deferred payments require a substantive performance condition of the employee. These initial commission payments will be capitalized in the period a customer contract is obtained and will be amortized consistent with the transfer of the goods or services to the customer over the expected period of benefit. The expected period of benefit is the contract term, except when the commission payment is expected to provide economic benefit to the Company for a period longer than the contract term, such as for new customer or incremental sales where renewals are expected and renewal commissions are not commensurate with initial commissions. Such commissions will be amortized over the greater of contract term or technological obsolescence period when the underlying contracted products are technology-based, such as for the SaaS-based platforms, or the expected customer relationship period when the underlying contracted products are not technology-based, such as for patient experience survey products.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Additionally, the standard impacts several of the Company’s revenue streams. The primary streams affected are professional services and patient experience surveys. For professional services, the identification of performance obligations and the related timing of revenue recognition is changing such that revenues will be recognized earlier, during the period of service delivery, rather than over the related product’s contractual term. For patient experience surveys, revenues will correlate to survey delivery, which approximates ratable recognition over the contractual term, rather than the current method of spreading quarterly revenue over the five-month life cycle of the patient experience survey cycle.</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will finalize its calculation of the financial impact of the adoption of this accounting standard on its future consolidated financial statements in the first quarter of 2018. The Company anticipates adjustments to retained earnings of no more than $10 million and $16 million, net of related tax effects, upon adoption for revenue recognition and sales commissions, respectively.</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January 2016, the FASB issued ASU 2016-01, Financial Instruments – Overall (Sub Topic 825-10), which addresses certain aspects of the recognition, measurement, presentation, and disclosure of financial instruments. The guidance will, among other things, require equity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plans to adopt this ASU on January 1, 2018, and is currently reviewing this standard to assess the impact on its future consolidated financial statements.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In February 2016, the FASB issued ASU 2016-02, Leases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assess the impact on its future consolidated financial statements. The standard will be effective for the first interim period within annual reporting periods beginning after December 15, 2018, and early adoption is permitted. The Company expects to adopt this ASU on January 1, 2019, and is currently evaluating the impact that adoption of this ASU will have on its consolidated financial position and results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SHAREHOLDERS’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authorized to issue up to 75 million shares of common stock. The number of common shares issued and outstanding as of December 31, 2017 and 2016 was approximately 31.9 million and 31.7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2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The following table sets forth the computation of basic and diluted earnings per share for the three years ended December 31, 2017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w w:val="83"/>
              </w:rPr>
              <w:t>2016</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w w:val="83"/>
              </w:rPr>
              <w:t>2015</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7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Numerator:</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20"/>
              <w:spacing w:after="0" w:line="162" w:lineRule="exact"/>
              <w:rPr>
                <w:sz w:val="20"/>
                <w:szCs w:val="20"/>
                <w:color w:val="auto"/>
              </w:rPr>
            </w:pPr>
            <w:r>
              <w:rPr>
                <w:rFonts w:ascii="Arial" w:cs="Arial" w:eastAsia="Arial" w:hAnsi="Arial"/>
                <w:sz w:val="15"/>
                <w:szCs w:val="15"/>
                <w:color w:val="auto"/>
              </w:rPr>
              <w:t>Net income</w:t>
            </w:r>
          </w:p>
        </w:tc>
        <w:tc>
          <w:tcPr>
            <w:tcW w:w="26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10,004</w:t>
            </w:r>
          </w:p>
        </w:tc>
        <w:tc>
          <w:tcPr>
            <w:tcW w:w="260" w:type="dxa"/>
            <w:vAlign w:val="bottom"/>
          </w:tcPr>
          <w:p>
            <w:pPr>
              <w:spacing w:after="0"/>
              <w:rPr>
                <w:sz w:val="14"/>
                <w:szCs w:val="14"/>
                <w:color w:val="auto"/>
              </w:rPr>
            </w:pPr>
          </w:p>
        </w:tc>
        <w:tc>
          <w:tcPr>
            <w:tcW w:w="340" w:type="dxa"/>
            <w:vAlign w:val="bottom"/>
          </w:tcPr>
          <w:p>
            <w:pPr>
              <w:jc w:val="right"/>
              <w:ind w:right="183"/>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3,755</w:t>
            </w:r>
          </w:p>
        </w:tc>
        <w:tc>
          <w:tcPr>
            <w:tcW w:w="4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8,621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Denominator:</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20"/>
              <w:spacing w:after="0" w:line="162" w:lineRule="exact"/>
              <w:rPr>
                <w:sz w:val="20"/>
                <w:szCs w:val="20"/>
                <w:color w:val="auto"/>
              </w:rPr>
            </w:pPr>
            <w:r>
              <w:rPr>
                <w:rFonts w:ascii="Arial" w:cs="Arial" w:eastAsia="Arial" w:hAnsi="Arial"/>
                <w:sz w:val="15"/>
                <w:szCs w:val="15"/>
                <w:color w:val="auto"/>
              </w:rPr>
              <w:t>Weighted-average shares outstanding</w:t>
            </w:r>
          </w:p>
        </w:tc>
        <w:tc>
          <w:tcPr>
            <w:tcW w:w="260" w:type="dxa"/>
            <w:vAlign w:val="bottom"/>
          </w:tcPr>
          <w:p>
            <w:pPr>
              <w:spacing w:after="0"/>
              <w:rPr>
                <w:sz w:val="14"/>
                <w:szCs w:val="14"/>
                <w:color w:val="auto"/>
              </w:rPr>
            </w:pPr>
          </w:p>
        </w:tc>
        <w:tc>
          <w:tcPr>
            <w:tcW w:w="8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31,861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31,721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30,057</w:t>
            </w: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Effect of dilutive shares</w:t>
            </w:r>
          </w:p>
        </w:tc>
        <w:tc>
          <w:tcPr>
            <w:tcW w:w="2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335</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347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320"/>
              <w:spacing w:after="0"/>
              <w:rPr>
                <w:sz w:val="20"/>
                <w:szCs w:val="20"/>
                <w:color w:val="auto"/>
              </w:rPr>
            </w:pPr>
            <w:r>
              <w:rPr>
                <w:rFonts w:ascii="Arial" w:cs="Arial" w:eastAsia="Arial" w:hAnsi="Arial"/>
                <w:sz w:val="15"/>
                <w:szCs w:val="15"/>
                <w:color w:val="auto"/>
              </w:rPr>
              <w:t>Weighted-average diluted shares</w:t>
            </w: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32,196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32,068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30,436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Basic earnings per share</w:t>
            </w:r>
          </w:p>
        </w:tc>
        <w:tc>
          <w:tcPr>
            <w:tcW w:w="26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0.31</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0.12</w:t>
            </w:r>
          </w:p>
        </w:tc>
        <w:tc>
          <w:tcPr>
            <w:tcW w:w="4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320"/>
              <w:spacing w:after="0"/>
              <w:rPr>
                <w:sz w:val="20"/>
                <w:szCs w:val="20"/>
                <w:color w:val="auto"/>
              </w:rPr>
            </w:pPr>
            <w:r>
              <w:rPr>
                <w:rFonts w:ascii="Arial" w:cs="Arial" w:eastAsia="Arial" w:hAnsi="Arial"/>
                <w:sz w:val="15"/>
                <w:szCs w:val="15"/>
                <w:color w:val="auto"/>
              </w:rPr>
              <w:t>Diluted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vMerge w:val="continue"/>
          </w:tcPr>
          <w:p>
            <w:pPr>
              <w:spacing w:after="0"/>
              <w:rPr>
                <w:sz w:val="13"/>
                <w:szCs w:val="13"/>
                <w:color w:val="auto"/>
              </w:rPr>
            </w:pPr>
          </w:p>
        </w:tc>
        <w:tc>
          <w:tcPr>
            <w:tcW w:w="260" w:type="dxa"/>
            <w:vAlign w:val="bottom"/>
          </w:tcPr>
          <w:p>
            <w:pPr>
              <w:jc w:val="right"/>
              <w:ind w:right="103"/>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spacing w:after="0" w:line="156" w:lineRule="exact"/>
              <w:rPr>
                <w:sz w:val="20"/>
                <w:szCs w:val="20"/>
                <w:color w:val="auto"/>
              </w:rPr>
            </w:pPr>
            <w:r>
              <w:rPr>
                <w:rFonts w:ascii="Arial" w:cs="Arial" w:eastAsia="Arial" w:hAnsi="Arial"/>
                <w:sz w:val="15"/>
                <w:szCs w:val="15"/>
                <w:color w:val="auto"/>
              </w:rPr>
              <w:t>0.31</w:t>
            </w:r>
          </w:p>
        </w:tc>
        <w:tc>
          <w:tcPr>
            <w:tcW w:w="260" w:type="dxa"/>
            <w:vAlign w:val="bottom"/>
          </w:tcPr>
          <w:p>
            <w:pPr>
              <w:spacing w:after="0"/>
              <w:rPr>
                <w:sz w:val="13"/>
                <w:szCs w:val="13"/>
                <w:color w:val="auto"/>
              </w:rPr>
            </w:pPr>
          </w:p>
        </w:tc>
        <w:tc>
          <w:tcPr>
            <w:tcW w:w="340" w:type="dxa"/>
            <w:vAlign w:val="bottom"/>
          </w:tcPr>
          <w:p>
            <w:pPr>
              <w:jc w:val="right"/>
              <w:ind w:right="183"/>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140"/>
              <w:spacing w:after="0" w:line="156" w:lineRule="exact"/>
              <w:rPr>
                <w:sz w:val="20"/>
                <w:szCs w:val="20"/>
                <w:color w:val="auto"/>
              </w:rPr>
            </w:pPr>
            <w:r>
              <w:rPr>
                <w:rFonts w:ascii="Arial" w:cs="Arial" w:eastAsia="Arial" w:hAnsi="Arial"/>
                <w:sz w:val="15"/>
                <w:szCs w:val="15"/>
                <w:color w:val="auto"/>
              </w:rPr>
              <w:t>0.12</w:t>
            </w:r>
          </w:p>
        </w:tc>
        <w:tc>
          <w:tcPr>
            <w:tcW w:w="460" w:type="dxa"/>
            <w:vAlign w:val="bottom"/>
            <w:gridSpan w:val="2"/>
          </w:tcPr>
          <w:p>
            <w:pPr>
              <w:jc w:val="right"/>
              <w:ind w:right="260"/>
              <w:spacing w:after="0" w:line="156" w:lineRule="exact"/>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60"/>
              <w:spacing w:after="0" w:line="156" w:lineRule="exact"/>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Potentially dilutive shares representing approximately 58,000, 38,000, and 16,000 shares of common stock for the years ended December 31, 2017, 2016, and 2015, respectively, were excluded from the calculation of diluted earnings per share because their effect would have been anti-dilutive.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2017 and 2016, the fair value of marketable securities, which were all classified as available for sale, included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December 31, 2017</w:t>
            </w:r>
          </w:p>
        </w:tc>
        <w:tc>
          <w:tcPr>
            <w:tcW w:w="4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6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2"/>
          </w:tcPr>
          <w:p>
            <w:pPr>
              <w:jc w:val="center"/>
              <w:ind w:left="23"/>
              <w:spacing w:after="0" w:line="96" w:lineRule="exact"/>
              <w:rPr>
                <w:sz w:val="20"/>
                <w:szCs w:val="20"/>
                <w:color w:val="auto"/>
              </w:rPr>
            </w:pPr>
            <w:r>
              <w:rPr>
                <w:rFonts w:ascii="Arial" w:cs="Arial" w:eastAsia="Arial" w:hAnsi="Arial"/>
                <w:sz w:val="11"/>
                <w:szCs w:val="11"/>
                <w:color w:val="auto"/>
              </w:rPr>
              <w:t>Unrealized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right"/>
              <w:ind w:right="300"/>
              <w:spacing w:after="0" w:line="96" w:lineRule="exact"/>
              <w:rPr>
                <w:sz w:val="20"/>
                <w:szCs w:val="20"/>
                <w:color w:val="auto"/>
              </w:rPr>
            </w:pPr>
            <w:r>
              <w:rPr>
                <w:rFonts w:ascii="Arial" w:cs="Arial" w:eastAsia="Arial" w:hAnsi="Arial"/>
                <w:sz w:val="11"/>
                <w:szCs w:val="11"/>
                <w:color w:val="auto"/>
              </w:rPr>
              <w:t>Unrealized</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9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Adjusted Cost</w:t>
            </w:r>
          </w:p>
        </w:tc>
        <w:tc>
          <w:tcPr>
            <w:tcW w:w="760" w:type="dxa"/>
            <w:vAlign w:val="bottom"/>
            <w:gridSpan w:val="2"/>
          </w:tcPr>
          <w:p>
            <w:pPr>
              <w:jc w:val="center"/>
              <w:ind w:left="43"/>
              <w:spacing w:after="0"/>
              <w:rPr>
                <w:sz w:val="20"/>
                <w:szCs w:val="20"/>
                <w:color w:val="auto"/>
              </w:rPr>
            </w:pPr>
            <w:r>
              <w:rPr>
                <w:rFonts w:ascii="Arial" w:cs="Arial" w:eastAsia="Arial" w:hAnsi="Arial"/>
                <w:sz w:val="14"/>
                <w:szCs w:val="14"/>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142"/>
        </w:trPr>
        <w:tc>
          <w:tcPr>
            <w:tcW w:w="6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Level 2:</w:t>
            </w:r>
          </w:p>
        </w:tc>
        <w:tc>
          <w:tcPr>
            <w:tcW w:w="2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40" w:type="dxa"/>
            <w:vAlign w:val="bottom"/>
          </w:tcPr>
          <w:p>
            <w:pPr>
              <w:ind w:left="320"/>
              <w:spacing w:after="0" w:line="162" w:lineRule="exact"/>
              <w:rPr>
                <w:sz w:val="20"/>
                <w:szCs w:val="20"/>
                <w:color w:val="auto"/>
              </w:rPr>
            </w:pPr>
            <w:r>
              <w:rPr>
                <w:rFonts w:ascii="Arial" w:cs="Arial" w:eastAsia="Arial" w:hAnsi="Arial"/>
                <w:sz w:val="15"/>
                <w:szCs w:val="15"/>
                <w:color w:val="auto"/>
              </w:rPr>
              <w:t>Corporate debt securities</w:t>
            </w:r>
          </w:p>
        </w:tc>
        <w:tc>
          <w:tcPr>
            <w:tcW w:w="2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41,900</w:t>
            </w:r>
          </w:p>
        </w:tc>
        <w:tc>
          <w:tcPr>
            <w:tcW w:w="260" w:type="dxa"/>
            <w:vAlign w:val="bottom"/>
          </w:tcPr>
          <w:p>
            <w:pPr>
              <w:spacing w:after="0"/>
              <w:rPr>
                <w:sz w:val="14"/>
                <w:szCs w:val="14"/>
                <w:color w:val="auto"/>
              </w:rPr>
            </w:pPr>
          </w:p>
        </w:tc>
        <w:tc>
          <w:tcPr>
            <w:tcW w:w="500" w:type="dxa"/>
            <w:vAlign w:val="bottom"/>
          </w:tcPr>
          <w:p>
            <w:pPr>
              <w:jc w:val="right"/>
              <w:ind w:right="383"/>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2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5"/>
              </w:rPr>
              <w:t>1</w:t>
            </w:r>
          </w:p>
        </w:tc>
        <w:tc>
          <w:tcPr>
            <w:tcW w:w="2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(39)</w:t>
            </w:r>
          </w:p>
        </w:tc>
        <w:tc>
          <w:tcPr>
            <w:tcW w:w="2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41,862</w:t>
            </w:r>
          </w:p>
        </w:tc>
        <w:tc>
          <w:tcPr>
            <w:tcW w:w="0" w:type="dxa"/>
            <w:vAlign w:val="bottom"/>
          </w:tcPr>
          <w:p>
            <w:pPr>
              <w:spacing w:after="0"/>
              <w:rPr>
                <w:sz w:val="1"/>
                <w:szCs w:val="1"/>
                <w:color w:val="auto"/>
              </w:rPr>
            </w:pPr>
          </w:p>
        </w:tc>
      </w:tr>
      <w:tr>
        <w:trPr>
          <w:trHeight w:val="162"/>
        </w:trPr>
        <w:tc>
          <w:tcPr>
            <w:tcW w:w="694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Government-sponsored enterprise debt securities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4,488</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4,488</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46,388</w:t>
            </w:r>
          </w:p>
        </w:tc>
        <w:tc>
          <w:tcPr>
            <w:tcW w:w="260" w:type="dxa"/>
            <w:vAlign w:val="bottom"/>
          </w:tcPr>
          <w:p>
            <w:pPr>
              <w:spacing w:after="0"/>
              <w:rPr>
                <w:sz w:val="14"/>
                <w:szCs w:val="14"/>
                <w:color w:val="auto"/>
              </w:rPr>
            </w:pPr>
          </w:p>
        </w:tc>
        <w:tc>
          <w:tcPr>
            <w:tcW w:w="500" w:type="dxa"/>
            <w:vAlign w:val="bottom"/>
          </w:tcPr>
          <w:p>
            <w:pPr>
              <w:jc w:val="right"/>
              <w:ind w:right="383"/>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2</w:t>
            </w:r>
          </w:p>
        </w:tc>
        <w:tc>
          <w:tcPr>
            <w:tcW w:w="120" w:type="dxa"/>
            <w:vAlign w:val="bottom"/>
          </w:tcPr>
          <w:p>
            <w:pPr>
              <w:spacing w:after="0"/>
              <w:rPr>
                <w:sz w:val="14"/>
                <w:szCs w:val="14"/>
                <w:color w:val="auto"/>
              </w:rPr>
            </w:pP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(40)</w:t>
            </w: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46,350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December 31, 2016</w:t>
            </w:r>
          </w:p>
        </w:tc>
        <w:tc>
          <w:tcPr>
            <w:tcW w:w="4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6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2"/>
          </w:tcPr>
          <w:p>
            <w:pPr>
              <w:jc w:val="center"/>
              <w:ind w:left="23"/>
              <w:spacing w:after="0" w:line="96" w:lineRule="exact"/>
              <w:rPr>
                <w:sz w:val="20"/>
                <w:szCs w:val="20"/>
                <w:color w:val="auto"/>
              </w:rPr>
            </w:pPr>
            <w:r>
              <w:rPr>
                <w:rFonts w:ascii="Arial" w:cs="Arial" w:eastAsia="Arial" w:hAnsi="Arial"/>
                <w:sz w:val="11"/>
                <w:szCs w:val="11"/>
                <w:color w:val="auto"/>
              </w:rPr>
              <w:t>Unrealized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right"/>
              <w:ind w:right="300"/>
              <w:spacing w:after="0" w:line="96" w:lineRule="exact"/>
              <w:rPr>
                <w:sz w:val="20"/>
                <w:szCs w:val="20"/>
                <w:color w:val="auto"/>
              </w:rPr>
            </w:pPr>
            <w:r>
              <w:rPr>
                <w:rFonts w:ascii="Arial" w:cs="Arial" w:eastAsia="Arial" w:hAnsi="Arial"/>
                <w:sz w:val="11"/>
                <w:szCs w:val="11"/>
                <w:color w:val="auto"/>
              </w:rPr>
              <w:t>Unrealized</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9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Adjusted Cost</w:t>
            </w:r>
          </w:p>
        </w:tc>
        <w:tc>
          <w:tcPr>
            <w:tcW w:w="760" w:type="dxa"/>
            <w:vAlign w:val="bottom"/>
            <w:gridSpan w:val="2"/>
          </w:tcPr>
          <w:p>
            <w:pPr>
              <w:jc w:val="center"/>
              <w:ind w:left="43"/>
              <w:spacing w:after="0"/>
              <w:rPr>
                <w:sz w:val="20"/>
                <w:szCs w:val="20"/>
                <w:color w:val="auto"/>
              </w:rPr>
            </w:pPr>
            <w:r>
              <w:rPr>
                <w:rFonts w:ascii="Arial" w:cs="Arial" w:eastAsia="Arial" w:hAnsi="Arial"/>
                <w:sz w:val="14"/>
                <w:szCs w:val="14"/>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142"/>
        </w:trPr>
        <w:tc>
          <w:tcPr>
            <w:tcW w:w="6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Level 2:</w:t>
            </w:r>
          </w:p>
        </w:tc>
        <w:tc>
          <w:tcPr>
            <w:tcW w:w="2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40" w:type="dxa"/>
            <w:vAlign w:val="bottom"/>
          </w:tcPr>
          <w:p>
            <w:pPr>
              <w:ind w:left="320"/>
              <w:spacing w:after="0" w:line="162" w:lineRule="exact"/>
              <w:rPr>
                <w:sz w:val="20"/>
                <w:szCs w:val="20"/>
                <w:color w:val="auto"/>
              </w:rPr>
            </w:pPr>
            <w:r>
              <w:rPr>
                <w:rFonts w:ascii="Arial" w:cs="Arial" w:eastAsia="Arial" w:hAnsi="Arial"/>
                <w:sz w:val="15"/>
                <w:szCs w:val="15"/>
                <w:color w:val="auto"/>
              </w:rPr>
              <w:t>Corporate debt securities</w:t>
            </w:r>
          </w:p>
        </w:tc>
        <w:tc>
          <w:tcPr>
            <w:tcW w:w="2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44,486</w:t>
            </w:r>
          </w:p>
        </w:tc>
        <w:tc>
          <w:tcPr>
            <w:tcW w:w="260" w:type="dxa"/>
            <w:vAlign w:val="bottom"/>
          </w:tcPr>
          <w:p>
            <w:pPr>
              <w:spacing w:after="0"/>
              <w:rPr>
                <w:sz w:val="14"/>
                <w:szCs w:val="14"/>
                <w:color w:val="auto"/>
              </w:rPr>
            </w:pPr>
          </w:p>
        </w:tc>
        <w:tc>
          <w:tcPr>
            <w:tcW w:w="500" w:type="dxa"/>
            <w:vAlign w:val="bottom"/>
          </w:tcPr>
          <w:p>
            <w:pPr>
              <w:jc w:val="right"/>
              <w:ind w:right="383"/>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2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(50)</w:t>
            </w:r>
          </w:p>
        </w:tc>
        <w:tc>
          <w:tcPr>
            <w:tcW w:w="2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44,436</w:t>
            </w:r>
          </w:p>
        </w:tc>
        <w:tc>
          <w:tcPr>
            <w:tcW w:w="0" w:type="dxa"/>
            <w:vAlign w:val="bottom"/>
          </w:tcPr>
          <w:p>
            <w:pPr>
              <w:spacing w:after="0"/>
              <w:rPr>
                <w:sz w:val="1"/>
                <w:szCs w:val="1"/>
                <w:color w:val="auto"/>
              </w:rPr>
            </w:pPr>
          </w:p>
        </w:tc>
      </w:tr>
      <w:tr>
        <w:trPr>
          <w:trHeight w:val="162"/>
        </w:trPr>
        <w:tc>
          <w:tcPr>
            <w:tcW w:w="694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Government-sponsored enterprise debt securities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9,105</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9,104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53,591</w:t>
            </w:r>
          </w:p>
        </w:tc>
        <w:tc>
          <w:tcPr>
            <w:tcW w:w="260" w:type="dxa"/>
            <w:vAlign w:val="bottom"/>
          </w:tcPr>
          <w:p>
            <w:pPr>
              <w:spacing w:after="0"/>
              <w:rPr>
                <w:sz w:val="14"/>
                <w:szCs w:val="14"/>
                <w:color w:val="auto"/>
              </w:rPr>
            </w:pPr>
          </w:p>
        </w:tc>
        <w:tc>
          <w:tcPr>
            <w:tcW w:w="500" w:type="dxa"/>
            <w:vAlign w:val="bottom"/>
          </w:tcPr>
          <w:p>
            <w:pPr>
              <w:jc w:val="right"/>
              <w:ind w:right="383"/>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1</w:t>
            </w:r>
          </w:p>
        </w:tc>
        <w:tc>
          <w:tcPr>
            <w:tcW w:w="120" w:type="dxa"/>
            <w:vAlign w:val="bottom"/>
          </w:tcPr>
          <w:p>
            <w:pPr>
              <w:spacing w:after="0"/>
              <w:rPr>
                <w:sz w:val="14"/>
                <w:szCs w:val="14"/>
                <w:color w:val="auto"/>
              </w:rPr>
            </w:pP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(52)</w:t>
            </w: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53,540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carrying amounts of the marketable securities reported in the consolidated balance sheets approximate fair value based on quoted market prices or alternative pricing sources and models utilizing market observable inputs. As of December 31, 2017, the Company does not consider any of its marketable securities to be other than temporarily impaired. During the years ended December 31, 2017 and 2016,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Morrisey Associates, Inc.</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August 8, 2016, Echo, Inc. (“Echo”), a wholly owned subsidiary of the Company, acquired all of the outstanding stock of Morrisey Associates, Inc. (“MAI”), a Chicago, Illinois based company that provides credentialing and privileging software to healthcare organizations. The acquisition of MAI allows the Company to expand its credentialing and privileging product offerings and solutions to healthcare organizations. The consideration paid for MAI consisted of approximately $48.0 million in cash, which the Company funded with cash on hand, and was not subject to any post-closing working capital or similar adjustment. The Company incurred approximately $953,000 in transaction costs, all of which were incurred during the year ended December 31, 2016. The transaction costs were recorded in other general and administrative expenses in the consolidated statements of income. The results of operations for MAI have been included in the Company’s consolidated financial statements from the date of acquisition and are also included in the HealthStream Provider Solutions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gridSpan w:val="3"/>
          </w:tcPr>
          <w:p>
            <w:pPr>
              <w:spacing w:after="0"/>
              <w:rPr>
                <w:sz w:val="20"/>
                <w:szCs w:val="20"/>
                <w:color w:val="auto"/>
              </w:rPr>
            </w:pPr>
            <w:r>
              <w:rPr>
                <w:rFonts w:ascii="Arial" w:cs="Arial" w:eastAsia="Arial" w:hAnsi="Arial"/>
                <w:sz w:val="17"/>
                <w:szCs w:val="17"/>
                <w:color w:val="auto"/>
              </w:rPr>
              <w:t>A summary of the purchase price is as follows (in thousands):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220" w:type="dxa"/>
            <w:vAlign w:val="bottom"/>
            <w:vMerge w:val="restart"/>
          </w:tcPr>
          <w:p>
            <w:pPr>
              <w:spacing w:after="0"/>
              <w:rPr>
                <w:sz w:val="21"/>
                <w:szCs w:val="21"/>
                <w:color w:val="auto"/>
              </w:rPr>
            </w:pPr>
          </w:p>
        </w:tc>
        <w:tc>
          <w:tcPr>
            <w:tcW w:w="9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Cash paid at closing</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7"/>
                <w:szCs w:val="17"/>
                <w:color w:val="auto"/>
              </w:rPr>
              <w:t>Cash held in escrow</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consideration paid</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
        </w:trPr>
        <w:tc>
          <w:tcPr>
            <w:tcW w:w="9720" w:type="dxa"/>
            <w:vAlign w:val="bottom"/>
            <w:gridSpan w:val="3"/>
            <w:vMerge w:val="restart"/>
          </w:tcPr>
          <w:p>
            <w:pPr>
              <w:spacing w:after="0"/>
              <w:rPr>
                <w:sz w:val="20"/>
                <w:szCs w:val="20"/>
                <w:color w:val="auto"/>
              </w:rPr>
            </w:pPr>
            <w:r>
              <w:rPr>
                <w:rFonts w:ascii="Arial" w:cs="Arial" w:eastAsia="Arial" w:hAnsi="Arial"/>
                <w:sz w:val="17"/>
                <w:szCs w:val="17"/>
                <w:color w:val="auto"/>
                <w:w w:val="95"/>
              </w:rPr>
              <w:t>The following table summarizes the fair value of the assets acquired and liabilities assumed as of the date of acquisition (in thousands):</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7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97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Prepaid royalties and other prepaid assets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Intangible assets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27,400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assets acquired</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excess purchase price over the fair values of net tangible and intangible assets was recorded as goodwill. The fair values of tangible and identifiable intangible assets, deferred revenue, and other liabilities assumed were based on management’s estimates and assumptions. The goodwill balance was primarily attributed to the assembled workforce, additional market opportunities from offering MAI’s products, and expected synergies from integrating MAI with other products or other combined functional areas within the Company. During the three months ended September 30, 2017, the Company determined that a portion of the acquired accounts receivable required an adjustment to net realizable value and a portion of the assumed liabilities would not be satisfied and therefore recorded a measurement period adjustment, which on a net basis, increased goodwill by approximately $533,000. The measurement period adjustment has no effect on current period or prior period earnings. The goodwill balance, including the measurement period adjustment, is deductible for U.S. income tax purposes. The net tangible assets include deferred revenue, which was adjusted down from a book value at the acquisition date of $8.3 million to an estimated fair value of $3.7 million. The $4.6 million write-down of deferred revenue will result in lower revenues than would have otherwise been recognized for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7"/>
                <w:szCs w:val="17"/>
                <w:b w:val="1"/>
                <w:bCs w:val="1"/>
                <w:color w:val="auto"/>
                <w:w w:val="90"/>
              </w:rPr>
              <w:t>Fair value</w:t>
            </w:r>
          </w:p>
        </w:tc>
        <w:tc>
          <w:tcPr>
            <w:tcW w:w="58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7"/>
                <w:szCs w:val="17"/>
                <w:b w:val="1"/>
                <w:bCs w:val="1"/>
                <w:color w:val="auto"/>
                <w:w w:val="95"/>
              </w:rPr>
              <w:t>Useful life</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21,400</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spacing w:after="0"/>
              <w:rPr>
                <w:sz w:val="20"/>
                <w:szCs w:val="20"/>
                <w:color w:val="auto"/>
              </w:rPr>
            </w:pPr>
            <w:r>
              <w:rPr>
                <w:rFonts w:ascii="Arial" w:cs="Arial" w:eastAsia="Arial" w:hAnsi="Arial"/>
                <w:sz w:val="17"/>
                <w:szCs w:val="17"/>
                <w:color w:val="auto"/>
              </w:rPr>
              <w:t>Developed technology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5,400</w:t>
            </w:r>
          </w:p>
        </w:tc>
        <w:tc>
          <w:tcPr>
            <w:tcW w:w="5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 years</w:t>
            </w:r>
          </w:p>
        </w:tc>
        <w:tc>
          <w:tcPr>
            <w:tcW w:w="0" w:type="dxa"/>
            <w:vAlign w:val="bottom"/>
          </w:tcPr>
          <w:p>
            <w:pPr>
              <w:spacing w:after="0"/>
              <w:rPr>
                <w:sz w:val="1"/>
                <w:szCs w:val="1"/>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7"/>
                <w:szCs w:val="17"/>
                <w:color w:val="auto"/>
              </w:rPr>
              <w:t>Total intangible assets subject to amortization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27,400</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COMBINATIONS (continued)</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amounts of revenue and operating loss of MAI included in the Company’s consolidated statement of income from the date of acquisition of August 8, 2016 to the period ending December 31, 2016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6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50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50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(2,358)</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unaudited pro forma financial information summarizes the combined results of operations of the Company and MAI, which was significant for purposes of the unaudited pro forma financial information disclosure, as though the companies were combined as of January 1, 2016 (in thousands, except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Arial" w:cs="Arial" w:eastAsia="Arial" w:hAnsi="Arial"/>
                <w:sz w:val="17"/>
                <w:szCs w:val="17"/>
                <w:b w:val="1"/>
                <w:bCs w:val="1"/>
                <w:color w:val="auto"/>
                <w:w w:val="98"/>
              </w:rPr>
              <w:t>Year Ended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2017</w:t>
            </w:r>
          </w:p>
        </w:tc>
        <w:tc>
          <w:tcPr>
            <w:tcW w:w="40" w:type="dxa"/>
            <w:vAlign w:val="bottom"/>
          </w:tcPr>
          <w:p>
            <w:pPr>
              <w:spacing w:after="0"/>
              <w:rPr>
                <w:sz w:val="18"/>
                <w:szCs w:val="18"/>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88"/>
              </w:rPr>
              <w:t>December 31,</w:t>
            </w: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7"/>
                <w:szCs w:val="17"/>
                <w:b w:val="1"/>
                <w:bCs w:val="1"/>
                <w:color w:val="auto"/>
              </w:rPr>
              <w:t>2016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w w:val="84"/>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97"/>
              </w:rPr>
              <w:t>248,942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236,205</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10,958</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6,610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w w:val="84"/>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0.34</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7"/>
                <w:szCs w:val="17"/>
                <w:color w:val="auto"/>
              </w:rPr>
              <w:t>Diluted earnings per share</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0.34</w:t>
            </w:r>
          </w:p>
        </w:tc>
        <w:tc>
          <w:tcPr>
            <w:tcW w:w="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adjustment for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5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unaudited pro forma financial information for the years ended December 31, 2017 and 2016 combines the historical results of the Company and MAI for the years ended December 31, 2017 and 2016 and the pro forma adjustments listed above.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HealthLine Systems</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enabled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$90.5 million in cash (taking into account an estimated closing working capital adjustment and the payment of an incremental tax indemnification claim by the Company as noted below). The Company incurred approximately $1.3 million in transaction costs associated with the acquisition, of which $965,000 were incurred during the year ended December 31, 2015 and $329,000 were incurred during the year ended December 31, 2014. The transaction costs were recorded in other general and administrative expenses in the consolidated statements of income for such periods. The results of operations for HLS have been included in the Company’s consolidated financial statements from the date of acquisition, and are also included in the HealthStream Provider Solutions segment.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gridSpan w:val="2"/>
          </w:tcPr>
          <w:p>
            <w:pPr>
              <w:spacing w:after="0"/>
              <w:rPr>
                <w:sz w:val="20"/>
                <w:szCs w:val="20"/>
                <w:color w:val="auto"/>
              </w:rPr>
            </w:pPr>
            <w:r>
              <w:rPr>
                <w:rFonts w:ascii="Arial" w:cs="Arial" w:eastAsia="Arial" w:hAnsi="Arial"/>
                <w:sz w:val="17"/>
                <w:szCs w:val="17"/>
                <w:color w:val="auto"/>
              </w:rPr>
              <w:t>A summary of the purchase price is as follows (in thousands):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9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Cash paid</w:t>
            </w:r>
          </w:p>
        </w:tc>
        <w:tc>
          <w:tcPr>
            <w:tcW w:w="7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89,850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7"/>
                <w:szCs w:val="17"/>
                <w:color w:val="auto"/>
              </w:rPr>
              <w:t>Cash held in escrow</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679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consideration paid</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90,529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7"/>
                <w:szCs w:val="17"/>
                <w:color w:val="auto"/>
                <w:w w:val="96"/>
              </w:rPr>
              <w:t>The following table summarizes the fair value of the assets acquired and liabilities assumed as of the date of acquisition (in thousands):</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80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900" w:type="dxa"/>
            <w:vAlign w:val="bottom"/>
            <w:gridSpan w:val="3"/>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color w:val="auto"/>
              </w:rPr>
              <w:t>3,052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Prepaid assets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2,523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7"/>
                <w:szCs w:val="17"/>
                <w:color w:val="auto"/>
              </w:rPr>
              <w:t>Goodwill</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color w:val="auto"/>
              </w:rPr>
              <w:t>43,798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47,200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(5,979)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7"/>
                <w:szCs w:val="17"/>
                <w:color w:val="auto"/>
              </w:rPr>
              <w:t>Net assets acquired</w:t>
            </w:r>
          </w:p>
        </w:tc>
        <w:tc>
          <w:tcPr>
            <w:tcW w:w="74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90,309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COMBINATIONS (continued)</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total consideration paid does not equal the fair value of assets acquired and liabilities assumed due to the post measurement period adjustment discussed below. The excess of purchase price over the fair values of net tangible and intangible assets has been recorded as goodwill. The fair values of tangible and identifiable intangible assets, deferred tax assets, deferred revenue, and other liabilities are based on management’s estimates and assumptions. Included in the assets and liabilities assumed is an estimated indemnification asset of $300,000 and a contingent liability of $700,000, both of which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During the three months ended March 31, 2016, the Company received notice of an indemnification claim from the former owners of HLS pursuant to the terms of the membership interest purchase agreement. The terms of such agreement require the Company to indemnify such owners for incremental taxes incurred as the result of the structure of the acquisition, which had favorable tax aspects to the Company. The Company recorded a measurement period adjustment in relation to the claim that increased goodwill by approximately $2.2 million during the three months ended March 31, 2016. The additional goodwill is deductible for U.S. income tax purposes. The goodwill balance excluding such measurement period adjustment is also deductible for U.S. income tax purposes. During the three months ended September 30, 2016, the Company agreed to settle this indemnification claim for approximately $2.4 million in respect of such tax indemnification provision in the membership interest purchase agreement, a difference of approximately $200,000 from the $2.2 million measurement period adjustment. The Company surpassed the one year measurement period as of the period ended March 31, 2016; accordingly, in accordance with requisite accounting guidance, the $200,000 difference has been reflected as a charge against net income for the year ended December 31, 2016. The net tangible assets include deferred revenue, which was adjusted down from a book value at the acquisition date of $15.0 million to an estimated fair value of $6.0 million. The $9.0 million write-down of deferred revenue will result in lower revenues than would have otherwise been recognized for such services.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7"/>
                <w:szCs w:val="17"/>
                <w:b w:val="1"/>
                <w:bCs w:val="1"/>
                <w:color w:val="auto"/>
                <w:w w:val="90"/>
              </w:rPr>
              <w:t>Fair value</w:t>
            </w:r>
          </w:p>
        </w:tc>
        <w:tc>
          <w:tcPr>
            <w:tcW w:w="70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7"/>
                <w:szCs w:val="17"/>
                <w:b w:val="1"/>
                <w:bCs w:val="1"/>
                <w:color w:val="auto"/>
                <w:w w:val="95"/>
              </w:rPr>
              <w:t>Useful life</w:t>
            </w:r>
          </w:p>
        </w:tc>
      </w:tr>
      <w:tr>
        <w:trPr>
          <w:trHeight w:val="187"/>
        </w:trPr>
        <w:tc>
          <w:tcPr>
            <w:tcW w:w="904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Customer relationships</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42,600</w:t>
            </w: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13 years</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7"/>
                <w:szCs w:val="17"/>
                <w:color w:val="auto"/>
              </w:rPr>
              <w:t>Developed technology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3,700</w:t>
            </w:r>
          </w:p>
        </w:tc>
        <w:tc>
          <w:tcPr>
            <w:tcW w:w="7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 years</w:t>
            </w:r>
          </w:p>
        </w:tc>
      </w:tr>
      <w:tr>
        <w:trPr>
          <w:trHeight w:val="203"/>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Trade names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 years</w:t>
            </w:r>
          </w:p>
        </w:tc>
      </w:tr>
      <w:tr>
        <w:trPr>
          <w:trHeight w:val="210"/>
        </w:trPr>
        <w:tc>
          <w:tcPr>
            <w:tcW w:w="9040" w:type="dxa"/>
            <w:vAlign w:val="bottom"/>
          </w:tcPr>
          <w:p>
            <w:pPr>
              <w:spacing w:after="0"/>
              <w:rPr>
                <w:sz w:val="20"/>
                <w:szCs w:val="20"/>
                <w:color w:val="auto"/>
              </w:rPr>
            </w:pPr>
            <w:r>
              <w:rPr>
                <w:rFonts w:ascii="Arial" w:cs="Arial" w:eastAsia="Arial" w:hAnsi="Arial"/>
                <w:sz w:val="17"/>
                <w:szCs w:val="17"/>
                <w:color w:val="auto"/>
              </w:rPr>
              <w:t>Total intangible assets subject to amortization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47,200</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amounts of revenue and operating loss of HLS included in the Company’s consolidated statement of income from the date of acquisition of March 16, 2015 to the period ending December 31, 2015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7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$ 8,543</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78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780" w:type="dxa"/>
            <w:vAlign w:val="bottom"/>
            <w:vMerge w:val="continue"/>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(2,541</w:t>
            </w:r>
          </w:p>
        </w:tc>
        <w:tc>
          <w:tcPr>
            <w:tcW w:w="100" w:type="dxa"/>
            <w:vAlign w:val="bottom"/>
            <w:gridSpan w:val="2"/>
          </w:tcPr>
          <w:p>
            <w:pPr>
              <w:jc w:val="right"/>
              <w:ind w:right="60"/>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
        </w:trPr>
        <w:tc>
          <w:tcPr>
            <w:tcW w:w="10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2015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7"/>
                <w:szCs w:val="17"/>
                <w:b w:val="1"/>
                <w:bCs w:val="1"/>
                <w:color w:val="auto"/>
                <w:w w:val="96"/>
              </w:rPr>
              <w:t>Year Ended</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2016</w:t>
            </w:r>
          </w:p>
        </w:tc>
        <w:tc>
          <w:tcPr>
            <w:tcW w:w="1120" w:type="dxa"/>
            <w:vAlign w:val="bottom"/>
            <w:gridSpan w:val="6"/>
          </w:tcPr>
          <w:p>
            <w:pPr>
              <w:ind w:left="20"/>
              <w:spacing w:after="0"/>
              <w:rPr>
                <w:sz w:val="20"/>
                <w:szCs w:val="20"/>
                <w:color w:val="auto"/>
              </w:rPr>
            </w:pPr>
            <w:r>
              <w:rPr>
                <w:rFonts w:ascii="Arial" w:cs="Arial" w:eastAsia="Arial" w:hAnsi="Arial"/>
                <w:sz w:val="17"/>
                <w:szCs w:val="17"/>
                <w:b w:val="1"/>
                <w:bCs w:val="1"/>
                <w:color w:val="auto"/>
                <w:w w:val="95"/>
              </w:rPr>
              <w:t>December 31,</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7"/>
                <w:szCs w:val="17"/>
                <w:b w:val="1"/>
                <w:bCs w:val="1"/>
                <w:color w:val="auto"/>
                <w:w w:val="84"/>
              </w:rPr>
              <w:t>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28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000000"/>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80" w:type="dxa"/>
            <w:vAlign w:val="bottom"/>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gridSpan w:val="3"/>
            <w:shd w:val="clear" w:color="auto" w:fill="CCEEFF"/>
          </w:tcPr>
          <w:p>
            <w:pPr>
              <w:jc w:val="right"/>
              <w:spacing w:after="0" w:line="187" w:lineRule="exact"/>
              <w:rPr>
                <w:sz w:val="20"/>
                <w:szCs w:val="20"/>
                <w:color w:val="auto"/>
              </w:rPr>
            </w:pPr>
            <w:r>
              <w:rPr>
                <w:rFonts w:ascii="Arial" w:cs="Arial" w:eastAsia="Arial" w:hAnsi="Arial"/>
                <w:sz w:val="17"/>
                <w:szCs w:val="17"/>
                <w:color w:val="auto"/>
              </w:rPr>
              <w:t>227,834</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CCEEFF"/>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w w:val="91"/>
              </w:rPr>
              <w:t>219,108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4,924</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13,551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color w:val="auto"/>
              </w:rPr>
              <w:t>Diluted earnings per share</w:t>
            </w: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0.15</w:t>
            </w:r>
          </w:p>
        </w:tc>
        <w:tc>
          <w:tcPr>
            <w:tcW w:w="2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unaudited pro forma financial information for the years ended December 31, 2016 and 2015 combines the historical results of the Company and HLS for the years ended December 31, 2016 and 2015 and the pro forma adjustments listed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COMBINATIONS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 Combinations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June 30, 2016, the Company acquired all of the stock of Performance Management Services, Inc. (“PMSI”), a Company based in Tustin, California focused on competency-based performance development for nurses, for $4.0 million in cash and up to an additional $500,000 of contingent consideration. The acquisition, including associated transaction costs, is not considered material to the Company’s financial statements. The Company accounted for the acquisition as a business combination and has allocated the purchase consideration based on management’s estimates of fair value. The results of operations for PMSI are included in the Company’s consolidated financial statements from the date of acquisition and are included in the HealthStream Workforce Solutions segment.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July 25, 2016, the Company purchased all of the outstanding stock of Nursing Registry Consultants Corporation (“Nurse Competency”) not previously held by the Company for approximately $1.0 million in cash and up to an additional $75,000 in contingent consideration. Nurse Competency provides SaaS-based clinical assessment and testing products to the healthcare industry. The Company previously held a 32% minority equity interest in Nurse Competency and had accounted for such interest as an equity method investment. The fair value of the minority equity interest as of the July 25, 2016 acquisition date was approximately $484,000 and was determined in accordance with the fair value of the controlling interest acquired with consideration given to acquisition premiums, where applicable. The Company recorded a gain of approximately $225,000 to account for the difference between the noted acquisition date fair value of the minority equity interest and the carrying value as of such date. The gain is included in other income (expense), net in the consolidated statement of income for the year ended December 31, 2016. The Company accounted for the acquisition as a business combination and has allocated the purchase consideration based on management’s estimates of fair value. The results of operations for Nurse Competency are included in the Company’s consolidated financial statements from the date of acquisition and are included in the HealthStream Workforce Solutions segment.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8"/>
          </w:tcPr>
          <w:p>
            <w:pPr>
              <w:jc w:val="right"/>
              <w:ind w:right="5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9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Equipment</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3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26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20,885</w:t>
            </w:r>
          </w:p>
        </w:tc>
        <w:tc>
          <w:tcPr>
            <w:tcW w:w="0" w:type="dxa"/>
            <w:vAlign w:val="bottom"/>
          </w:tcPr>
          <w:p>
            <w:pPr>
              <w:spacing w:after="0"/>
              <w:rPr>
                <w:sz w:val="1"/>
                <w:szCs w:val="1"/>
                <w:color w:val="auto"/>
              </w:rPr>
            </w:pPr>
          </w:p>
        </w:tc>
      </w:tr>
      <w:tr>
        <w:trPr>
          <w:trHeight w:val="203"/>
        </w:trPr>
        <w:tc>
          <w:tcPr>
            <w:tcW w:w="93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5,291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5,025</w:t>
            </w: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6"/>
                <w:szCs w:val="16"/>
                <w:color w:val="auto"/>
              </w:rPr>
              <w:t>Gross property and equipment</w:t>
            </w: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34,854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30,772</w:t>
            </w:r>
          </w:p>
        </w:tc>
        <w:tc>
          <w:tcPr>
            <w:tcW w:w="0" w:type="dxa"/>
            <w:vAlign w:val="bottom"/>
          </w:tcPr>
          <w:p>
            <w:pPr>
              <w:spacing w:after="0"/>
              <w:rPr>
                <w:sz w:val="1"/>
                <w:szCs w:val="1"/>
                <w:color w:val="auto"/>
              </w:rPr>
            </w:pPr>
          </w:p>
        </w:tc>
      </w:tr>
      <w:tr>
        <w:trPr>
          <w:trHeight w:val="209"/>
        </w:trPr>
        <w:tc>
          <w:tcPr>
            <w:tcW w:w="93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 and amortization</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(25,862)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(20,527)</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4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36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8,992</w:t>
            </w:r>
          </w:p>
        </w:tc>
        <w:tc>
          <w:tcPr>
            <w:tcW w:w="2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10,245</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Depreciation of property and equipment totaled approximately $6.6 million, $6.8 million, and $5.3 million for the years ended December 31, 2017, 2016, and 2015,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for the years ended December 31, 2017 and 2016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Patient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auto"/>
              </w:rPr>
              <w:t>Workforce</w:t>
            </w: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Experience</w:t>
            </w: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Provider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Balance at January 1, 2017</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16,381</w:t>
            </w:r>
          </w:p>
        </w:tc>
        <w:tc>
          <w:tcPr>
            <w:tcW w:w="2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24,154</w:t>
            </w:r>
          </w:p>
        </w:tc>
        <w:tc>
          <w:tcPr>
            <w:tcW w:w="1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69,230</w:t>
            </w:r>
          </w:p>
        </w:tc>
        <w:tc>
          <w:tcPr>
            <w:tcW w:w="500" w:type="dxa"/>
            <w:vAlign w:val="bottom"/>
            <w:gridSpan w:val="2"/>
            <w:vMerge w:val="continue"/>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109,765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Acquisition of Morrisey Associates, Inc.</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1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16,381</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69,763</w:t>
            </w: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110,298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Patient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auto"/>
              </w:rPr>
              <w:t>Workforce</w:t>
            </w: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Experience</w:t>
            </w:r>
          </w:p>
        </w:tc>
        <w:tc>
          <w:tcPr>
            <w:tcW w:w="120" w:type="dxa"/>
            <w:vAlign w:val="bottom"/>
          </w:tcPr>
          <w:p>
            <w:pPr>
              <w:spacing w:after="0"/>
              <w:rPr>
                <w:sz w:val="18"/>
                <w:szCs w:val="18"/>
                <w:color w:val="auto"/>
              </w:rPr>
            </w:pPr>
          </w:p>
        </w:tc>
        <w:tc>
          <w:tcPr>
            <w:tcW w:w="820" w:type="dxa"/>
            <w:vAlign w:val="bottom"/>
            <w:gridSpan w:val="4"/>
          </w:tcPr>
          <w:p>
            <w:pPr>
              <w:ind w:left="40"/>
              <w:spacing w:after="0"/>
              <w:rPr>
                <w:sz w:val="20"/>
                <w:szCs w:val="20"/>
                <w:color w:val="auto"/>
              </w:rPr>
            </w:pPr>
            <w:r>
              <w:rPr>
                <w:rFonts w:ascii="Arial" w:cs="Arial" w:eastAsia="Arial" w:hAnsi="Arial"/>
                <w:sz w:val="16"/>
                <w:szCs w:val="16"/>
                <w:b w:val="1"/>
                <w:bCs w:val="1"/>
                <w:color w:val="auto"/>
              </w:rPr>
              <w:t>Provider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Balance at January 1, 2016</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12,336</w:t>
            </w:r>
          </w:p>
        </w:tc>
        <w:tc>
          <w:tcPr>
            <w:tcW w:w="2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24,154</w:t>
            </w:r>
          </w:p>
        </w:tc>
        <w:tc>
          <w:tcPr>
            <w:tcW w:w="1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46,583</w:t>
            </w:r>
          </w:p>
        </w:tc>
        <w:tc>
          <w:tcPr>
            <w:tcW w:w="1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83,073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Acquisition of HealthLine Systems, LLC.</w:t>
            </w:r>
          </w:p>
        </w:tc>
        <w:tc>
          <w:tcPr>
            <w:tcW w:w="18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Acquisition of Morrisey Associates, Inc.</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Other business combinations</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4,045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4,045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16,381</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109,765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During the three months ended September 30, 2017, the Company recorded approximately $533,000 of additional goodwill in relation to the August 2016 acquisition of Morrisey Associates, Inc. Such amount relates to the measurement period adjustment previously mentioned in Note 5 under the caption “</w:t>
      </w:r>
      <w:r>
        <w:rPr>
          <w:rFonts w:ascii="Arial" w:cs="Arial" w:eastAsia="Arial" w:hAnsi="Arial"/>
          <w:sz w:val="15"/>
          <w:szCs w:val="15"/>
          <w:i w:val="1"/>
          <w:iCs w:val="1"/>
          <w:color w:val="auto"/>
        </w:rPr>
        <w:t>Morrisey Associates, Inc.</w:t>
      </w:r>
      <w:r>
        <w:rPr>
          <w:rFonts w:ascii="Arial" w:cs="Arial" w:eastAsia="Arial" w:hAnsi="Arial"/>
          <w:sz w:val="15"/>
          <w:szCs w:val="15"/>
          <w:color w:val="auto"/>
        </w:rPr>
        <w: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INTANGIBLE ASSETS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Intangible assets other than goodwill are considered to have finite useful lives. Customer-related intangibles include customer relationships and are amortized over their estimated useful lives ranging from five to thirteen years. Other intangible assets include non-competition agreements, technology and patents, and trade names and are amortized over their estimated useful lives ranging from three to nine years. Amounts presented below as of December 31, 2017 and December 31, 2016 are inclusive of identifiable intangible assets recorded in relation to our acquisitions of Morrisey Associates, Inc. and HealthLine Systems, LLC, as well as other business combinations (see Note 5 – Business Combinations). Amortization of intangible assets was approximately $9.5 million, $7.8 million, and $5.6 million for the years ended December 31, 2017, 2016, and 2015,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comprised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8"/>
          </w:tcPr>
          <w:p>
            <w:pPr>
              <w:spacing w:after="0"/>
              <w:rPr>
                <w:sz w:val="20"/>
                <w:szCs w:val="20"/>
                <w:color w:val="auto"/>
              </w:rPr>
            </w:pPr>
            <w:r>
              <w:rPr>
                <w:rFonts w:ascii="Arial" w:cs="Arial" w:eastAsia="Arial" w:hAnsi="Arial"/>
                <w:sz w:val="16"/>
                <w:szCs w:val="16"/>
                <w:b w:val="1"/>
                <w:bCs w:val="1"/>
                <w:color w:val="auto"/>
                <w:w w:val="94"/>
              </w:rPr>
              <w:t>As of December 31, 2017</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9"/>
          </w:tcPr>
          <w:p>
            <w:pPr>
              <w:jc w:val="center"/>
              <w:ind w:left="279"/>
              <w:spacing w:after="0"/>
              <w:rPr>
                <w:sz w:val="20"/>
                <w:szCs w:val="20"/>
                <w:color w:val="auto"/>
              </w:rPr>
            </w:pPr>
            <w:r>
              <w:rPr>
                <w:rFonts w:ascii="Arial" w:cs="Arial" w:eastAsia="Arial" w:hAnsi="Arial"/>
                <w:sz w:val="16"/>
                <w:szCs w:val="16"/>
                <w:b w:val="1"/>
                <w:bCs w:val="1"/>
                <w:color w:val="auto"/>
                <w:w w:val="90"/>
              </w:rPr>
              <w:t>As of December 31, 2016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26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Net</w:t>
            </w:r>
          </w:p>
        </w:tc>
        <w:tc>
          <w:tcPr>
            <w:tcW w:w="480" w:type="dxa"/>
            <w:vAlign w:val="bottom"/>
          </w:tcPr>
          <w:p>
            <w:pPr>
              <w:spacing w:after="0"/>
              <w:rPr>
                <w:sz w:val="18"/>
                <w:szCs w:val="18"/>
                <w:color w:val="auto"/>
              </w:rPr>
            </w:pPr>
          </w:p>
        </w:tc>
        <w:tc>
          <w:tcPr>
            <w:tcW w:w="11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0"/>
              </w:rPr>
              <w:t>Gross Amount</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related</w:t>
            </w:r>
          </w:p>
        </w:tc>
        <w:tc>
          <w:tcPr>
            <w:tcW w:w="1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77,985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59,958</w:t>
            </w: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77,985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66,446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Other</w:t>
            </w:r>
          </w:p>
        </w:tc>
        <w:tc>
          <w:tcPr>
            <w:tcW w:w="1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16,824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8,858</w:t>
            </w: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16,824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94,809</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68,816</w:t>
            </w:r>
          </w:p>
        </w:tc>
        <w:tc>
          <w:tcPr>
            <w:tcW w:w="7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94,809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(16,445)</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78,364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7760" w:type="dxa"/>
            <w:vAlign w:val="bottom"/>
            <w:gridSpan w:val="14"/>
          </w:tcPr>
          <w:p>
            <w:pPr>
              <w:spacing w:after="0"/>
              <w:rPr>
                <w:sz w:val="20"/>
                <w:szCs w:val="20"/>
                <w:color w:val="auto"/>
              </w:rPr>
            </w:pPr>
            <w:r>
              <w:rPr>
                <w:rFonts w:ascii="Arial" w:cs="Arial" w:eastAsia="Arial" w:hAnsi="Arial"/>
                <w:sz w:val="17"/>
                <w:szCs w:val="17"/>
                <w:color w:val="auto"/>
                <w:w w:val="90"/>
              </w:rPr>
              <w:t>The expected future annual amortization expense for the years ending December 31, is as follows (in thousands):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2019</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8,792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2021</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7,356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Thereafter</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28,814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68,816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BUSINESS SEGMENTS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2017, 2016 and 2015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Revenues, 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4"/>
              </w:rPr>
              <w:t>2017</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1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Workforce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178,061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168,040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161,289</w:t>
            </w:r>
          </w:p>
        </w:tc>
        <w:tc>
          <w:tcPr>
            <w:tcW w:w="40" w:type="dxa"/>
            <w:vAlign w:val="bottom"/>
            <w:shd w:val="clear" w:color="auto" w:fill="CCEEFF"/>
          </w:tcPr>
          <w:p>
            <w:pPr>
              <w:spacing w:after="0"/>
              <w:rPr>
                <w:sz w:val="17"/>
                <w:szCs w:val="17"/>
                <w:color w:val="auto"/>
              </w:rPr>
            </w:pPr>
          </w:p>
        </w:tc>
      </w:tr>
      <w:tr>
        <w:trPr>
          <w:trHeight w:val="203"/>
        </w:trPr>
        <w:tc>
          <w:tcPr>
            <w:tcW w:w="8100" w:type="dxa"/>
            <w:vAlign w:val="bottom"/>
          </w:tcPr>
          <w:p>
            <w:pPr>
              <w:ind w:left="260"/>
              <w:spacing w:after="0"/>
              <w:rPr>
                <w:sz w:val="20"/>
                <w:szCs w:val="20"/>
                <w:color w:val="auto"/>
              </w:rPr>
            </w:pPr>
            <w:r>
              <w:rPr>
                <w:rFonts w:ascii="Arial" w:cs="Arial" w:eastAsia="Arial" w:hAnsi="Arial"/>
                <w:sz w:val="16"/>
                <w:szCs w:val="16"/>
                <w:color w:val="auto"/>
              </w:rPr>
              <w:t>Patient Experience Solutions</w:t>
            </w: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32,763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33,850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34,193</w:t>
            </w:r>
          </w:p>
        </w:tc>
        <w:tc>
          <w:tcPr>
            <w:tcW w:w="40" w:type="dxa"/>
            <w:vAlign w:val="bottom"/>
          </w:tcPr>
          <w:p>
            <w:pPr>
              <w:spacing w:after="0"/>
              <w:rPr>
                <w:sz w:val="17"/>
                <w:szCs w:val="17"/>
                <w:color w:val="auto"/>
              </w:rPr>
            </w:pPr>
          </w:p>
        </w:tc>
      </w:tr>
      <w:tr>
        <w:trPr>
          <w:trHeight w:val="203"/>
        </w:trPr>
        <w:tc>
          <w:tcPr>
            <w:tcW w:w="81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Provider Solutions</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36,838</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24,084</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13,520</w:t>
            </w:r>
          </w:p>
        </w:tc>
        <w:tc>
          <w:tcPr>
            <w:tcW w:w="40" w:type="dxa"/>
            <w:vAlign w:val="bottom"/>
            <w:shd w:val="clear" w:color="auto" w:fill="CCEEFF"/>
          </w:tcPr>
          <w:p>
            <w:pPr>
              <w:spacing w:after="0"/>
              <w:rPr>
                <w:sz w:val="17"/>
                <w:szCs w:val="17"/>
                <w:color w:val="auto"/>
              </w:rPr>
            </w:pPr>
          </w:p>
        </w:tc>
      </w:tr>
      <w:tr>
        <w:trPr>
          <w:trHeight w:val="207"/>
        </w:trPr>
        <w:tc>
          <w:tcPr>
            <w:tcW w:w="8100" w:type="dxa"/>
            <w:vAlign w:val="bottom"/>
          </w:tcPr>
          <w:p>
            <w:pPr>
              <w:spacing w:after="0"/>
              <w:rPr>
                <w:sz w:val="20"/>
                <w:szCs w:val="20"/>
                <w:color w:val="auto"/>
              </w:rPr>
            </w:pPr>
            <w:r>
              <w:rPr>
                <w:rFonts w:ascii="Arial" w:cs="Arial" w:eastAsia="Arial" w:hAnsi="Arial"/>
                <w:sz w:val="16"/>
                <w:szCs w:val="16"/>
                <w:color w:val="auto"/>
              </w:rPr>
              <w:t>Total revenues,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247,662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225,974</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209,002</w:t>
            </w:r>
          </w:p>
        </w:tc>
        <w:tc>
          <w:tcPr>
            <w:tcW w:w="4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Workforce Solutions</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33,579</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37,329</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39,986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Patient Experience Solutions</w:t>
            </w: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1,491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6"/>
                <w:szCs w:val="16"/>
                <w:color w:val="auto"/>
              </w:rPr>
              <w:t>(522)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Provider Solutions</w:t>
            </w:r>
          </w:p>
        </w:tc>
        <w:tc>
          <w:tcPr>
            <w:tcW w:w="2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(2,443)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Unallocated</w:t>
            </w: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ind w:left="80"/>
              <w:spacing w:after="0"/>
              <w:rPr>
                <w:sz w:val="20"/>
                <w:szCs w:val="20"/>
                <w:color w:val="auto"/>
              </w:rPr>
            </w:pPr>
            <w:r>
              <w:rPr>
                <w:rFonts w:ascii="Arial" w:cs="Arial" w:eastAsia="Arial" w:hAnsi="Arial"/>
                <w:sz w:val="16"/>
                <w:szCs w:val="16"/>
                <w:color w:val="auto"/>
              </w:rPr>
              <w:t>(26,149)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6"/>
                <w:szCs w:val="16"/>
                <w:color w:val="auto"/>
              </w:rPr>
              <w:t>(28,797)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(25,418)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income</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5,567</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BUSINESS SEGMENTS (continued)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4"/>
              </w:rPr>
              <w:t>Assets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14"/>
          </w:tcPr>
          <w:p>
            <w:pPr>
              <w:ind w:left="100"/>
              <w:spacing w:after="0"/>
              <w:rPr>
                <w:sz w:val="20"/>
                <w:szCs w:val="20"/>
                <w:color w:val="auto"/>
              </w:rPr>
            </w:pPr>
            <w:r>
              <w:rPr>
                <w:rFonts w:ascii="Arial" w:cs="Arial" w:eastAsia="Arial" w:hAnsi="Arial"/>
                <w:sz w:val="14"/>
                <w:szCs w:val="14"/>
                <w:b w:val="1"/>
                <w:bCs w:val="1"/>
                <w:color w:val="auto"/>
              </w:rPr>
              <w:t>Purchases of long-lived assets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12"/>
          </w:tcPr>
          <w:p>
            <w:pPr>
              <w:spacing w:after="0"/>
              <w:rPr>
                <w:sz w:val="20"/>
                <w:szCs w:val="20"/>
                <w:color w:val="auto"/>
              </w:rPr>
            </w:pPr>
            <w:r>
              <w:rPr>
                <w:rFonts w:ascii="Arial" w:cs="Arial" w:eastAsia="Arial" w:hAnsi="Arial"/>
                <w:sz w:val="14"/>
                <w:szCs w:val="14"/>
                <w:b w:val="1"/>
                <w:bCs w:val="1"/>
                <w:color w:val="auto"/>
              </w:rPr>
              <w:t>Depreciation and amortization</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tcPr>
          <w:p>
            <w:pPr>
              <w:jc w:val="right"/>
              <w:ind w:right="160"/>
              <w:spacing w:after="0" w:line="115" w:lineRule="exact"/>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tcPr>
          <w:p>
            <w:pPr>
              <w:jc w:val="right"/>
              <w:ind w:right="160"/>
              <w:spacing w:after="0" w:line="115" w:lineRule="exact"/>
              <w:rPr>
                <w:sz w:val="20"/>
                <w:szCs w:val="20"/>
                <w:color w:val="auto"/>
              </w:rPr>
            </w:pPr>
            <w:r>
              <w:rPr>
                <w:rFonts w:ascii="Arial" w:cs="Arial" w:eastAsia="Arial" w:hAnsi="Arial"/>
                <w:sz w:val="13"/>
                <w:szCs w:val="13"/>
                <w:b w:val="1"/>
                <w:bCs w:val="1"/>
                <w:color w:val="auto"/>
                <w:w w:val="89"/>
              </w:rPr>
              <w:t>2016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tcPr>
          <w:p>
            <w:pPr>
              <w:jc w:val="right"/>
              <w:ind w:right="160"/>
              <w:spacing w:after="0" w:line="115" w:lineRule="exact"/>
              <w:rPr>
                <w:sz w:val="20"/>
                <w:szCs w:val="20"/>
                <w:color w:val="auto"/>
              </w:rPr>
            </w:pPr>
            <w:r>
              <w:rPr>
                <w:rFonts w:ascii="Arial" w:cs="Arial" w:eastAsia="Arial" w:hAnsi="Arial"/>
                <w:sz w:val="13"/>
                <w:szCs w:val="13"/>
                <w:b w:val="1"/>
                <w:bCs w:val="1"/>
                <w:color w:val="auto"/>
                <w:w w:val="96"/>
              </w:rPr>
              <w:t>2015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8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right"/>
              <w:ind w:right="160"/>
              <w:spacing w:after="0" w:line="115" w:lineRule="exact"/>
              <w:rPr>
                <w:sz w:val="20"/>
                <w:szCs w:val="20"/>
                <w:color w:val="auto"/>
              </w:rPr>
            </w:pPr>
            <w:r>
              <w:rPr>
                <w:rFonts w:ascii="Arial" w:cs="Arial" w:eastAsia="Arial" w:hAnsi="Arial"/>
                <w:sz w:val="13"/>
                <w:szCs w:val="13"/>
                <w:b w:val="1"/>
                <w:bCs w:val="1"/>
                <w:color w:val="auto"/>
                <w:w w:val="96"/>
              </w:rPr>
              <w:t>2016</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74"/>
              </w:rPr>
              <w:t>2015</w:t>
            </w:r>
          </w:p>
        </w:tc>
        <w:tc>
          <w:tcPr>
            <w:tcW w:w="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Workforce Solutions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gridSpan w:val="3"/>
            <w:shd w:val="clear" w:color="auto" w:fill="CCEEFF"/>
          </w:tcPr>
          <w:p>
            <w:pPr>
              <w:spacing w:after="0"/>
              <w:rPr>
                <w:sz w:val="2"/>
                <w:szCs w:val="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gridSpan w:val="2"/>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gridSpan w:val="2"/>
            <w:shd w:val="clear" w:color="auto" w:fill="CCEEFF"/>
          </w:tcPr>
          <w:p>
            <w:pPr>
              <w:spacing w:after="0"/>
              <w:rPr>
                <w:sz w:val="2"/>
                <w:szCs w:val="2"/>
                <w:color w:val="auto"/>
              </w:rPr>
            </w:pPr>
          </w:p>
        </w:tc>
        <w:tc>
          <w:tcPr>
            <w:tcW w:w="2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000000"/>
          </w:tcPr>
          <w:p>
            <w:pPr>
              <w:spacing w:after="0"/>
              <w:rPr>
                <w:sz w:val="2"/>
                <w:szCs w:val="2"/>
                <w:color w:val="auto"/>
              </w:rPr>
            </w:pPr>
          </w:p>
        </w:tc>
        <w:tc>
          <w:tcPr>
            <w:tcW w:w="300" w:type="dxa"/>
            <w:vAlign w:val="bottom"/>
            <w:gridSpan w:val="2"/>
            <w:shd w:val="clear" w:color="auto" w:fill="CCEEFF"/>
          </w:tcPr>
          <w:p>
            <w:pPr>
              <w:spacing w:after="0"/>
              <w:rPr>
                <w:sz w:val="2"/>
                <w:szCs w:val="2"/>
                <w:color w:val="auto"/>
              </w:rPr>
            </w:pPr>
          </w:p>
        </w:tc>
        <w:tc>
          <w:tcPr>
            <w:tcW w:w="2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000000"/>
          </w:tcPr>
          <w:p>
            <w:pPr>
              <w:spacing w:after="0"/>
              <w:rPr>
                <w:sz w:val="2"/>
                <w:szCs w:val="2"/>
                <w:color w:val="auto"/>
              </w:rPr>
            </w:pPr>
          </w:p>
        </w:tc>
        <w:tc>
          <w:tcPr>
            <w:tcW w:w="400" w:type="dxa"/>
            <w:vAlign w:val="bottom"/>
            <w:gridSpan w:val="2"/>
            <w:shd w:val="clear" w:color="auto" w:fill="CCEEFF"/>
          </w:tcPr>
          <w:p>
            <w:pPr>
              <w:spacing w:after="0"/>
              <w:rPr>
                <w:sz w:val="2"/>
                <w:szCs w:val="2"/>
                <w:color w:val="auto"/>
              </w:rPr>
            </w:pPr>
          </w:p>
        </w:tc>
        <w:tc>
          <w:tcPr>
            <w:tcW w:w="16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000000"/>
          </w:tcPr>
          <w:p>
            <w:pPr>
              <w:spacing w:after="0"/>
              <w:rPr>
                <w:sz w:val="2"/>
                <w:szCs w:val="2"/>
                <w:color w:val="auto"/>
              </w:rPr>
            </w:pPr>
          </w:p>
        </w:tc>
        <w:tc>
          <w:tcPr>
            <w:tcW w:w="420" w:type="dxa"/>
            <w:vAlign w:val="bottom"/>
            <w:gridSpan w:val="2"/>
            <w:shd w:val="clear" w:color="auto" w:fill="CCEEFF"/>
          </w:tcPr>
          <w:p>
            <w:pPr>
              <w:spacing w:after="0"/>
              <w:rPr>
                <w:sz w:val="2"/>
                <w:szCs w:val="2"/>
                <w:color w:val="auto"/>
              </w:rPr>
            </w:pPr>
          </w:p>
        </w:tc>
        <w:tc>
          <w:tcPr>
            <w:tcW w:w="16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8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8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w w:val="89"/>
              </w:rPr>
              <w:t>90,055</w:t>
            </w:r>
          </w:p>
        </w:tc>
        <w:tc>
          <w:tcPr>
            <w:tcW w:w="200" w:type="dxa"/>
            <w:vAlign w:val="bottom"/>
            <w:gridSpan w:val="2"/>
            <w:vMerge w:val="continue"/>
            <w:shd w:val="clear" w:color="auto" w:fill="CCEEFF"/>
          </w:tcPr>
          <w:p>
            <w:pPr>
              <w:spacing w:after="0"/>
              <w:rPr>
                <w:sz w:val="15"/>
                <w:szCs w:val="15"/>
                <w:color w:val="auto"/>
              </w:rPr>
            </w:pPr>
          </w:p>
        </w:tc>
        <w:tc>
          <w:tcPr>
            <w:tcW w:w="80" w:type="dxa"/>
            <w:vAlign w:val="bottom"/>
            <w:gridSpan w:val="2"/>
            <w:vMerge w:val="continue"/>
            <w:shd w:val="clear" w:color="auto" w:fill="CCEEFF"/>
          </w:tcPr>
          <w:p>
            <w:pPr>
              <w:spacing w:after="0"/>
              <w:rPr>
                <w:sz w:val="15"/>
                <w:szCs w:val="15"/>
                <w:color w:val="auto"/>
              </w:rPr>
            </w:pPr>
          </w:p>
        </w:tc>
        <w:tc>
          <w:tcPr>
            <w:tcW w:w="560" w:type="dxa"/>
            <w:vAlign w:val="bottom"/>
            <w:gridSpan w:val="3"/>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w w:val="85"/>
              </w:rPr>
              <w:t>96,323</w:t>
            </w:r>
          </w:p>
        </w:tc>
        <w:tc>
          <w:tcPr>
            <w:tcW w:w="280" w:type="dxa"/>
            <w:vAlign w:val="bottom"/>
            <w:tcBorders>
              <w:right w:val="single" w:sz="8" w:color="CCEEFF"/>
            </w:tcBorders>
            <w:gridSpan w:val="2"/>
            <w:vMerge w:val="continue"/>
            <w:shd w:val="clear" w:color="auto" w:fill="CCEEFF"/>
          </w:tcPr>
          <w:p>
            <w:pPr>
              <w:spacing w:after="0"/>
              <w:rPr>
                <w:sz w:val="15"/>
                <w:szCs w:val="15"/>
                <w:color w:val="auto"/>
              </w:rPr>
            </w:pPr>
          </w:p>
        </w:tc>
        <w:tc>
          <w:tcPr>
            <w:tcW w:w="58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9,888</w:t>
            </w:r>
          </w:p>
        </w:tc>
        <w:tc>
          <w:tcPr>
            <w:tcW w:w="280" w:type="dxa"/>
            <w:vAlign w:val="bottom"/>
            <w:tcBorders>
              <w:right w:val="single" w:sz="8" w:color="CCEEFF"/>
            </w:tcBorders>
            <w:gridSpan w:val="2"/>
            <w:vMerge w:val="continue"/>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9,266</w:t>
            </w:r>
          </w:p>
        </w:tc>
        <w:tc>
          <w:tcPr>
            <w:tcW w:w="400" w:type="dxa"/>
            <w:vAlign w:val="bottom"/>
            <w:tcBorders>
              <w:right w:val="single" w:sz="8" w:color="CCEEFF"/>
            </w:tcBorders>
            <w:gridSpan w:val="2"/>
            <w:vMerge w:val="continue"/>
            <w:shd w:val="clear" w:color="auto" w:fill="CCEEFF"/>
          </w:tcPr>
          <w:p>
            <w:pPr>
              <w:spacing w:after="0"/>
              <w:rPr>
                <w:sz w:val="15"/>
                <w:szCs w:val="15"/>
                <w:color w:val="auto"/>
              </w:rPr>
            </w:pPr>
          </w:p>
        </w:tc>
        <w:tc>
          <w:tcPr>
            <w:tcW w:w="700" w:type="dxa"/>
            <w:vAlign w:val="bottom"/>
            <w:gridSpan w:val="4"/>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w w:val="89"/>
              </w:rPr>
              <w:t>11,403</w:t>
            </w:r>
          </w:p>
        </w:tc>
        <w:tc>
          <w:tcPr>
            <w:tcW w:w="160" w:type="dxa"/>
            <w:vAlign w:val="bottom"/>
            <w:tcBorders>
              <w:right w:val="single" w:sz="8" w:color="CCEEFF"/>
            </w:tcBorders>
            <w:vMerge w:val="continue"/>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9,982</w:t>
            </w:r>
          </w:p>
        </w:tc>
        <w:tc>
          <w:tcPr>
            <w:tcW w:w="400" w:type="dxa"/>
            <w:vAlign w:val="bottom"/>
            <w:tcBorders>
              <w:right w:val="single" w:sz="8" w:color="CCEEFF"/>
            </w:tcBorders>
            <w:gridSpan w:val="2"/>
            <w:vMerge w:val="continue"/>
            <w:shd w:val="clear" w:color="auto" w:fill="CCEEFF"/>
          </w:tcPr>
          <w:p>
            <w:pPr>
              <w:spacing w:after="0"/>
              <w:rPr>
                <w:sz w:val="15"/>
                <w:szCs w:val="15"/>
                <w:color w:val="auto"/>
              </w:rPr>
            </w:pPr>
          </w:p>
        </w:tc>
        <w:tc>
          <w:tcPr>
            <w:tcW w:w="72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6"/>
                <w:szCs w:val="16"/>
                <w:color w:val="auto"/>
              </w:rPr>
              <w:t>8,243</w:t>
            </w:r>
          </w:p>
        </w:tc>
        <w:tc>
          <w:tcPr>
            <w:tcW w:w="160" w:type="dxa"/>
            <w:vAlign w:val="bottom"/>
            <w:tcBorders>
              <w:right w:val="single" w:sz="8" w:color="CCEEFF"/>
            </w:tcBorders>
            <w:vMerge w:val="continue"/>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6,693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Patient Experience Solutions</w:t>
            </w:r>
          </w:p>
        </w:tc>
        <w:tc>
          <w:tcPr>
            <w:tcW w:w="80" w:type="dxa"/>
            <w:vAlign w:val="bottom"/>
          </w:tcPr>
          <w:p>
            <w:pPr>
              <w:spacing w:after="0"/>
              <w:rPr>
                <w:sz w:val="17"/>
                <w:szCs w:val="17"/>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6"/>
                <w:szCs w:val="16"/>
                <w:color w:val="auto"/>
              </w:rPr>
              <w:t>34,198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5"/>
          </w:tcPr>
          <w:p>
            <w:pPr>
              <w:jc w:val="right"/>
              <w:ind w:right="120"/>
              <w:spacing w:after="0"/>
              <w:rPr>
                <w:sz w:val="20"/>
                <w:szCs w:val="20"/>
                <w:color w:val="auto"/>
              </w:rPr>
            </w:pPr>
            <w:r>
              <w:rPr>
                <w:rFonts w:ascii="Arial" w:cs="Arial" w:eastAsia="Arial" w:hAnsi="Arial"/>
                <w:sz w:val="16"/>
                <w:szCs w:val="16"/>
                <w:color w:val="auto"/>
              </w:rPr>
              <w:t>35,988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1,123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1,510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6"/>
                <w:szCs w:val="16"/>
                <w:color w:val="auto"/>
              </w:rPr>
              <w:t>1,144</w:t>
            </w:r>
          </w:p>
        </w:tc>
        <w:tc>
          <w:tcPr>
            <w:tcW w:w="1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1,061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Provider Solutions</w:t>
            </w:r>
          </w:p>
        </w:tc>
        <w:tc>
          <w:tcPr>
            <w:tcW w:w="8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w w:val="89"/>
              </w:rPr>
              <w:t>150,797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w w:val="86"/>
              </w:rPr>
              <w:t>155,011</w:t>
            </w: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3,619</w:t>
            </w: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8,147</w:t>
            </w:r>
          </w:p>
        </w:tc>
        <w:tc>
          <w:tcPr>
            <w:tcW w:w="2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6,061</w:t>
            </w: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Unallocated</w:t>
            </w:r>
          </w:p>
        </w:tc>
        <w:tc>
          <w:tcPr>
            <w:tcW w:w="8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auto"/>
                <w:w w:val="89"/>
              </w:rPr>
              <w:t>136,024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5"/>
          </w:tcPr>
          <w:p>
            <w:pPr>
              <w:jc w:val="right"/>
              <w:ind w:right="120"/>
              <w:spacing w:after="0"/>
              <w:rPr>
                <w:sz w:val="20"/>
                <w:szCs w:val="20"/>
                <w:color w:val="auto"/>
              </w:rPr>
            </w:pPr>
            <w:r>
              <w:rPr>
                <w:rFonts w:ascii="Arial" w:cs="Arial" w:eastAsia="Arial" w:hAnsi="Arial"/>
                <w:sz w:val="16"/>
                <w:szCs w:val="16"/>
                <w:color w:val="auto"/>
                <w:w w:val="86"/>
              </w:rPr>
              <w:t>108,678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2,135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1,617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6,644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6"/>
                <w:szCs w:val="16"/>
                <w:color w:val="auto"/>
              </w:rPr>
              <w:t>6,759</w:t>
            </w:r>
          </w:p>
        </w:tc>
        <w:tc>
          <w:tcPr>
            <w:tcW w:w="1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5,257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411,074</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w w:val="86"/>
              </w:rPr>
              <w:t>396,000</w:t>
            </w: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w w:val="89"/>
              </w:rPr>
              <w:t>18,033</w:t>
            </w: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5"/>
              </w:rPr>
              <w:t>14,550</w:t>
            </w:r>
          </w:p>
        </w:tc>
        <w:tc>
          <w:tcPr>
            <w:tcW w:w="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15,359</w:t>
            </w:r>
          </w:p>
        </w:tc>
        <w:tc>
          <w:tcPr>
            <w:tcW w:w="2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5"/>
              </w:rPr>
              <w:t>26,283</w:t>
            </w:r>
          </w:p>
        </w:tc>
        <w:tc>
          <w:tcPr>
            <w:tcW w:w="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w w:val="89"/>
              </w:rPr>
              <w:t>22,207</w:t>
            </w:r>
          </w:p>
        </w:tc>
        <w:tc>
          <w:tcPr>
            <w:tcW w:w="1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5"/>
              </w:rPr>
              <w:t>16,997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8"/>
        <w:spacing w:after="0" w:line="320" w:lineRule="auto"/>
        <w:tabs>
          <w:tab w:leader="none" w:pos="101" w:val="left"/>
        </w:tabs>
        <w:numPr>
          <w:ilvl w:val="0"/>
          <w:numId w:val="10"/>
        </w:numPr>
        <w:rPr>
          <w:rFonts w:ascii="Arial" w:cs="Arial" w:eastAsia="Arial" w:hAnsi="Arial"/>
          <w:sz w:val="11"/>
          <w:szCs w:val="11"/>
          <w:color w:val="auto"/>
        </w:rPr>
      </w:pPr>
      <w:r>
        <w:rPr>
          <w:rFonts w:ascii="Arial" w:cs="Arial" w:eastAsia="Arial" w:hAnsi="Arial"/>
          <w:sz w:val="11"/>
          <w:szCs w:val="11"/>
          <w:color w:val="auto"/>
        </w:rPr>
        <w:t>Segment assets include accounts and unbilled receivables, prepaid royalties,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provision (benefit) for income taxes is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2017</w:t>
            </w:r>
          </w:p>
        </w:tc>
        <w:tc>
          <w:tcPr>
            <w:tcW w:w="1880" w:type="dxa"/>
            <w:vAlign w:val="bottom"/>
            <w:gridSpan w:val="9"/>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gridSpan w:val="2"/>
            <w:vMerge w:val="restart"/>
          </w:tcPr>
          <w:p>
            <w:pPr>
              <w:jc w:val="right"/>
              <w:ind w:right="209"/>
              <w:spacing w:after="0"/>
              <w:rPr>
                <w:sz w:val="20"/>
                <w:szCs w:val="20"/>
                <w:color w:val="auto"/>
              </w:rPr>
            </w:pPr>
            <w:r>
              <w:rPr>
                <w:rFonts w:ascii="Arial" w:cs="Arial" w:eastAsia="Arial" w:hAnsi="Arial"/>
                <w:sz w:val="14"/>
                <w:szCs w:val="14"/>
                <w:b w:val="1"/>
                <w:bCs w:val="1"/>
                <w:color w:val="auto"/>
                <w:w w:val="83"/>
              </w:rPr>
              <w:t>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4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Current federal</w:t>
            </w: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000000"/>
          </w:tcPr>
          <w:p>
            <w:pPr>
              <w:spacing w:after="0"/>
              <w:rPr>
                <w:sz w:val="2"/>
                <w:szCs w:val="2"/>
                <w:color w:val="auto"/>
              </w:rPr>
            </w:pPr>
          </w:p>
        </w:tc>
        <w:tc>
          <w:tcPr>
            <w:tcW w:w="480" w:type="dxa"/>
            <w:vAlign w:val="bottom"/>
            <w:gridSpan w:val="2"/>
            <w:shd w:val="clear" w:color="auto" w:fill="CCEEFF"/>
          </w:tcPr>
          <w:p>
            <w:pPr>
              <w:spacing w:after="0"/>
              <w:rPr>
                <w:sz w:val="2"/>
                <w:szCs w:val="2"/>
                <w:color w:val="auto"/>
              </w:rPr>
            </w:pPr>
          </w:p>
        </w:tc>
        <w:tc>
          <w:tcPr>
            <w:tcW w:w="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74"/>
              </w:rPr>
              <w:t>(271)</w:t>
            </w:r>
          </w:p>
        </w:tc>
        <w:tc>
          <w:tcPr>
            <w:tcW w:w="4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4"/>
              </w:rPr>
              <w:t>3,608</w:t>
            </w: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6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6"/>
                <w:szCs w:val="16"/>
                <w:color w:val="auto"/>
              </w:rPr>
              <w:t>1,679</w:t>
            </w:r>
          </w:p>
        </w:tc>
        <w:tc>
          <w:tcPr>
            <w:tcW w:w="1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420" w:type="dxa"/>
            <w:vAlign w:val="bottom"/>
            <w:tcBorders>
              <w:right w:val="single" w:sz="8" w:color="CCEEFF"/>
            </w:tcBorders>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Current state</w:t>
            </w:r>
          </w:p>
        </w:tc>
        <w:tc>
          <w:tcPr>
            <w:tcW w:w="22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895</w:t>
            </w:r>
          </w:p>
        </w:tc>
        <w:tc>
          <w:tcPr>
            <w:tcW w:w="1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Deferred federal</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w w:val="94"/>
              </w:rPr>
              <w:t>(2,192)</w:t>
            </w: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Deferred state</w:t>
            </w:r>
          </w:p>
        </w:tc>
        <w:tc>
          <w:tcPr>
            <w:tcW w:w="22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529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120" w:type="dxa"/>
            <w:vAlign w:val="bottom"/>
            <w:shd w:val="clear" w:color="auto" w:fill="CCEEFF"/>
          </w:tcPr>
          <w:p>
            <w:pPr>
              <w:spacing w:after="0"/>
              <w:rPr>
                <w:sz w:val="17"/>
                <w:szCs w:val="17"/>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reconciliation of income taxes at the statutory federal income tax rate to the provision for income taxes included in the accompanying consolidated statements of income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1780" w:type="dxa"/>
            <w:vAlign w:val="bottom"/>
            <w:gridSpan w:val="6"/>
          </w:tcPr>
          <w:p>
            <w:pPr>
              <w:jc w:val="right"/>
              <w:ind w:right="95"/>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Federal tax provision at the statutory rate</w:t>
            </w:r>
          </w:p>
        </w:tc>
        <w:tc>
          <w:tcPr>
            <w:tcW w:w="2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3,687</w:t>
            </w:r>
          </w:p>
        </w:tc>
        <w:tc>
          <w:tcPr>
            <w:tcW w:w="5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w w:val="70"/>
              </w:rPr>
              <w:t>2,152</w:t>
            </w:r>
          </w:p>
        </w:tc>
        <w:tc>
          <w:tcPr>
            <w:tcW w:w="3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4"/>
              </w:rPr>
              <w:t>4,802</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7"/>
                <w:szCs w:val="17"/>
                <w:color w:val="auto"/>
              </w:rPr>
              <w:t>State income tax provision, net of federal benefit</w:t>
            </w:r>
          </w:p>
        </w:tc>
        <w:tc>
          <w:tcPr>
            <w:tcW w:w="2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539</w:t>
            </w:r>
          </w:p>
        </w:tc>
        <w:tc>
          <w:tcPr>
            <w:tcW w:w="320" w:type="dxa"/>
            <w:vAlign w:val="bottom"/>
          </w:tcPr>
          <w:p>
            <w:pPr>
              <w:spacing w:after="0"/>
              <w:rPr>
                <w:sz w:val="17"/>
                <w:szCs w:val="17"/>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Tax credits</w:t>
            </w:r>
          </w:p>
        </w:tc>
        <w:tc>
          <w:tcPr>
            <w:tcW w:w="2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(560)</w:t>
            </w:r>
          </w:p>
        </w:tc>
        <w:tc>
          <w:tcPr>
            <w:tcW w:w="3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7"/>
                <w:szCs w:val="17"/>
                <w:color w:val="auto"/>
              </w:rPr>
              <w:t>Change in state valuation allowance</w:t>
            </w:r>
          </w:p>
        </w:tc>
        <w:tc>
          <w:tcPr>
            <w:tcW w:w="2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322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308</w:t>
            </w:r>
          </w:p>
        </w:tc>
        <w:tc>
          <w:tcPr>
            <w:tcW w:w="320" w:type="dxa"/>
            <w:vAlign w:val="bottom"/>
          </w:tcPr>
          <w:p>
            <w:pPr>
              <w:spacing w:after="0"/>
              <w:rPr>
                <w:sz w:val="17"/>
                <w:szCs w:val="17"/>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Tax Act revaluation of deferred tax balances</w:t>
            </w:r>
          </w:p>
        </w:tc>
        <w:tc>
          <w:tcPr>
            <w:tcW w:w="2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(2,685)</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(636)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for income taxes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2,393</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periodically assesses the realizability of its deferred tax assets, and to the extent that a recovery is not likely, a valuation allowance is established to reduce the deferred tax asset to the amount estimated to be recoverable. At December 31, 2017, a valuation allowance of $1.1 million exists.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of December 31, 2017, the Company had state net operating loss carryforwards of $19.5 million. These loss carryforwards will expire in years 2018 through 2027. The Company is subject to income taxation at the federal and various state levels. The Company is subject to U.S. federal tax examinations for tax years 2015 through 2017. Loss carryforwards and credit carryforwards generated or utilized in years earlier than 2015 are also subject to examination and adjustment. The Company has completed examinations with the Internal Revenue Service for tax years 2013 and 2014. The Company has research and development tax credit carryforwards of $2.3 million that expire in varying amounts through 2037. As of December 31, 2017, the Company had alternative minimum tax credit carryforwards of $837,000 that are available to offset future regular tax liabilities and do not expire.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December 22, 2017, the President signed into law the Tax Cuts and Jobs Act (the “Tax Act”), reducing the U.S. corporate income tax rate to 21% effective January 1, 2018. Under ASC 740, the effects of new legislation are recognized in the period that includes the date of enactment. The estimated impact as of December 31, 2017 was to remeasure our deferred tax liability by $2.7 million, which has been reflected in our effective tax rate reconciliation. This impact is our most reasonable estimate at this time; however, we are still analyzing certain aspects of the Tax Act and refining our calculations, which could potentially impact future taxable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 (continued)</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liability for gross unrecognized tax benefits at December 31, 2017 and 2016,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8"/>
          </w:tcPr>
          <w:p>
            <w:pPr>
              <w:ind w:left="180"/>
              <w:spacing w:after="0"/>
              <w:rPr>
                <w:sz w:val="20"/>
                <w:szCs w:val="20"/>
                <w:color w:val="auto"/>
              </w:rPr>
            </w:pPr>
            <w:r>
              <w:rPr>
                <w:rFonts w:ascii="Arial" w:cs="Arial" w:eastAsia="Arial" w:hAnsi="Arial"/>
                <w:sz w:val="15"/>
                <w:szCs w:val="15"/>
                <w:b w:val="1"/>
                <w:bCs w:val="1"/>
                <w:color w:val="auto"/>
              </w:rPr>
              <w:t>December 31,</w:t>
            </w:r>
          </w:p>
        </w:tc>
      </w:tr>
      <w:tr>
        <w:trPr>
          <w:trHeight w:val="186"/>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right"/>
              <w:ind w:right="123"/>
              <w:spacing w:after="0"/>
              <w:rPr>
                <w:sz w:val="20"/>
                <w:szCs w:val="20"/>
                <w:color w:val="auto"/>
              </w:rPr>
            </w:pPr>
            <w:r>
              <w:rPr>
                <w:rFonts w:ascii="Arial" w:cs="Arial" w:eastAsia="Arial" w:hAnsi="Arial"/>
                <w:sz w:val="15"/>
                <w:szCs w:val="15"/>
                <w:b w:val="1"/>
                <w:bCs w:val="1"/>
                <w:color w:val="auto"/>
              </w:rPr>
              <w:t>2016</w:t>
            </w:r>
          </w:p>
        </w:tc>
        <w:tc>
          <w:tcPr>
            <w:tcW w:w="40" w:type="dxa"/>
            <w:vAlign w:val="bottom"/>
          </w:tcPr>
          <w:p>
            <w:pPr>
              <w:spacing w:after="0"/>
              <w:rPr>
                <w:sz w:val="16"/>
                <w:szCs w:val="16"/>
                <w:color w:val="auto"/>
              </w:rPr>
            </w:pPr>
          </w:p>
        </w:tc>
      </w:tr>
      <w:tr>
        <w:trPr>
          <w:trHeight w:val="135"/>
        </w:trPr>
        <w:tc>
          <w:tcPr>
            <w:tcW w:w="97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Balance at beginning of year</w:t>
            </w:r>
          </w:p>
        </w:tc>
        <w:tc>
          <w:tcPr>
            <w:tcW w:w="14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5"/>
                <w:szCs w:val="15"/>
                <w:color w:val="auto"/>
                <w:w w:val="71"/>
              </w:rPr>
              <w:t>397</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gridSpan w:val="2"/>
            <w:shd w:val="clear" w:color="auto" w:fill="CCEEFF"/>
          </w:tcPr>
          <w:p>
            <w:pPr>
              <w:jc w:val="right"/>
              <w:ind w:right="40"/>
              <w:spacing w:after="0" w:line="135" w:lineRule="exact"/>
              <w:rPr>
                <w:sz w:val="20"/>
                <w:szCs w:val="20"/>
                <w:color w:val="auto"/>
              </w:rPr>
            </w:pPr>
            <w:r>
              <w:rPr>
                <w:rFonts w:ascii="Arial" w:cs="Arial" w:eastAsia="Arial" w:hAnsi="Arial"/>
                <w:sz w:val="15"/>
                <w:szCs w:val="15"/>
                <w:color w:val="auto"/>
                <w:w w:val="71"/>
              </w:rPr>
              <w:t>658</w:t>
            </w:r>
          </w:p>
        </w:tc>
      </w:tr>
      <w:tr>
        <w:trPr>
          <w:trHeight w:val="162"/>
        </w:trPr>
        <w:tc>
          <w:tcPr>
            <w:tcW w:w="9720" w:type="dxa"/>
            <w:vAlign w:val="bottom"/>
          </w:tcPr>
          <w:p>
            <w:pPr>
              <w:spacing w:after="0" w:line="162" w:lineRule="exact"/>
              <w:rPr>
                <w:sz w:val="20"/>
                <w:szCs w:val="20"/>
                <w:color w:val="auto"/>
              </w:rPr>
            </w:pPr>
            <w:r>
              <w:rPr>
                <w:rFonts w:ascii="Arial" w:cs="Arial" w:eastAsia="Arial" w:hAnsi="Arial"/>
                <w:sz w:val="15"/>
                <w:szCs w:val="15"/>
                <w:color w:val="auto"/>
              </w:rPr>
              <w:t>Additions for tax positions in the current year</w:t>
            </w:r>
          </w:p>
        </w:tc>
        <w:tc>
          <w:tcPr>
            <w:tcW w:w="1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64</w:t>
            </w:r>
          </w:p>
        </w:tc>
        <w:tc>
          <w:tcPr>
            <w:tcW w:w="40" w:type="dxa"/>
            <w:vAlign w:val="bottom"/>
          </w:tcPr>
          <w:p>
            <w:pPr>
              <w:spacing w:after="0"/>
              <w:rPr>
                <w:sz w:val="14"/>
                <w:szCs w:val="14"/>
                <w:color w:val="auto"/>
              </w:rPr>
            </w:pPr>
          </w:p>
        </w:tc>
      </w:tr>
      <w:tr>
        <w:trPr>
          <w:trHeight w:val="162"/>
        </w:trPr>
        <w:tc>
          <w:tcPr>
            <w:tcW w:w="9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Reductions for tax positions of prior years</w:t>
            </w:r>
          </w:p>
        </w:tc>
        <w:tc>
          <w:tcPr>
            <w:tcW w:w="14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(47)</w:t>
            </w:r>
          </w:p>
        </w:tc>
        <w:tc>
          <w:tcPr>
            <w:tcW w:w="14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(325)</w:t>
            </w:r>
          </w:p>
        </w:tc>
      </w:tr>
      <w:tr>
        <w:trPr>
          <w:trHeight w:val="169"/>
        </w:trPr>
        <w:tc>
          <w:tcPr>
            <w:tcW w:w="9720" w:type="dxa"/>
            <w:vAlign w:val="bottom"/>
          </w:tcPr>
          <w:p>
            <w:pPr>
              <w:spacing w:after="0" w:line="169" w:lineRule="exact"/>
              <w:rPr>
                <w:sz w:val="20"/>
                <w:szCs w:val="20"/>
                <w:color w:val="auto"/>
              </w:rPr>
            </w:pPr>
            <w:r>
              <w:rPr>
                <w:rFonts w:ascii="Arial" w:cs="Arial" w:eastAsia="Arial" w:hAnsi="Arial"/>
                <w:sz w:val="15"/>
                <w:szCs w:val="15"/>
                <w:color w:val="auto"/>
              </w:rPr>
              <w:t>Balance at end of year</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Arial" w:cs="Arial" w:eastAsia="Arial" w:hAnsi="Arial"/>
                <w:sz w:val="15"/>
                <w:szCs w:val="15"/>
                <w:color w:val="auto"/>
              </w:rPr>
              <w:t>360</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Arial" w:cs="Arial" w:eastAsia="Arial" w:hAnsi="Arial"/>
                <w:sz w:val="15"/>
                <w:szCs w:val="15"/>
                <w:color w:val="auto"/>
              </w:rPr>
              <w:t>397</w:t>
            </w:r>
          </w:p>
        </w:tc>
        <w:tc>
          <w:tcPr>
            <w:tcW w:w="40" w:type="dxa"/>
            <w:vAlign w:val="bottom"/>
          </w:tcPr>
          <w:p>
            <w:pPr>
              <w:spacing w:after="0"/>
              <w:rPr>
                <w:sz w:val="14"/>
                <w:szCs w:val="14"/>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recognized approximately $3,000 and $18,000 for interest and penalties related to unrecognized tax benefits within the provision for income taxes during the years ended December 31, 2017 and 2016, respectively. Unrecognized tax benefits included tax positions of approximately $337,000 and $350,000 at December 31, 2017 and 2016, respectively, that if recognized would impact the Company’s effective tax rate. The reduction for tax positions of prior years reflected in the table above as of December 31, 2017, relates to (a) an item considered to be effectively settled with the IRS, and (b) amended returns filed with the state of Wisconsin. The Company estimates that it is reasonably possible the liability for unrecognized tax benefits could decrease up to $23,000 within the next 12 months.</w:t>
      </w:r>
    </w:p>
    <w:p>
      <w:pPr>
        <w:spacing w:after="0" w:line="16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Deferred tax assets:</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tcPr>
          <w:p>
            <w:pPr>
              <w:ind w:left="300"/>
              <w:spacing w:after="0" w:line="162" w:lineRule="exact"/>
              <w:rPr>
                <w:sz w:val="20"/>
                <w:szCs w:val="20"/>
                <w:color w:val="auto"/>
              </w:rPr>
            </w:pPr>
            <w:r>
              <w:rPr>
                <w:rFonts w:ascii="Arial" w:cs="Arial" w:eastAsia="Arial" w:hAnsi="Arial"/>
                <w:sz w:val="15"/>
                <w:szCs w:val="15"/>
                <w:color w:val="auto"/>
              </w:rPr>
              <w:t>Allowance for doubtful accounts</w:t>
            </w:r>
          </w:p>
        </w:tc>
        <w:tc>
          <w:tcPr>
            <w:tcW w:w="160" w:type="dxa"/>
            <w:vAlign w:val="bottom"/>
          </w:tcPr>
          <w:p>
            <w:pPr>
              <w:jc w:val="right"/>
              <w:ind w:right="3"/>
              <w:spacing w:after="0" w:line="162" w:lineRule="exact"/>
              <w:rPr>
                <w:sz w:val="20"/>
                <w:szCs w:val="20"/>
                <w:color w:val="auto"/>
              </w:rPr>
            </w:pPr>
            <w:r>
              <w:rPr>
                <w:rFonts w:ascii="Arial" w:cs="Arial" w:eastAsia="Arial" w:hAnsi="Arial"/>
                <w:sz w:val="15"/>
                <w:szCs w:val="15"/>
                <w:color w:val="auto"/>
                <w:w w:val="71"/>
              </w:rPr>
              <w:t>$</w:t>
            </w:r>
          </w:p>
        </w:tc>
        <w:tc>
          <w:tcPr>
            <w:tcW w:w="1280" w:type="dxa"/>
            <w:vAlign w:val="bottom"/>
            <w:gridSpan w:val="4"/>
          </w:tcPr>
          <w:p>
            <w:pPr>
              <w:jc w:val="right"/>
              <w:ind w:right="620"/>
              <w:spacing w:after="0" w:line="162" w:lineRule="exact"/>
              <w:rPr>
                <w:sz w:val="20"/>
                <w:szCs w:val="20"/>
                <w:color w:val="auto"/>
              </w:rPr>
            </w:pPr>
            <w:r>
              <w:rPr>
                <w:rFonts w:ascii="Arial" w:cs="Arial" w:eastAsia="Arial" w:hAnsi="Arial"/>
                <w:sz w:val="15"/>
                <w:szCs w:val="15"/>
                <w:color w:val="auto"/>
              </w:rPr>
              <w:t>548</w:t>
            </w:r>
          </w:p>
        </w:tc>
        <w:tc>
          <w:tcPr>
            <w:tcW w:w="180" w:type="dxa"/>
            <w:vAlign w:val="bottom"/>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liabilities</w:t>
            </w:r>
          </w:p>
        </w:tc>
        <w:tc>
          <w:tcPr>
            <w:tcW w:w="16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1,981</w:t>
            </w:r>
          </w:p>
        </w:tc>
        <w:tc>
          <w:tcPr>
            <w:tcW w:w="1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1,275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tcPr>
          <w:p>
            <w:pPr>
              <w:ind w:left="300"/>
              <w:spacing w:after="0" w:line="162" w:lineRule="exact"/>
              <w:rPr>
                <w:sz w:val="20"/>
                <w:szCs w:val="20"/>
                <w:color w:val="auto"/>
              </w:rPr>
            </w:pPr>
            <w:r>
              <w:rPr>
                <w:rFonts w:ascii="Arial" w:cs="Arial" w:eastAsia="Arial" w:hAnsi="Arial"/>
                <w:sz w:val="15"/>
                <w:szCs w:val="15"/>
                <w:color w:val="auto"/>
              </w:rPr>
              <w:t>Tax credits</w:t>
            </w:r>
          </w:p>
        </w:tc>
        <w:tc>
          <w:tcPr>
            <w:tcW w:w="160" w:type="dxa"/>
            <w:vAlign w:val="bottom"/>
          </w:tcPr>
          <w:p>
            <w:pPr>
              <w:spacing w:after="0"/>
              <w:rPr>
                <w:sz w:val="14"/>
                <w:szCs w:val="14"/>
                <w:color w:val="auto"/>
              </w:rPr>
            </w:pPr>
          </w:p>
        </w:tc>
        <w:tc>
          <w:tcPr>
            <w:tcW w:w="1280" w:type="dxa"/>
            <w:vAlign w:val="bottom"/>
            <w:gridSpan w:val="4"/>
          </w:tcPr>
          <w:p>
            <w:pPr>
              <w:jc w:val="right"/>
              <w:ind w:right="620"/>
              <w:spacing w:after="0" w:line="162" w:lineRule="exact"/>
              <w:rPr>
                <w:sz w:val="20"/>
                <w:szCs w:val="20"/>
                <w:color w:val="auto"/>
              </w:rPr>
            </w:pPr>
            <w:r>
              <w:rPr>
                <w:rFonts w:ascii="Arial" w:cs="Arial" w:eastAsia="Arial" w:hAnsi="Arial"/>
                <w:sz w:val="15"/>
                <w:szCs w:val="15"/>
                <w:color w:val="auto"/>
              </w:rPr>
              <w:t>3,115</w:t>
            </w:r>
          </w:p>
        </w:tc>
        <w:tc>
          <w:tcPr>
            <w:tcW w:w="18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 based compensation</w:t>
            </w:r>
          </w:p>
        </w:tc>
        <w:tc>
          <w:tcPr>
            <w:tcW w:w="16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841</w:t>
            </w:r>
          </w:p>
        </w:tc>
        <w:tc>
          <w:tcPr>
            <w:tcW w:w="1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1,171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tcPr>
          <w:p>
            <w:pPr>
              <w:ind w:left="300"/>
              <w:spacing w:after="0" w:line="162" w:lineRule="exact"/>
              <w:rPr>
                <w:sz w:val="20"/>
                <w:szCs w:val="20"/>
                <w:color w:val="auto"/>
              </w:rPr>
            </w:pPr>
            <w:r>
              <w:rPr>
                <w:rFonts w:ascii="Arial" w:cs="Arial" w:eastAsia="Arial" w:hAnsi="Arial"/>
                <w:sz w:val="15"/>
                <w:szCs w:val="15"/>
                <w:color w:val="auto"/>
              </w:rPr>
              <w:t>Deferred revenue</w:t>
            </w:r>
          </w:p>
        </w:tc>
        <w:tc>
          <w:tcPr>
            <w:tcW w:w="160" w:type="dxa"/>
            <w:vAlign w:val="bottom"/>
          </w:tcPr>
          <w:p>
            <w:pPr>
              <w:spacing w:after="0"/>
              <w:rPr>
                <w:sz w:val="14"/>
                <w:szCs w:val="14"/>
                <w:color w:val="auto"/>
              </w:rPr>
            </w:pPr>
          </w:p>
        </w:tc>
        <w:tc>
          <w:tcPr>
            <w:tcW w:w="1280" w:type="dxa"/>
            <w:vAlign w:val="bottom"/>
            <w:gridSpan w:val="4"/>
          </w:tcPr>
          <w:p>
            <w:pPr>
              <w:jc w:val="right"/>
              <w:ind w:right="620"/>
              <w:spacing w:after="0" w:line="162" w:lineRule="exact"/>
              <w:rPr>
                <w:sz w:val="20"/>
                <w:szCs w:val="20"/>
                <w:color w:val="auto"/>
              </w:rPr>
            </w:pPr>
            <w:r>
              <w:rPr>
                <w:rFonts w:ascii="Arial" w:cs="Arial" w:eastAsia="Arial" w:hAnsi="Arial"/>
                <w:sz w:val="15"/>
                <w:szCs w:val="15"/>
                <w:color w:val="auto"/>
              </w:rPr>
              <w:t>1,467</w:t>
            </w:r>
          </w:p>
        </w:tc>
        <w:tc>
          <w:tcPr>
            <w:tcW w:w="18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Depreciation</w:t>
            </w:r>
          </w:p>
        </w:tc>
        <w:tc>
          <w:tcPr>
            <w:tcW w:w="16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617</w:t>
            </w:r>
          </w:p>
        </w:tc>
        <w:tc>
          <w:tcPr>
            <w:tcW w:w="1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tcPr>
          <w:p>
            <w:pPr>
              <w:ind w:left="300"/>
              <w:spacing w:after="0" w:line="162" w:lineRule="exact"/>
              <w:rPr>
                <w:sz w:val="20"/>
                <w:szCs w:val="20"/>
                <w:color w:val="auto"/>
              </w:rPr>
            </w:pPr>
            <w:r>
              <w:rPr>
                <w:rFonts w:ascii="Arial" w:cs="Arial" w:eastAsia="Arial" w:hAnsi="Arial"/>
                <w:sz w:val="15"/>
                <w:szCs w:val="15"/>
                <w:color w:val="auto"/>
              </w:rPr>
              <w:t>Basis difference on investments</w:t>
            </w:r>
          </w:p>
        </w:tc>
        <w:tc>
          <w:tcPr>
            <w:tcW w:w="160" w:type="dxa"/>
            <w:vAlign w:val="bottom"/>
          </w:tcPr>
          <w:p>
            <w:pPr>
              <w:spacing w:after="0"/>
              <w:rPr>
                <w:sz w:val="14"/>
                <w:szCs w:val="14"/>
                <w:color w:val="auto"/>
              </w:rPr>
            </w:pPr>
          </w:p>
        </w:tc>
        <w:tc>
          <w:tcPr>
            <w:tcW w:w="1280" w:type="dxa"/>
            <w:vAlign w:val="bottom"/>
            <w:gridSpan w:val="4"/>
          </w:tcPr>
          <w:p>
            <w:pPr>
              <w:jc w:val="right"/>
              <w:ind w:right="620"/>
              <w:spacing w:after="0" w:line="162" w:lineRule="exact"/>
              <w:rPr>
                <w:sz w:val="20"/>
                <w:szCs w:val="20"/>
                <w:color w:val="auto"/>
              </w:rPr>
            </w:pPr>
            <w:r>
              <w:rPr>
                <w:rFonts w:ascii="Arial" w:cs="Arial" w:eastAsia="Arial" w:hAnsi="Arial"/>
                <w:sz w:val="15"/>
                <w:szCs w:val="15"/>
                <w:color w:val="auto"/>
              </w:rPr>
              <w:t>327</w:t>
            </w:r>
          </w:p>
        </w:tc>
        <w:tc>
          <w:tcPr>
            <w:tcW w:w="180" w:type="dxa"/>
            <w:vAlign w:val="bottom"/>
          </w:tcPr>
          <w:p>
            <w:pPr>
              <w:spacing w:after="0"/>
              <w:rPr>
                <w:sz w:val="14"/>
                <w:szCs w:val="14"/>
                <w:color w:val="auto"/>
              </w:rPr>
            </w:pPr>
          </w:p>
        </w:tc>
        <w:tc>
          <w:tcPr>
            <w:tcW w:w="72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operating loss carryforwards</w:t>
            </w:r>
          </w:p>
        </w:tc>
        <w:tc>
          <w:tcPr>
            <w:tcW w:w="1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1,015</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140"/>
              <w:spacing w:after="0"/>
              <w:rPr>
                <w:sz w:val="20"/>
                <w:szCs w:val="20"/>
                <w:color w:val="auto"/>
              </w:rPr>
            </w:pPr>
            <w:r>
              <w:rPr>
                <w:rFonts w:ascii="Arial" w:cs="Arial" w:eastAsia="Arial" w:hAnsi="Arial"/>
                <w:sz w:val="15"/>
                <w:szCs w:val="15"/>
                <w:color w:val="auto"/>
              </w:rPr>
              <w:t>Total deferred tax assets</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9,911</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4"/>
          </w:tcPr>
          <w:p>
            <w:pPr>
              <w:jc w:val="right"/>
              <w:ind w:right="100"/>
              <w:spacing w:after="0" w:line="169" w:lineRule="exact"/>
              <w:rPr>
                <w:sz w:val="20"/>
                <w:szCs w:val="20"/>
                <w:color w:val="auto"/>
              </w:rPr>
            </w:pPr>
            <w:r>
              <w:rPr>
                <w:rFonts w:ascii="Arial" w:cs="Arial" w:eastAsia="Arial" w:hAnsi="Arial"/>
                <w:sz w:val="15"/>
                <w:szCs w:val="15"/>
                <w:color w:val="auto"/>
              </w:rPr>
              <w:t>8,171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Less: Valuation allowance</w:t>
            </w:r>
          </w:p>
        </w:tc>
        <w:tc>
          <w:tcPr>
            <w:tcW w:w="16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580"/>
              <w:spacing w:after="0" w:line="162" w:lineRule="exact"/>
              <w:rPr>
                <w:sz w:val="20"/>
                <w:szCs w:val="20"/>
                <w:color w:val="auto"/>
              </w:rPr>
            </w:pPr>
            <w:r>
              <w:rPr>
                <w:rFonts w:ascii="Arial" w:cs="Arial" w:eastAsia="Arial" w:hAnsi="Arial"/>
                <w:sz w:val="15"/>
                <w:szCs w:val="15"/>
                <w:color w:val="auto"/>
              </w:rPr>
              <w:t>(1,110)</w:t>
            </w:r>
          </w:p>
        </w:tc>
        <w:tc>
          <w:tcPr>
            <w:tcW w:w="1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(654)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60" w:type="dxa"/>
            <w:vAlign w:val="bottom"/>
          </w:tcPr>
          <w:p>
            <w:pPr>
              <w:ind w:left="140"/>
              <w:spacing w:after="0" w:line="169" w:lineRule="exact"/>
              <w:rPr>
                <w:sz w:val="20"/>
                <w:szCs w:val="20"/>
                <w:color w:val="auto"/>
              </w:rPr>
            </w:pPr>
            <w:r>
              <w:rPr>
                <w:rFonts w:ascii="Arial" w:cs="Arial" w:eastAsia="Arial" w:hAnsi="Arial"/>
                <w:sz w:val="15"/>
                <w:szCs w:val="15"/>
                <w:color w:val="auto"/>
              </w:rPr>
              <w:t>Deferred tax assets, net of valuation allowance</w:t>
            </w: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5"/>
                <w:szCs w:val="15"/>
                <w:color w:val="auto"/>
              </w:rPr>
              <w:t>8,801</w:t>
            </w:r>
          </w:p>
        </w:tc>
        <w:tc>
          <w:tcPr>
            <w:tcW w:w="6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5"/>
                <w:szCs w:val="15"/>
                <w:color w:val="auto"/>
              </w:rPr>
              <w:t>7,517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tax liabilities: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tcPr>
          <w:p>
            <w:pPr>
              <w:ind w:left="140"/>
              <w:spacing w:after="0" w:line="162" w:lineRule="exact"/>
              <w:rPr>
                <w:sz w:val="20"/>
                <w:szCs w:val="20"/>
                <w:color w:val="auto"/>
              </w:rPr>
            </w:pPr>
            <w:r>
              <w:rPr>
                <w:rFonts w:ascii="Arial" w:cs="Arial" w:eastAsia="Arial" w:hAnsi="Arial"/>
                <w:sz w:val="15"/>
                <w:szCs w:val="15"/>
                <w:color w:val="auto"/>
              </w:rPr>
              <w:t>Deductible goodwill</w:t>
            </w:r>
          </w:p>
        </w:tc>
        <w:tc>
          <w:tcPr>
            <w:tcW w:w="160" w:type="dxa"/>
            <w:vAlign w:val="bottom"/>
          </w:tcPr>
          <w:p>
            <w:pPr>
              <w:spacing w:after="0"/>
              <w:rPr>
                <w:sz w:val="14"/>
                <w:szCs w:val="14"/>
                <w:color w:val="auto"/>
              </w:rPr>
            </w:pPr>
          </w:p>
        </w:tc>
        <w:tc>
          <w:tcPr>
            <w:tcW w:w="1280" w:type="dxa"/>
            <w:vAlign w:val="bottom"/>
            <w:gridSpan w:val="4"/>
          </w:tcPr>
          <w:p>
            <w:pPr>
              <w:jc w:val="right"/>
              <w:ind w:right="620"/>
              <w:spacing w:after="0" w:line="162" w:lineRule="exact"/>
              <w:rPr>
                <w:sz w:val="20"/>
                <w:szCs w:val="20"/>
                <w:color w:val="auto"/>
              </w:rPr>
            </w:pPr>
            <w:r>
              <w:rPr>
                <w:rFonts w:ascii="Arial" w:cs="Arial" w:eastAsia="Arial" w:hAnsi="Arial"/>
                <w:sz w:val="15"/>
                <w:szCs w:val="15"/>
                <w:color w:val="auto"/>
              </w:rPr>
              <w:t>2,917</w:t>
            </w:r>
          </w:p>
        </w:tc>
        <w:tc>
          <w:tcPr>
            <w:tcW w:w="18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Nondeductible intangible assets</w:t>
            </w:r>
          </w:p>
        </w:tc>
        <w:tc>
          <w:tcPr>
            <w:tcW w:w="16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1,330</w:t>
            </w:r>
          </w:p>
        </w:tc>
        <w:tc>
          <w:tcPr>
            <w:tcW w:w="1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2,523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tcPr>
          <w:p>
            <w:pPr>
              <w:ind w:left="140"/>
              <w:spacing w:after="0" w:line="162" w:lineRule="exact"/>
              <w:rPr>
                <w:sz w:val="20"/>
                <w:szCs w:val="20"/>
                <w:color w:val="auto"/>
              </w:rPr>
            </w:pPr>
            <w:r>
              <w:rPr>
                <w:rFonts w:ascii="Arial" w:cs="Arial" w:eastAsia="Arial" w:hAnsi="Arial"/>
                <w:sz w:val="15"/>
                <w:szCs w:val="15"/>
                <w:color w:val="auto"/>
              </w:rPr>
              <w:t>Prepaid assets</w:t>
            </w:r>
          </w:p>
        </w:tc>
        <w:tc>
          <w:tcPr>
            <w:tcW w:w="160" w:type="dxa"/>
            <w:vAlign w:val="bottom"/>
          </w:tcPr>
          <w:p>
            <w:pPr>
              <w:spacing w:after="0"/>
              <w:rPr>
                <w:sz w:val="14"/>
                <w:szCs w:val="14"/>
                <w:color w:val="auto"/>
              </w:rPr>
            </w:pPr>
          </w:p>
        </w:tc>
        <w:tc>
          <w:tcPr>
            <w:tcW w:w="1280" w:type="dxa"/>
            <w:vAlign w:val="bottom"/>
            <w:gridSpan w:val="4"/>
          </w:tcPr>
          <w:p>
            <w:pPr>
              <w:jc w:val="right"/>
              <w:ind w:right="620"/>
              <w:spacing w:after="0" w:line="162" w:lineRule="exact"/>
              <w:rPr>
                <w:sz w:val="20"/>
                <w:szCs w:val="20"/>
                <w:color w:val="auto"/>
              </w:rPr>
            </w:pPr>
            <w:r>
              <w:rPr>
                <w:rFonts w:ascii="Arial" w:cs="Arial" w:eastAsia="Arial" w:hAnsi="Arial"/>
                <w:sz w:val="15"/>
                <w:szCs w:val="15"/>
                <w:color w:val="auto"/>
              </w:rPr>
              <w:t>1,881</w:t>
            </w:r>
          </w:p>
        </w:tc>
        <w:tc>
          <w:tcPr>
            <w:tcW w:w="180" w:type="dxa"/>
            <w:vAlign w:val="bottom"/>
          </w:tcPr>
          <w:p>
            <w:pPr>
              <w:spacing w:after="0"/>
              <w:rPr>
                <w:sz w:val="14"/>
                <w:szCs w:val="14"/>
                <w:color w:val="auto"/>
              </w:rPr>
            </w:pPr>
          </w:p>
        </w:tc>
        <w:tc>
          <w:tcPr>
            <w:tcW w:w="6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Capitalized software development</w:t>
            </w: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4,599</w:t>
            </w:r>
          </w:p>
        </w:tc>
        <w:tc>
          <w:tcPr>
            <w:tcW w:w="6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5,801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80" w:type="dxa"/>
            <w:vAlign w:val="bottom"/>
            <w:gridSpan w:val="2"/>
          </w:tcPr>
          <w:p>
            <w:pPr>
              <w:spacing w:after="0" w:line="169" w:lineRule="exact"/>
              <w:rPr>
                <w:sz w:val="20"/>
                <w:szCs w:val="20"/>
                <w:color w:val="auto"/>
              </w:rPr>
            </w:pPr>
            <w:r>
              <w:rPr>
                <w:rFonts w:ascii="Arial" w:cs="Arial" w:eastAsia="Arial" w:hAnsi="Arial"/>
                <w:sz w:val="15"/>
                <w:szCs w:val="15"/>
                <w:color w:val="auto"/>
              </w:rPr>
              <w:t>Total deferred tax liabilities</w:t>
            </w:r>
          </w:p>
        </w:tc>
        <w:tc>
          <w:tcPr>
            <w:tcW w:w="160" w:type="dxa"/>
            <w:vAlign w:val="bottom"/>
          </w:tcPr>
          <w:p>
            <w:pPr>
              <w:spacing w:after="0"/>
              <w:rPr>
                <w:sz w:val="14"/>
                <w:szCs w:val="14"/>
                <w:color w:val="auto"/>
              </w:rPr>
            </w:pPr>
          </w:p>
        </w:tc>
        <w:tc>
          <w:tcPr>
            <w:tcW w:w="1280" w:type="dxa"/>
            <w:vAlign w:val="bottom"/>
            <w:gridSpan w:val="4"/>
          </w:tcPr>
          <w:p>
            <w:pPr>
              <w:jc w:val="right"/>
              <w:ind w:right="620"/>
              <w:spacing w:after="0" w:line="169" w:lineRule="exact"/>
              <w:rPr>
                <w:sz w:val="20"/>
                <w:szCs w:val="20"/>
                <w:color w:val="auto"/>
              </w:rPr>
            </w:pPr>
            <w:r>
              <w:rPr>
                <w:rFonts w:ascii="Arial" w:cs="Arial" w:eastAsia="Arial" w:hAnsi="Arial"/>
                <w:sz w:val="15"/>
                <w:szCs w:val="15"/>
                <w:color w:val="auto"/>
              </w:rPr>
              <w:t>10,727</w:t>
            </w:r>
          </w:p>
        </w:tc>
        <w:tc>
          <w:tcPr>
            <w:tcW w:w="180" w:type="dxa"/>
            <w:vAlign w:val="bottom"/>
          </w:tcPr>
          <w:p>
            <w:pPr>
              <w:spacing w:after="0"/>
              <w:rPr>
                <w:sz w:val="14"/>
                <w:szCs w:val="14"/>
                <w:color w:val="auto"/>
              </w:rPr>
            </w:pPr>
          </w:p>
        </w:tc>
        <w:tc>
          <w:tcPr>
            <w:tcW w:w="720" w:type="dxa"/>
            <w:vAlign w:val="bottom"/>
            <w:gridSpan w:val="4"/>
          </w:tcPr>
          <w:p>
            <w:pPr>
              <w:jc w:val="right"/>
              <w:ind w:right="100"/>
              <w:spacing w:after="0" w:line="169" w:lineRule="exact"/>
              <w:rPr>
                <w:sz w:val="20"/>
                <w:szCs w:val="20"/>
                <w:color w:val="auto"/>
              </w:rPr>
            </w:pPr>
            <w:r>
              <w:rPr>
                <w:rFonts w:ascii="Arial" w:cs="Arial" w:eastAsia="Arial" w:hAnsi="Arial"/>
                <w:sz w:val="15"/>
                <w:szCs w:val="15"/>
                <w:color w:val="auto"/>
              </w:rPr>
              <w:t>13,485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deferred tax liabilities</w:t>
            </w:r>
          </w:p>
        </w:tc>
        <w:tc>
          <w:tcPr>
            <w:tcW w:w="1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w w:val="71"/>
              </w:rPr>
              <w:t>$</w:t>
            </w:r>
          </w:p>
        </w:tc>
        <w:tc>
          <w:tcPr>
            <w:tcW w:w="1280" w:type="dxa"/>
            <w:vAlign w:val="bottom"/>
            <w:gridSpan w:val="4"/>
            <w:shd w:val="clear" w:color="auto" w:fill="CCEEFF"/>
          </w:tcPr>
          <w:p>
            <w:pPr>
              <w:jc w:val="right"/>
              <w:ind w:right="580"/>
              <w:spacing w:after="0" w:line="162" w:lineRule="exact"/>
              <w:rPr>
                <w:sz w:val="20"/>
                <w:szCs w:val="20"/>
                <w:color w:val="auto"/>
              </w:rPr>
            </w:pPr>
            <w:r>
              <w:rPr>
                <w:rFonts w:ascii="Arial" w:cs="Arial" w:eastAsia="Arial" w:hAnsi="Arial"/>
                <w:sz w:val="15"/>
                <w:szCs w:val="15"/>
                <w:color w:val="auto"/>
              </w:rPr>
              <w:t>(1,926)</w:t>
            </w:r>
          </w:p>
        </w:tc>
        <w:tc>
          <w:tcPr>
            <w:tcW w:w="1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Incentive Plans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Company’s 2016 Omnibus Incentive Plan (“2016 Plan”), 2010 Stock Incentive Plan (“2010 Plan”), and 2000 Stock Incentive Plan (“2000 Plan”; collectively, the 2016 Plan, the 2010 Plan, and the 2000 Plan, referred to as the “Plan”) authorize the grant of options, restricted share units (“RSUs”),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and RSUs granted has historically ranged from immediate vesting to annual vesting up to four years, generally beginning one year after the grant date. As of December 31, 2017, approximately 1.3 million shares of unissued common stock remained reserved for future stock incentive grants under the 2016 Plan. The Company issues new shares of common stock when options are exercised or when RSUs become vested.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 Activity</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summary of activity and various other information relative to stock options for the year ended December 31, 2017 is presented in the tables below (in thousands, except exercise price).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60" w:type="dxa"/>
            <w:vAlign w:val="bottom"/>
          </w:tcPr>
          <w:p>
            <w:pPr>
              <w:spacing w:after="0"/>
              <w:rPr>
                <w:sz w:val="17"/>
                <w:szCs w:val="17"/>
                <w:color w:val="auto"/>
              </w:rPr>
            </w:pPr>
          </w:p>
        </w:tc>
        <w:tc>
          <w:tcPr>
            <w:tcW w:w="114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7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560" w:type="dxa"/>
            <w:vAlign w:val="bottom"/>
            <w:tcBorders>
              <w:bottom w:val="single" w:sz="8" w:color="CCEEFF"/>
            </w:tcBorders>
            <w:gridSpan w:val="2"/>
          </w:tcPr>
          <w:p>
            <w:pPr>
              <w:spacing w:after="0"/>
              <w:rPr>
                <w:sz w:val="18"/>
                <w:szCs w:val="18"/>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Exercise Price</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1"/>
              </w:rPr>
              <w:t>Intrinsic Value</w:t>
            </w:r>
          </w:p>
        </w:tc>
        <w:tc>
          <w:tcPr>
            <w:tcW w:w="40" w:type="dxa"/>
            <w:vAlign w:val="bottom"/>
            <w:tcBorders>
              <w:bottom w:val="single" w:sz="8" w:color="CCEEFF"/>
            </w:tcBorders>
          </w:tcPr>
          <w:p>
            <w:pPr>
              <w:spacing w:after="0"/>
              <w:rPr>
                <w:sz w:val="18"/>
                <w:szCs w:val="18"/>
                <w:color w:val="auto"/>
              </w:rPr>
            </w:pP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beginning of period</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140" w:type="dxa"/>
            <w:vAlign w:val="bottom"/>
            <w:gridSpan w:val="4"/>
            <w:shd w:val="clear" w:color="auto" w:fill="CCEEFF"/>
          </w:tcPr>
          <w:p>
            <w:pPr>
              <w:jc w:val="right"/>
              <w:ind w:right="46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Expired</w:t>
            </w:r>
          </w:p>
        </w:tc>
        <w:tc>
          <w:tcPr>
            <w:tcW w:w="114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140" w:type="dxa"/>
            <w:vAlign w:val="bottom"/>
            <w:gridSpan w:val="4"/>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7"/>
        </w:trPr>
        <w:tc>
          <w:tcPr>
            <w:tcW w:w="7760" w:type="dxa"/>
            <w:vAlign w:val="bottom"/>
          </w:tcPr>
          <w:p>
            <w:pPr>
              <w:spacing w:after="0"/>
              <w:rPr>
                <w:sz w:val="20"/>
                <w:szCs w:val="20"/>
                <w:color w:val="auto"/>
              </w:rPr>
            </w:pPr>
            <w:r>
              <w:rPr>
                <w:rFonts w:ascii="Arial" w:cs="Arial" w:eastAsia="Arial" w:hAnsi="Arial"/>
                <w:sz w:val="16"/>
                <w:szCs w:val="16"/>
                <w:color w:val="auto"/>
              </w:rPr>
              <w:t>Outstanding at end of period</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376</w:t>
            </w: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220" w:type="dxa"/>
            <w:vAlign w:val="bottom"/>
          </w:tcPr>
          <w:p>
            <w:pPr>
              <w:spacing w:after="0"/>
              <w:rPr>
                <w:sz w:val="17"/>
                <w:szCs w:val="17"/>
                <w:color w:val="auto"/>
              </w:rPr>
            </w:pP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5,912</w:t>
            </w:r>
          </w:p>
        </w:tc>
        <w:tc>
          <w:tcPr>
            <w:tcW w:w="4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Exercisable at end of period</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5,912</w:t>
            </w:r>
          </w:p>
        </w:tc>
        <w:tc>
          <w:tcPr>
            <w:tcW w:w="40" w:type="dxa"/>
            <w:vAlign w:val="bottom"/>
            <w:shd w:val="clear" w:color="auto" w:fill="CCEEFF"/>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aggregate intrinsic value for stock options in the table above represents the total difference between the Company’s closing stock price on December 29, 2017 (the last trading day of the year) of $23.16 per share and the option exercise price, multiplied by the number of in-the-money options as of December 31, 2017. The weighted average remaining contractual term of options outstanding at December 31, 2017 was 0.9 years. Options exercisable at December 31, 2017 have a weighted average remaining contractual term of 0.9 years.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relative to option activity during the three years ended December 31, 2017 is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Total grant date fair value of stock options vested</w:t>
            </w:r>
          </w:p>
        </w:tc>
        <w:tc>
          <w:tcPr>
            <w:tcW w:w="2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top w:val="single" w:sz="8" w:color="CCEEFF"/>
            </w:tcBorders>
            <w:gridSpan w:val="2"/>
            <w:shd w:val="clear" w:color="auto" w:fill="CCEEFF"/>
          </w:tcPr>
          <w:p>
            <w:pPr>
              <w:jc w:val="right"/>
              <w:ind w:right="65"/>
              <w:spacing w:after="0" w:line="189"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Total intrinsic value of stock options exercised</w:t>
            </w: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1,973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1,662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Cash proceeds from exercise of stock options</w:t>
            </w:r>
          </w:p>
        </w:tc>
        <w:tc>
          <w:tcPr>
            <w:tcW w:w="23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413</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145</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Share Unit Activity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relative to RSUs for the year ended December 31, 2017 is as follows (in thousands, except weighted average grant date fair value):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Weighted-</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440" w:type="dxa"/>
            <w:vAlign w:val="bottom"/>
            <w:gridSpan w:val="5"/>
          </w:tcPr>
          <w:p>
            <w:pPr>
              <w:jc w:val="center"/>
              <w:ind w:left="379"/>
              <w:spacing w:after="0"/>
              <w:rPr>
                <w:sz w:val="20"/>
                <w:szCs w:val="20"/>
                <w:color w:val="auto"/>
              </w:rPr>
            </w:pPr>
            <w:r>
              <w:rPr>
                <w:rFonts w:ascii="Arial" w:cs="Arial" w:eastAsia="Arial" w:hAnsi="Arial"/>
                <w:sz w:val="16"/>
                <w:szCs w:val="16"/>
                <w:b w:val="1"/>
                <w:bCs w:val="1"/>
                <w:color w:val="auto"/>
                <w:w w:val="92"/>
              </w:rPr>
              <w:t>Number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Average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w w:val="93"/>
              </w:rPr>
              <w:t>RSU’s</w:t>
            </w:r>
          </w:p>
        </w:tc>
        <w:tc>
          <w:tcPr>
            <w:tcW w:w="1260" w:type="dxa"/>
            <w:vAlign w:val="bottom"/>
            <w:gridSpan w:val="2"/>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Grant Date Fair Value</w:t>
            </w:r>
          </w:p>
        </w:tc>
        <w:tc>
          <w:tcPr>
            <w:tcW w:w="1200" w:type="dxa"/>
            <w:vAlign w:val="bottom"/>
          </w:tcPr>
          <w:p>
            <w:pPr>
              <w:spacing w:after="0"/>
              <w:rPr>
                <w:sz w:val="18"/>
                <w:szCs w:val="18"/>
                <w:color w:val="auto"/>
              </w:rPr>
            </w:pPr>
          </w:p>
        </w:tc>
        <w:tc>
          <w:tcPr>
            <w:tcW w:w="14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Outstanding at beginning of period</w:t>
            </w:r>
          </w:p>
        </w:tc>
        <w:tc>
          <w:tcPr>
            <w:tcW w:w="1740" w:type="dxa"/>
            <w:vAlign w:val="bottom"/>
            <w:gridSpan w:val="2"/>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vMerge w:val="continue"/>
            <w:shd w:val="clear" w:color="auto" w:fill="CCEEFF"/>
          </w:tcPr>
          <w:p>
            <w:pPr>
              <w:spacing w:after="0"/>
              <w:rPr>
                <w:sz w:val="16"/>
                <w:szCs w:val="16"/>
                <w:color w:val="auto"/>
              </w:rPr>
            </w:pPr>
          </w:p>
        </w:tc>
        <w:tc>
          <w:tcPr>
            <w:tcW w:w="1740" w:type="dxa"/>
            <w:vAlign w:val="bottom"/>
            <w:gridSpan w:val="2"/>
            <w:vMerge w:val="continue"/>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23.36</w:t>
            </w: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Granted</w:t>
            </w:r>
          </w:p>
        </w:tc>
        <w:tc>
          <w:tcPr>
            <w:tcW w:w="2260" w:type="dxa"/>
            <w:vAlign w:val="bottom"/>
            <w:gridSpan w:val="4"/>
          </w:tcPr>
          <w:p>
            <w:pPr>
              <w:jc w:val="right"/>
              <w:spacing w:after="0"/>
              <w:rPr>
                <w:sz w:val="20"/>
                <w:szCs w:val="20"/>
                <w:color w:val="auto"/>
              </w:rPr>
            </w:pPr>
            <w:r>
              <w:rPr>
                <w:rFonts w:ascii="Arial" w:cs="Arial" w:eastAsia="Arial" w:hAnsi="Arial"/>
                <w:sz w:val="16"/>
                <w:szCs w:val="16"/>
                <w:color w:val="auto"/>
              </w:rPr>
              <w:t>111</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23.43</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3440" w:type="dxa"/>
            <w:vAlign w:val="bottom"/>
            <w:gridSpan w:val="5"/>
            <w:shd w:val="clear" w:color="auto" w:fill="CCEEFF"/>
          </w:tcPr>
          <w:p>
            <w:pPr>
              <w:jc w:val="right"/>
              <w:ind w:right="1180"/>
              <w:spacing w:after="0"/>
              <w:rPr>
                <w:sz w:val="20"/>
                <w:szCs w:val="20"/>
                <w:color w:val="auto"/>
              </w:rPr>
            </w:pPr>
            <w:r>
              <w:rPr>
                <w:rFonts w:ascii="Arial" w:cs="Arial" w:eastAsia="Arial" w:hAnsi="Arial"/>
                <w:sz w:val="16"/>
                <w:szCs w:val="16"/>
                <w:color w:val="auto"/>
              </w:rPr>
              <w:t>(77)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24.21</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Forfeited</w:t>
            </w:r>
          </w:p>
        </w:tc>
        <w:tc>
          <w:tcPr>
            <w:tcW w:w="1660" w:type="dxa"/>
            <w:vAlign w:val="bottom"/>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(28)</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end of period</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23.13</w:t>
            </w:r>
          </w:p>
        </w:tc>
        <w:tc>
          <w:tcPr>
            <w:tcW w:w="15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BASED COMPENSATION (continued)</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aggregate fair value of RSUs that vested during the year ended December 31, 2017 and 2016, as of the respective vesting dates, was approximately $1.9 million and $1.5 million, respectively. A portion of RSUs that vested in 2017 and 2016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2017 and 2016 were 17,122 and 15,373, respectively, and were based on the value of the RSUs on their respective settlement dates as determined by the Company’s closing stock price. Total payments related to RSUs for the employees’ tax obligations to taxing authorities were approximately $412,000 in 2017, $316,000 in 2016, and $230,000 in 2015,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Based Compensation</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Total stock based compensation expense, which is recorded in our consolidated statements of income, recorded for the years ended December 31,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7"/>
          </w:tcPr>
          <w:p>
            <w:pPr>
              <w:jc w:val="center"/>
              <w:spacing w:after="0"/>
              <w:rPr>
                <w:sz w:val="20"/>
                <w:szCs w:val="20"/>
                <w:color w:val="auto"/>
              </w:rPr>
            </w:pPr>
            <w:r>
              <w:rPr>
                <w:rFonts w:ascii="Arial" w:cs="Arial" w:eastAsia="Arial" w:hAnsi="Arial"/>
                <w:sz w:val="17"/>
                <w:szCs w:val="17"/>
                <w:b w:val="1"/>
                <w:bCs w:val="1"/>
                <w:color w:val="auto"/>
                <w:w w:val="89"/>
              </w:rPr>
              <w:t>Years Ended December 31,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60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2017</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2016</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2015</w:t>
            </w:r>
          </w:p>
        </w:tc>
        <w:tc>
          <w:tcPr>
            <w:tcW w:w="2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187"/>
        </w:trPr>
        <w:tc>
          <w:tcPr>
            <w:tcW w:w="60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Cost of revenues (excluding depreciation and amortization)</w:t>
            </w:r>
          </w:p>
        </w:tc>
        <w:tc>
          <w:tcPr>
            <w:tcW w:w="22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76</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w w:val="91"/>
              </w:rPr>
              <w:t>144</w:t>
            </w:r>
          </w:p>
        </w:tc>
        <w:tc>
          <w:tcPr>
            <w:tcW w:w="300" w:type="dxa"/>
            <w:vAlign w:val="bottom"/>
            <w:shd w:val="clear" w:color="auto" w:fill="CCEEFF"/>
          </w:tcPr>
          <w:p>
            <w:pPr>
              <w:jc w:val="right"/>
              <w:ind w:right="115"/>
              <w:spacing w:after="0" w:line="187" w:lineRule="exact"/>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w w:val="91"/>
              </w:rPr>
              <w:t>824</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Product development</w:t>
            </w: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258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7"/>
                <w:szCs w:val="17"/>
                <w:color w:val="auto"/>
              </w:rPr>
              <w:t>178</w:t>
            </w:r>
          </w:p>
        </w:tc>
        <w:tc>
          <w:tcPr>
            <w:tcW w:w="30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7"/>
                <w:szCs w:val="17"/>
                <w:color w:val="auto"/>
              </w:rPr>
              <w:t>569</w:t>
            </w: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239</w:t>
            </w:r>
          </w:p>
        </w:tc>
        <w:tc>
          <w:tcPr>
            <w:tcW w:w="3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547</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Other general and administrative</w:t>
            </w: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7"/>
                <w:szCs w:val="17"/>
                <w:color w:val="auto"/>
              </w:rPr>
              <w:t>1,278</w:t>
            </w:r>
          </w:p>
        </w:tc>
        <w:tc>
          <w:tcPr>
            <w:tcW w:w="28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7"/>
                <w:szCs w:val="17"/>
                <w:color w:val="auto"/>
              </w:rPr>
              <w:t>1,407</w:t>
            </w:r>
          </w:p>
        </w:tc>
        <w:tc>
          <w:tcPr>
            <w:tcW w:w="30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7"/>
                <w:szCs w:val="17"/>
                <w:color w:val="auto"/>
              </w:rPr>
              <w:t>1,340</w:t>
            </w:r>
          </w:p>
        </w:tc>
      </w:tr>
      <w:tr>
        <w:trPr>
          <w:trHeight w:val="27"/>
        </w:trPr>
        <w:tc>
          <w:tcPr>
            <w:tcW w:w="6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 based compensation expense</w:t>
            </w:r>
          </w:p>
        </w:tc>
        <w:tc>
          <w:tcPr>
            <w:tcW w:w="2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1,852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1,968</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3,280</w:t>
            </w:r>
          </w:p>
        </w:tc>
      </w:tr>
      <w:tr>
        <w:trPr>
          <w:trHeight w:val="20"/>
        </w:trPr>
        <w:tc>
          <w:tcPr>
            <w:tcW w:w="6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amortizes the fair value of all stock based awards, net of estimated forfeitures, on a straight-line basis over the requisite service period, which generally is the vesting period. As of December 31, 2017, total unrecognized compensation expense related to non-vested stock options and RSUs was approximately $3.4 million, net of estimated forfeitures, with a weighted average expense recognition period remaining of 2.56 years. The Company realized approximately $426,000 of excess tax benefits related to stock based awards during the year ended December 31, 2017, which was reflected in the statement of income as a component of the provision for income taxes.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2017, 2016, or 2015.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Awards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during the three months ended June 30, 2015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consolidated statements of cash flows for the year ended December 31, 2015. These share withholdings had the effect of share repurchases by the Company as they reduced and retired the number of shares otherwise issuable as a result of the stock awards and did not represent an expense to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ind w:right="8880" w:firstLine="8"/>
        <w:spacing w:after="0" w:line="517" w:lineRule="auto"/>
        <w:tabs>
          <w:tab w:leader="none" w:pos="25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 401(k) Plan</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approximately $909,000, $391,000, and $645,000 for the years ended December 31, 2017, 2016, and 2015,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DEBT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and 2016, the Company had no debt outstanding.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Revolving Credit Facility</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entered into a First Amendment to Revolving Credit Agreement (“Revolving Credit Facility”), amending the Revolving Credit Facility, dated as of November 24, 2014 with SunTrust Bank (“SunTrust”), extending the maturity date to November 24, 2018.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2018,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Revolving Credit Facility requires the Company to meet certain financial tests, including, without limitation:</w:t>
      </w:r>
    </w:p>
    <w:p>
      <w:pPr>
        <w:spacing w:after="0" w:line="12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funded debt leverage ratio (consolidated debt/consolidated EBITDA) of not greater than 3.0 to 1.0; and</w:t>
      </w:r>
    </w:p>
    <w:p>
      <w:pPr>
        <w:spacing w:after="0" w:line="20" w:lineRule="exact"/>
        <w:rPr>
          <w:rFonts w:ascii="Arial" w:cs="Arial" w:eastAsia="Arial" w:hAnsi="Arial"/>
          <w:sz w:val="17"/>
          <w:szCs w:val="17"/>
          <w:color w:val="auto"/>
        </w:rPr>
      </w:pPr>
    </w:p>
    <w:p>
      <w:pPr>
        <w:ind w:left="660" w:hanging="206"/>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interest coverage ratio (consolidated EBITDA/consolidated interest expense) of not less than 3.0 to 1.0.</w:t>
      </w:r>
    </w:p>
    <w:p>
      <w:pPr>
        <w:spacing w:after="0" w:line="3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2017, the Company was in material compliance with all covenants. There were no balances outstanding on the Revolving Credit Facility as of December 31, 2017 and there were no borrowings under the Revolving Credit Facility during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has non-cancellable operating leases primarily for office space and hosting facilities.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terms of the lease agreements generally provide the Company the option to renew. Total rent expense under all operating leases was approximately $7.6 million, $5.6 million, and $4.3 million, for the years ended December 31, 2017, 2016, and 2015,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LEASES (continued)</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Future rental payment commitments at December 31, 2017 under non-cancelable operating leases, with initial terms of one year or more,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3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2019</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3,495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2021</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3,750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Thereafter</w:t>
            </w:r>
          </w:p>
        </w:tc>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20,361</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Total minimum lease payments</w:t>
            </w:r>
          </w:p>
        </w:tc>
        <w:tc>
          <w:tcPr>
            <w:tcW w:w="3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39,990</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 subleases certain of its office space included above under non-cancellable leases and is due to receive future minimum rental payments of approximately $148,000 for the year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COLLABORATIVE ARRANGEMENT</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participates in a collaborative arrangement, SimVentures</w:t>
      </w:r>
      <w:r>
        <w:rPr>
          <w:rFonts w:ascii="Arial" w:cs="Arial" w:eastAsia="Arial" w:hAnsi="Arial"/>
          <w:sz w:val="14"/>
          <w:szCs w:val="14"/>
          <w:color w:val="auto"/>
        </w:rPr>
        <w:t>TM</w:t>
      </w:r>
      <w:r>
        <w:rPr>
          <w:rFonts w:ascii="Arial" w:cs="Arial" w:eastAsia="Arial" w:hAnsi="Arial"/>
          <w:sz w:val="17"/>
          <w:szCs w:val="17"/>
          <w:color w:val="auto"/>
        </w:rPr>
        <w:t>, with Laerdal Medical A/S (“Laerdal Medical”), which is ending effective March 1, 2018. The Company receives 50 percent of the profits or losses generated from this collaborative arrangement. The parties did not form a separate legal entity as part of the collaborative arrangement; therefore, the Company accounts for SimVentures as a collaborative arrangement in accordance with applicable accounting guidance. For the year ended December 31, 2017, the Company recorded approximately $2.2 million of revenues and $1.2 million of expenses related to the collaborative arrangement. For the year ended December 31, 2016, the Company recorded approximately $2.7 million of revenues and $1.4 million of expenses related to the collaborative arrangement. For the year ended December 31, 2015, the Company recorded approximately $2.2 million of revenues and $1.8 million of expenses related to the collaborative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LITIGATION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February 12, 2018, the Company divested its Patient Experience (“PX”) business to Press Ganey Associates (“Press Ganey”) for $65.5 million in cash (subject to adjustment based on the working capital of the PX business at closing), of which $6.5 million will be held in escrow for a period of time following the sale as a source of recovery for indemnification claims by Press Ganey. The sale of the PX business was effected by (i) the contribution by the Company of specified assets and certain liabilities used in the PX business to a newly-formed wholly-owned subsidiary of the Company, and (ii) immediately thereafter, the sale by the Company to Press Ganey of all of the outstanding equity interests such wholly-owned subsidiary. In connection with such contribution, the Company retained certain liabilities related to the PX business.</w:t>
      </w:r>
    </w:p>
    <w:p>
      <w:pPr>
        <w:spacing w:after="0" w:line="19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HealthStream anticipates recording a pre-tax book gain in the first quarter of 2018 on the sale of its PX business between $34.0 million to $38.0 million. This sale of the PX business resulted in the Company’s complete divestiture of the Company’s patient experience solutions business segment. With the proceeds from this transaction, the Board of Directors declared a $1.00 per common share special cash dividend payable on April 3, 2018 to shareholders of record on March 6, 2018.</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2017.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2017.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2017,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were no changes in HealthStream’s internal control over financial reporting that occurred during the fourth quarter of 2017 that have materially affected, or that are reasonably likely to materially affect, HealthStream’s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as to directors of the Company and corporate governance is incorporated by reference from the information to be contained in our proxy statement for the 2018 Annual Meeting of Shareholders (2018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2018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2018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2018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2018 Proxy Statement.</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(a)(1) Financial Statements</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Reference is made to the financial statements included in Item 8 to this Report on Form 10-K.</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(a)(2) Financial Statement Schedules</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All schedules are omitted because they are not applicable or the required information is shown in the Consolidated Financial Statements or the notes thereto.</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(a)(3)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20" w:type="dxa"/>
            <w:vAlign w:val="bottom"/>
            <w:gridSpan w:val="28"/>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1"/>
        </w:trPr>
        <w:tc>
          <w:tcPr>
            <w:tcW w:w="5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740" w:type="dxa"/>
            <w:vAlign w:val="bottom"/>
            <w:gridSpan w:val="13"/>
            <w:vMerge w:val="restart"/>
          </w:tcPr>
          <w:p>
            <w:pPr>
              <w:spacing w:after="0" w:line="160" w:lineRule="exact"/>
              <w:rPr>
                <w:rFonts w:ascii="Arial" w:cs="Arial" w:eastAsia="Arial" w:hAnsi="Arial"/>
                <w:sz w:val="17"/>
                <w:szCs w:val="17"/>
                <w:color w:val="0000EE"/>
                <w:w w:val="91"/>
              </w:rPr>
            </w:pPr>
            <w:hyperlink r:id="rId74">
              <w:r>
                <w:rPr>
                  <w:rFonts w:ascii="Arial" w:cs="Arial" w:eastAsia="Arial" w:hAnsi="Arial"/>
                  <w:sz w:val="17"/>
                  <w:szCs w:val="17"/>
                  <w:color w:val="0000EE"/>
                  <w:w w:val="91"/>
                </w:rPr>
                <w:t>Membership Interest Purchase Agreement, dated as of February 12,</w:t>
              </w:r>
            </w:hyperlink>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line="115" w:lineRule="exact"/>
              <w:rPr>
                <w:sz w:val="20"/>
                <w:szCs w:val="20"/>
                <w:color w:val="auto"/>
              </w:rPr>
            </w:pPr>
            <w:r>
              <w:rPr>
                <w:rFonts w:ascii="Arial" w:cs="Arial" w:eastAsia="Arial" w:hAnsi="Arial"/>
                <w:sz w:val="13"/>
                <w:szCs w:val="13"/>
                <w:color w:val="auto"/>
              </w:rPr>
              <w:t xml:space="preserve">2.1 </w:t>
            </w:r>
            <w:r>
              <w:rPr>
                <w:rFonts w:ascii="Arial" w:cs="Arial" w:eastAsia="Arial" w:hAnsi="Arial"/>
                <w:sz w:val="11"/>
                <w:szCs w:val="11"/>
                <w:color w:val="auto"/>
              </w:rPr>
              <w:t>(1)</w:t>
            </w:r>
          </w:p>
        </w:tc>
        <w:tc>
          <w:tcPr>
            <w:tcW w:w="740" w:type="dxa"/>
            <w:vAlign w:val="bottom"/>
          </w:tcPr>
          <w:p>
            <w:pPr>
              <w:spacing w:after="0"/>
              <w:rPr>
                <w:sz w:val="11"/>
                <w:szCs w:val="11"/>
                <w:color w:val="auto"/>
              </w:rPr>
            </w:pPr>
          </w:p>
        </w:tc>
        <w:tc>
          <w:tcPr>
            <w:tcW w:w="4740" w:type="dxa"/>
            <w:vAlign w:val="bottom"/>
            <w:tcBorders>
              <w:bottom w:val="single" w:sz="8" w:color="0000EE"/>
            </w:tcBorders>
            <w:gridSpan w:val="13"/>
            <w:vMerge w:val="continue"/>
          </w:tcPr>
          <w:p>
            <w:pPr>
              <w:spacing w:after="0"/>
              <w:rPr>
                <w:sz w:val="11"/>
                <w:szCs w:val="11"/>
                <w:color w:val="auto"/>
              </w:rPr>
            </w:pPr>
          </w:p>
        </w:tc>
        <w:tc>
          <w:tcPr>
            <w:tcW w:w="5380" w:type="dxa"/>
            <w:vAlign w:val="bottom"/>
            <w:tcBorders>
              <w:bottom w:val="single" w:sz="8" w:color="0000EE"/>
            </w:tcBorders>
            <w:gridSpan w:val="27"/>
          </w:tcPr>
          <w:p>
            <w:pPr>
              <w:spacing w:after="0" w:line="115" w:lineRule="exact"/>
              <w:rPr>
                <w:rFonts w:ascii="Arial" w:cs="Arial" w:eastAsia="Arial" w:hAnsi="Arial"/>
                <w:sz w:val="13"/>
                <w:szCs w:val="13"/>
                <w:color w:val="0000EE"/>
              </w:rPr>
            </w:pPr>
            <w:hyperlink r:id="rId74">
              <w:r>
                <w:rPr>
                  <w:rFonts w:ascii="Arial" w:cs="Arial" w:eastAsia="Arial" w:hAnsi="Arial"/>
                  <w:sz w:val="13"/>
                  <w:szCs w:val="13"/>
                  <w:color w:val="0000EE"/>
                </w:rPr>
                <w:t>2015, between HealthStream, Inc., Littrell Holdings, Inc., HealthLine Systems,</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180" w:type="dxa"/>
            <w:vAlign w:val="bottom"/>
            <w:tcBorders>
              <w:bottom w:val="single" w:sz="8" w:color="0000EE"/>
            </w:tcBorders>
            <w:gridSpan w:val="34"/>
          </w:tcPr>
          <w:p>
            <w:pPr>
              <w:spacing w:after="0" w:line="183" w:lineRule="exact"/>
              <w:rPr>
                <w:rFonts w:ascii="Arial" w:cs="Arial" w:eastAsia="Arial" w:hAnsi="Arial"/>
                <w:sz w:val="17"/>
                <w:szCs w:val="17"/>
                <w:color w:val="0000EE"/>
                <w:w w:val="91"/>
              </w:rPr>
            </w:pPr>
            <w:hyperlink r:id="rId74">
              <w:r>
                <w:rPr>
                  <w:rFonts w:ascii="Arial" w:cs="Arial" w:eastAsia="Arial" w:hAnsi="Arial"/>
                  <w:sz w:val="17"/>
                  <w:szCs w:val="17"/>
                  <w:color w:val="0000EE"/>
                  <w:w w:val="91"/>
                </w:rPr>
                <w:t>Inc., the Shareholders of HealthLine Systems, Inc., and Dan Littrell in his individual capacity and as the Shareholders Representative.</w:t>
              </w:r>
            </w:hyperlink>
          </w:p>
        </w:tc>
        <w:tc>
          <w:tcPr>
            <w:tcW w:w="9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line="170" w:lineRule="exact"/>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740" w:type="dxa"/>
            <w:vAlign w:val="bottom"/>
          </w:tcPr>
          <w:p>
            <w:pPr>
              <w:spacing w:after="0"/>
              <w:rPr>
                <w:sz w:val="15"/>
                <w:szCs w:val="15"/>
                <w:color w:val="auto"/>
              </w:rPr>
            </w:pPr>
          </w:p>
        </w:tc>
        <w:tc>
          <w:tcPr>
            <w:tcW w:w="7320" w:type="dxa"/>
            <w:vAlign w:val="bottom"/>
            <w:tcBorders>
              <w:bottom w:val="single" w:sz="8" w:color="0000EE"/>
            </w:tcBorders>
            <w:gridSpan w:val="23"/>
          </w:tcPr>
          <w:p>
            <w:pPr>
              <w:spacing w:after="0" w:line="169" w:lineRule="exact"/>
              <w:rPr>
                <w:rFonts w:ascii="Arial" w:cs="Arial" w:eastAsia="Arial" w:hAnsi="Arial"/>
                <w:sz w:val="17"/>
                <w:szCs w:val="17"/>
                <w:color w:val="0000EE"/>
                <w:w w:val="90"/>
              </w:rPr>
            </w:pPr>
            <w:hyperlink r:id="rId75">
              <w:r>
                <w:rPr>
                  <w:rFonts w:ascii="Arial" w:cs="Arial" w:eastAsia="Arial" w:hAnsi="Arial"/>
                  <w:sz w:val="17"/>
                  <w:szCs w:val="17"/>
                  <w:color w:val="0000EE"/>
                  <w:w w:val="90"/>
                </w:rPr>
                <w:t>Stock Purchase Agreement, by and between Echo, Inc. and Morrisey Holdings, Inc., dated August 8, 2016.</w:t>
              </w:r>
            </w:hyperlink>
          </w:p>
        </w:tc>
        <w:tc>
          <w:tcPr>
            <w:tcW w:w="28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2.3 </w:t>
            </w:r>
            <w:r>
              <w:rPr>
                <w:rFonts w:ascii="Arial" w:cs="Arial" w:eastAsia="Arial" w:hAnsi="Arial"/>
                <w:sz w:val="15"/>
                <w:szCs w:val="15"/>
                <w:color w:val="auto"/>
              </w:rPr>
              <w:t>(16)</w:t>
            </w:r>
          </w:p>
        </w:tc>
        <w:tc>
          <w:tcPr>
            <w:tcW w:w="9480" w:type="dxa"/>
            <w:vAlign w:val="bottom"/>
            <w:tcBorders>
              <w:bottom w:val="single" w:sz="8" w:color="0000EE"/>
            </w:tcBorders>
            <w:gridSpan w:val="35"/>
          </w:tcPr>
          <w:p>
            <w:pPr>
              <w:spacing w:after="0" w:line="183" w:lineRule="exact"/>
              <w:rPr>
                <w:rFonts w:ascii="Arial" w:cs="Arial" w:eastAsia="Arial" w:hAnsi="Arial"/>
                <w:sz w:val="17"/>
                <w:szCs w:val="17"/>
                <w:color w:val="0000EE"/>
                <w:w w:val="89"/>
              </w:rPr>
            </w:pPr>
            <w:hyperlink r:id="rId76">
              <w:r>
                <w:rPr>
                  <w:rFonts w:ascii="Arial" w:cs="Arial" w:eastAsia="Arial" w:hAnsi="Arial"/>
                  <w:sz w:val="17"/>
                  <w:szCs w:val="17"/>
                  <w:color w:val="0000EE"/>
                  <w:w w:val="89"/>
                </w:rPr>
                <w:t>Membership Interest Purchase Agreement, by and between HealthStream, Inc. and Press Ganey Associates, Inc., dated February 12, 2018.</w:t>
              </w:r>
            </w:hyperlink>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740" w:type="dxa"/>
            <w:vAlign w:val="bottom"/>
          </w:tcPr>
          <w:p>
            <w:pPr>
              <w:spacing w:after="0"/>
              <w:rPr>
                <w:sz w:val="17"/>
                <w:szCs w:val="17"/>
                <w:color w:val="auto"/>
              </w:rPr>
            </w:pPr>
          </w:p>
        </w:tc>
        <w:tc>
          <w:tcPr>
            <w:tcW w:w="4760" w:type="dxa"/>
            <w:vAlign w:val="bottom"/>
            <w:tcBorders>
              <w:bottom w:val="single" w:sz="8" w:color="0000EE"/>
            </w:tcBorders>
            <w:gridSpan w:val="14"/>
          </w:tcPr>
          <w:p>
            <w:pPr>
              <w:spacing w:after="0" w:line="183" w:lineRule="exact"/>
              <w:rPr>
                <w:rFonts w:ascii="Arial" w:cs="Arial" w:eastAsia="Arial" w:hAnsi="Arial"/>
                <w:sz w:val="17"/>
                <w:szCs w:val="17"/>
                <w:color w:val="0000EE"/>
                <w:w w:val="90"/>
              </w:rPr>
            </w:pPr>
            <w:hyperlink r:id="rId77">
              <w:r>
                <w:rPr>
                  <w:rFonts w:ascii="Arial" w:cs="Arial" w:eastAsia="Arial" w:hAnsi="Arial"/>
                  <w:sz w:val="17"/>
                  <w:szCs w:val="17"/>
                  <w:color w:val="0000EE"/>
                  <w:w w:val="90"/>
                </w:rPr>
                <w:t>Form of Fourth Amended and Restated Charter of HealthStream, Inc.</w:t>
              </w:r>
            </w:hyperlink>
          </w:p>
        </w:tc>
        <w:tc>
          <w:tcPr>
            <w:tcW w:w="53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w w:val="99"/>
              </w:rPr>
              <w:t>3.2</w:t>
            </w:r>
            <w:r>
              <w:rPr>
                <w:rFonts w:ascii="Arial" w:cs="Arial" w:eastAsia="Arial" w:hAnsi="Arial"/>
                <w:sz w:val="15"/>
                <w:szCs w:val="15"/>
                <w:color w:val="auto"/>
                <w:w w:val="99"/>
              </w:rPr>
              <w:t>(8)</w:t>
            </w:r>
            <w:r>
              <w:rPr>
                <w:rFonts w:ascii="Arial" w:cs="Arial" w:eastAsia="Arial" w:hAnsi="Arial"/>
                <w:sz w:val="18"/>
                <w:szCs w:val="18"/>
                <w:color w:val="auto"/>
                <w:w w:val="99"/>
              </w:rPr>
              <w:t>*</w:t>
            </w:r>
          </w:p>
        </w:tc>
        <w:tc>
          <w:tcPr>
            <w:tcW w:w="740" w:type="dxa"/>
            <w:vAlign w:val="bottom"/>
          </w:tcPr>
          <w:p>
            <w:pPr>
              <w:spacing w:after="0"/>
              <w:rPr>
                <w:sz w:val="17"/>
                <w:szCs w:val="17"/>
                <w:color w:val="auto"/>
              </w:rPr>
            </w:pPr>
          </w:p>
        </w:tc>
        <w:tc>
          <w:tcPr>
            <w:tcW w:w="10120" w:type="dxa"/>
            <w:vAlign w:val="bottom"/>
            <w:gridSpan w:val="40"/>
          </w:tcPr>
          <w:p>
            <w:pPr>
              <w:spacing w:after="0" w:line="183" w:lineRule="exact"/>
              <w:rPr>
                <w:rFonts w:ascii="Arial" w:cs="Arial" w:eastAsia="Arial" w:hAnsi="Arial"/>
                <w:sz w:val="17"/>
                <w:szCs w:val="17"/>
                <w:color w:val="0000EE"/>
              </w:rPr>
            </w:pPr>
            <w:hyperlink r:id="rId78">
              <w:r>
                <w:rPr>
                  <w:rFonts w:ascii="Arial" w:cs="Arial" w:eastAsia="Arial" w:hAnsi="Arial"/>
                  <w:sz w:val="17"/>
                  <w:szCs w:val="17"/>
                  <w:color w:val="0000EE"/>
                </w:rPr>
                <w:t>Form of Second Amended and Restated Bylaws of HealthStream, Inc.</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4.1*</w:t>
            </w:r>
          </w:p>
        </w:tc>
        <w:tc>
          <w:tcPr>
            <w:tcW w:w="740" w:type="dxa"/>
            <w:vAlign w:val="bottom"/>
          </w:tcPr>
          <w:p>
            <w:pPr>
              <w:spacing w:after="0"/>
              <w:rPr>
                <w:sz w:val="17"/>
                <w:szCs w:val="17"/>
                <w:color w:val="auto"/>
              </w:rPr>
            </w:pPr>
          </w:p>
        </w:tc>
        <w:tc>
          <w:tcPr>
            <w:tcW w:w="10120" w:type="dxa"/>
            <w:vAlign w:val="bottom"/>
            <w:gridSpan w:val="40"/>
          </w:tcPr>
          <w:p>
            <w:pPr>
              <w:spacing w:after="0" w:line="183" w:lineRule="exact"/>
              <w:rPr>
                <w:rFonts w:ascii="Arial" w:cs="Arial" w:eastAsia="Arial" w:hAnsi="Arial"/>
                <w:sz w:val="17"/>
                <w:szCs w:val="17"/>
                <w:color w:val="0000EE"/>
              </w:rPr>
            </w:pPr>
            <w:hyperlink r:id="rId77">
              <w:r>
                <w:rPr>
                  <w:rFonts w:ascii="Arial" w:cs="Arial" w:eastAsia="Arial" w:hAnsi="Arial"/>
                  <w:sz w:val="17"/>
                  <w:szCs w:val="17"/>
                  <w:color w:val="0000EE"/>
                </w:rPr>
                <w:t>Form of certificate representing the common stock, no par value per share, of HealthStream,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4.2*</w:t>
            </w:r>
          </w:p>
        </w:tc>
        <w:tc>
          <w:tcPr>
            <w:tcW w:w="7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6"/>
          </w:tcPr>
          <w:p>
            <w:pPr>
              <w:spacing w:after="0" w:line="183" w:lineRule="exact"/>
              <w:rPr>
                <w:rFonts w:ascii="Arial" w:cs="Arial" w:eastAsia="Arial" w:hAnsi="Arial"/>
                <w:sz w:val="17"/>
                <w:szCs w:val="17"/>
                <w:color w:val="0000EE"/>
                <w:w w:val="89"/>
              </w:rPr>
            </w:pPr>
            <w:hyperlink r:id="rId77">
              <w:r>
                <w:rPr>
                  <w:rFonts w:ascii="Arial" w:cs="Arial" w:eastAsia="Arial" w:hAnsi="Arial"/>
                  <w:sz w:val="17"/>
                  <w:szCs w:val="17"/>
                  <w:color w:val="0000EE"/>
                  <w:w w:val="89"/>
                </w:rPr>
                <w:t>Reference is made to Exhibits 3.1 and 3.2.</w:t>
              </w:r>
            </w:hyperlink>
          </w:p>
        </w:tc>
        <w:tc>
          <w:tcPr>
            <w:tcW w:w="3720" w:type="dxa"/>
            <w:vAlign w:val="bottom"/>
            <w:tcBorders>
              <w:top w:val="single" w:sz="8" w:color="0000EE"/>
            </w:tcBorders>
            <w:gridSpan w:val="11"/>
          </w:tcPr>
          <w:p>
            <w:pPr>
              <w:spacing w:after="0"/>
              <w:rPr>
                <w:sz w:val="17"/>
                <w:szCs w:val="17"/>
                <w:color w:val="auto"/>
              </w:rPr>
            </w:pPr>
          </w:p>
        </w:tc>
        <w:tc>
          <w:tcPr>
            <w:tcW w:w="35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w w:val="98"/>
              </w:rPr>
              <w:t>10.1^*</w:t>
            </w:r>
          </w:p>
        </w:tc>
        <w:tc>
          <w:tcPr>
            <w:tcW w:w="740" w:type="dxa"/>
            <w:vAlign w:val="bottom"/>
          </w:tcPr>
          <w:p>
            <w:pPr>
              <w:spacing w:after="0"/>
              <w:rPr>
                <w:sz w:val="17"/>
                <w:szCs w:val="17"/>
                <w:color w:val="auto"/>
              </w:rPr>
            </w:pPr>
          </w:p>
        </w:tc>
        <w:tc>
          <w:tcPr>
            <w:tcW w:w="3900" w:type="dxa"/>
            <w:vAlign w:val="bottom"/>
            <w:tcBorders>
              <w:bottom w:val="single" w:sz="8" w:color="0000EE"/>
            </w:tcBorders>
            <w:gridSpan w:val="10"/>
          </w:tcPr>
          <w:p>
            <w:pPr>
              <w:spacing w:after="0" w:line="183" w:lineRule="exact"/>
              <w:rPr>
                <w:rFonts w:ascii="Arial" w:cs="Arial" w:eastAsia="Arial" w:hAnsi="Arial"/>
                <w:sz w:val="17"/>
                <w:szCs w:val="17"/>
                <w:color w:val="0000EE"/>
                <w:w w:val="92"/>
              </w:rPr>
            </w:pPr>
            <w:hyperlink r:id="rId77">
              <w:r>
                <w:rPr>
                  <w:rFonts w:ascii="Arial" w:cs="Arial" w:eastAsia="Arial" w:hAnsi="Arial"/>
                  <w:sz w:val="17"/>
                  <w:szCs w:val="17"/>
                  <w:color w:val="0000EE"/>
                  <w:w w:val="92"/>
                </w:rPr>
                <w:t>2000 Stock Incentive Plan, effective as of April 10, 2000</w:t>
              </w:r>
            </w:hyperlink>
          </w:p>
        </w:tc>
        <w:tc>
          <w:tcPr>
            <w:tcW w:w="62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10.2^ </w:t>
            </w:r>
            <w:r>
              <w:rPr>
                <w:rFonts w:ascii="Arial" w:cs="Arial" w:eastAsia="Arial" w:hAnsi="Arial"/>
                <w:sz w:val="15"/>
                <w:szCs w:val="15"/>
                <w:color w:val="auto"/>
              </w:rPr>
              <w:t>(6)</w:t>
            </w:r>
          </w:p>
        </w:tc>
        <w:tc>
          <w:tcPr>
            <w:tcW w:w="3860" w:type="dxa"/>
            <w:vAlign w:val="bottom"/>
            <w:tcBorders>
              <w:bottom w:val="single" w:sz="8" w:color="0000EE"/>
            </w:tcBorders>
            <w:gridSpan w:val="9"/>
          </w:tcPr>
          <w:p>
            <w:pPr>
              <w:spacing w:after="0" w:line="183" w:lineRule="exact"/>
              <w:rPr>
                <w:rFonts w:ascii="Arial" w:cs="Arial" w:eastAsia="Arial" w:hAnsi="Arial"/>
                <w:sz w:val="17"/>
                <w:szCs w:val="17"/>
                <w:color w:val="0000EE"/>
                <w:w w:val="91"/>
              </w:rPr>
            </w:pPr>
            <w:hyperlink r:id="rId79">
              <w:r>
                <w:rPr>
                  <w:rFonts w:ascii="Arial" w:cs="Arial" w:eastAsia="Arial" w:hAnsi="Arial"/>
                  <w:sz w:val="17"/>
                  <w:szCs w:val="17"/>
                  <w:color w:val="0000EE"/>
                  <w:w w:val="91"/>
                </w:rPr>
                <w:t>2010 Stock Incentive Plan, effective as of May 27, 2010</w:t>
              </w:r>
            </w:hyperlink>
          </w:p>
        </w:tc>
        <w:tc>
          <w:tcPr>
            <w:tcW w:w="62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w w:val="98"/>
              </w:rPr>
              <w:t>10.3^*</w:t>
            </w:r>
          </w:p>
        </w:tc>
        <w:tc>
          <w:tcPr>
            <w:tcW w:w="74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83" w:lineRule="exact"/>
              <w:rPr>
                <w:rFonts w:ascii="Arial" w:cs="Arial" w:eastAsia="Arial" w:hAnsi="Arial"/>
                <w:sz w:val="17"/>
                <w:szCs w:val="17"/>
                <w:color w:val="0000EE"/>
                <w:w w:val="93"/>
              </w:rPr>
            </w:pPr>
            <w:hyperlink r:id="rId77">
              <w:r>
                <w:rPr>
                  <w:rFonts w:ascii="Arial" w:cs="Arial" w:eastAsia="Arial" w:hAnsi="Arial"/>
                  <w:sz w:val="17"/>
                  <w:szCs w:val="17"/>
                  <w:color w:val="0000EE"/>
                  <w:w w:val="93"/>
                </w:rPr>
                <w:t>Form of Indemnification Agreement</w:t>
              </w:r>
            </w:hyperlink>
          </w:p>
        </w:tc>
        <w:tc>
          <w:tcPr>
            <w:tcW w:w="762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10.4^ </w:t>
            </w:r>
            <w:r>
              <w:rPr>
                <w:rFonts w:ascii="Arial" w:cs="Arial" w:eastAsia="Arial" w:hAnsi="Arial"/>
                <w:sz w:val="15"/>
                <w:szCs w:val="15"/>
                <w:color w:val="auto"/>
              </w:rPr>
              <w:t>(3)</w:t>
            </w:r>
          </w:p>
        </w:tc>
        <w:tc>
          <w:tcPr>
            <w:tcW w:w="10120" w:type="dxa"/>
            <w:vAlign w:val="bottom"/>
            <w:gridSpan w:val="40"/>
          </w:tcPr>
          <w:p>
            <w:pPr>
              <w:spacing w:after="0" w:line="183" w:lineRule="exact"/>
              <w:rPr>
                <w:rFonts w:ascii="Arial" w:cs="Arial" w:eastAsia="Arial" w:hAnsi="Arial"/>
                <w:sz w:val="17"/>
                <w:szCs w:val="17"/>
                <w:color w:val="0000EE"/>
              </w:rPr>
            </w:pPr>
            <w:hyperlink r:id="rId80">
              <w:r>
                <w:rPr>
                  <w:rFonts w:ascii="Arial" w:cs="Arial" w:eastAsia="Arial" w:hAnsi="Arial"/>
                  <w:sz w:val="17"/>
                  <w:szCs w:val="17"/>
                  <w:color w:val="0000EE"/>
                </w:rPr>
                <w:t>Executive Employment Agreement, dated July 21, 2005, between HealthStream, Inc. and Robert A. Frist, Jr.</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 xml:space="preserve">10.5^ </w:t>
            </w:r>
            <w:r>
              <w:rPr>
                <w:rFonts w:ascii="Arial" w:cs="Arial" w:eastAsia="Arial" w:hAnsi="Arial"/>
                <w:sz w:val="15"/>
                <w:szCs w:val="15"/>
                <w:color w:val="auto"/>
              </w:rPr>
              <w:t>(4)</w:t>
            </w:r>
          </w:p>
        </w:tc>
        <w:tc>
          <w:tcPr>
            <w:tcW w:w="7860" w:type="dxa"/>
            <w:vAlign w:val="bottom"/>
            <w:tcBorders>
              <w:bottom w:val="single" w:sz="8" w:color="0000EE"/>
            </w:tcBorders>
            <w:gridSpan w:val="28"/>
          </w:tcPr>
          <w:p>
            <w:pPr>
              <w:spacing w:after="0" w:line="183" w:lineRule="exact"/>
              <w:rPr>
                <w:rFonts w:ascii="Arial" w:cs="Arial" w:eastAsia="Arial" w:hAnsi="Arial"/>
                <w:sz w:val="17"/>
                <w:szCs w:val="17"/>
                <w:color w:val="0000EE"/>
                <w:w w:val="91"/>
              </w:rPr>
            </w:pPr>
            <w:hyperlink r:id="rId81">
              <w:r>
                <w:rPr>
                  <w:rFonts w:ascii="Arial" w:cs="Arial" w:eastAsia="Arial" w:hAnsi="Arial"/>
                  <w:sz w:val="17"/>
                  <w:szCs w:val="17"/>
                  <w:color w:val="0000EE"/>
                  <w:w w:val="91"/>
                </w:rPr>
                <w:t>Form of HealthStream, Inc. Non-Qualified Stock Option Agreement (Employees) under 2010 Stock Incentive Plan</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10.6^ </w:t>
            </w:r>
            <w:r>
              <w:rPr>
                <w:rFonts w:ascii="Arial" w:cs="Arial" w:eastAsia="Arial" w:hAnsi="Arial"/>
                <w:sz w:val="15"/>
                <w:szCs w:val="15"/>
                <w:color w:val="auto"/>
              </w:rPr>
              <w:t>(4)</w:t>
            </w:r>
          </w:p>
        </w:tc>
        <w:tc>
          <w:tcPr>
            <w:tcW w:w="10120" w:type="dxa"/>
            <w:vAlign w:val="bottom"/>
            <w:gridSpan w:val="40"/>
          </w:tcPr>
          <w:p>
            <w:pPr>
              <w:spacing w:after="0" w:line="183" w:lineRule="exact"/>
              <w:rPr>
                <w:rFonts w:ascii="Arial" w:cs="Arial" w:eastAsia="Arial" w:hAnsi="Arial"/>
                <w:sz w:val="17"/>
                <w:szCs w:val="17"/>
                <w:color w:val="0000EE"/>
              </w:rPr>
            </w:pPr>
            <w:hyperlink r:id="rId82">
              <w:r>
                <w:rPr>
                  <w:rFonts w:ascii="Arial" w:cs="Arial" w:eastAsia="Arial" w:hAnsi="Arial"/>
                  <w:sz w:val="17"/>
                  <w:szCs w:val="17"/>
                  <w:color w:val="0000EE"/>
                </w:rPr>
                <w:t>Form of HealthStream, Inc. Incentive Stock Option Agreement (Employees) under 2010 Stock Incentive Plan</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 xml:space="preserve">10.7^ </w:t>
            </w:r>
            <w:r>
              <w:rPr>
                <w:rFonts w:ascii="Arial" w:cs="Arial" w:eastAsia="Arial" w:hAnsi="Arial"/>
                <w:sz w:val="15"/>
                <w:szCs w:val="15"/>
                <w:color w:val="auto"/>
              </w:rPr>
              <w:t>(4)</w:t>
            </w:r>
          </w:p>
        </w:tc>
        <w:tc>
          <w:tcPr>
            <w:tcW w:w="7740" w:type="dxa"/>
            <w:vAlign w:val="bottom"/>
            <w:tcBorders>
              <w:bottom w:val="single" w:sz="8" w:color="0000EE"/>
            </w:tcBorders>
            <w:gridSpan w:val="27"/>
          </w:tcPr>
          <w:p>
            <w:pPr>
              <w:spacing w:after="0" w:line="183" w:lineRule="exact"/>
              <w:rPr>
                <w:rFonts w:ascii="Arial" w:cs="Arial" w:eastAsia="Arial" w:hAnsi="Arial"/>
                <w:sz w:val="17"/>
                <w:szCs w:val="17"/>
                <w:color w:val="0000EE"/>
                <w:w w:val="92"/>
              </w:rPr>
            </w:pPr>
            <w:hyperlink r:id="rId83">
              <w:r>
                <w:rPr>
                  <w:rFonts w:ascii="Arial" w:cs="Arial" w:eastAsia="Arial" w:hAnsi="Arial"/>
                  <w:sz w:val="17"/>
                  <w:szCs w:val="17"/>
                  <w:color w:val="0000EE"/>
                  <w:w w:val="92"/>
                </w:rPr>
                <w:t>Form of HealthStream, Inc. Non-Qualified Stock Option Agreement (Directors) under 2010 Stock Incentive Plan</w:t>
              </w:r>
            </w:hyperlink>
          </w:p>
        </w:tc>
        <w:tc>
          <w:tcPr>
            <w:tcW w:w="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10.8^ </w:t>
            </w:r>
            <w:r>
              <w:rPr>
                <w:rFonts w:ascii="Arial" w:cs="Arial" w:eastAsia="Arial" w:hAnsi="Arial"/>
                <w:sz w:val="15"/>
                <w:szCs w:val="15"/>
                <w:color w:val="auto"/>
              </w:rPr>
              <w:t>(5)</w:t>
            </w:r>
          </w:p>
        </w:tc>
        <w:tc>
          <w:tcPr>
            <w:tcW w:w="7200" w:type="dxa"/>
            <w:vAlign w:val="bottom"/>
            <w:tcBorders>
              <w:bottom w:val="single" w:sz="8" w:color="0000EE"/>
            </w:tcBorders>
            <w:gridSpan w:val="22"/>
          </w:tcPr>
          <w:p>
            <w:pPr>
              <w:spacing w:after="0" w:line="183" w:lineRule="exact"/>
              <w:rPr>
                <w:rFonts w:ascii="Arial" w:cs="Arial" w:eastAsia="Arial" w:hAnsi="Arial"/>
                <w:sz w:val="17"/>
                <w:szCs w:val="17"/>
                <w:color w:val="0000EE"/>
                <w:w w:val="91"/>
              </w:rPr>
            </w:pPr>
            <w:hyperlink r:id="rId84">
              <w:r>
                <w:rPr>
                  <w:rFonts w:ascii="Arial" w:cs="Arial" w:eastAsia="Arial" w:hAnsi="Arial"/>
                  <w:sz w:val="17"/>
                  <w:szCs w:val="17"/>
                  <w:color w:val="0000EE"/>
                  <w:w w:val="91"/>
                </w:rPr>
                <w:t>Form of HealthStream, Inc. Restricted Share Unit Agreement (Officers) under 2010 Stock Incentive Plan</w:t>
              </w:r>
            </w:hyperlink>
          </w:p>
        </w:tc>
        <w:tc>
          <w:tcPr>
            <w:tcW w:w="29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(5)</w:t>
            </w:r>
          </w:p>
        </w:tc>
        <w:tc>
          <w:tcPr>
            <w:tcW w:w="8300" w:type="dxa"/>
            <w:vAlign w:val="bottom"/>
            <w:tcBorders>
              <w:bottom w:val="single" w:sz="8" w:color="0000EE"/>
            </w:tcBorders>
            <w:gridSpan w:val="30"/>
          </w:tcPr>
          <w:p>
            <w:pPr>
              <w:spacing w:after="0" w:line="183" w:lineRule="exact"/>
              <w:rPr>
                <w:rFonts w:ascii="Arial" w:cs="Arial" w:eastAsia="Arial" w:hAnsi="Arial"/>
                <w:sz w:val="17"/>
                <w:szCs w:val="17"/>
                <w:color w:val="0000EE"/>
                <w:w w:val="91"/>
              </w:rPr>
            </w:pPr>
            <w:hyperlink r:id="rId85">
              <w:r>
                <w:rPr>
                  <w:rFonts w:ascii="Arial" w:cs="Arial" w:eastAsia="Arial" w:hAnsi="Arial"/>
                  <w:sz w:val="17"/>
                  <w:szCs w:val="17"/>
                  <w:color w:val="0000EE"/>
                  <w:w w:val="91"/>
                </w:rPr>
                <w:t>Form of HealthStream, Inc. Restricted Share Unit Agreement (Non-Employee Director) under 2010 Stock Incentive Plan</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10.10 </w:t>
            </w:r>
            <w:r>
              <w:rPr>
                <w:rFonts w:ascii="Arial" w:cs="Arial" w:eastAsia="Arial" w:hAnsi="Arial"/>
                <w:sz w:val="15"/>
                <w:szCs w:val="15"/>
                <w:color w:val="auto"/>
              </w:rPr>
              <w:t>(7)</w:t>
            </w:r>
          </w:p>
        </w:tc>
        <w:tc>
          <w:tcPr>
            <w:tcW w:w="9960" w:type="dxa"/>
            <w:vAlign w:val="bottom"/>
            <w:tcBorders>
              <w:bottom w:val="single" w:sz="8" w:color="0000EE"/>
            </w:tcBorders>
            <w:gridSpan w:val="39"/>
          </w:tcPr>
          <w:p>
            <w:pPr>
              <w:spacing w:after="0" w:line="183" w:lineRule="exact"/>
              <w:rPr>
                <w:rFonts w:ascii="Arial" w:cs="Arial" w:eastAsia="Arial" w:hAnsi="Arial"/>
                <w:sz w:val="17"/>
                <w:szCs w:val="17"/>
                <w:color w:val="0000EE"/>
                <w:w w:val="91"/>
              </w:rPr>
            </w:pPr>
            <w:hyperlink r:id="rId86">
              <w:r>
                <w:rPr>
                  <w:rFonts w:ascii="Arial" w:cs="Arial" w:eastAsia="Arial" w:hAnsi="Arial"/>
                  <w:sz w:val="17"/>
                  <w:szCs w:val="17"/>
                  <w:color w:val="0000EE"/>
                  <w:w w:val="91"/>
                </w:rPr>
                <w:t>Revolving Credit Agreement, dated November 24, 2014, by and among HealthStream, Inc., the several banks and other financial institutions and</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120" w:type="dxa"/>
            <w:vAlign w:val="bottom"/>
            <w:gridSpan w:val="40"/>
          </w:tcPr>
          <w:p>
            <w:pPr>
              <w:spacing w:after="0" w:line="183" w:lineRule="exact"/>
              <w:rPr>
                <w:rFonts w:ascii="Arial" w:cs="Arial" w:eastAsia="Arial" w:hAnsi="Arial"/>
                <w:sz w:val="17"/>
                <w:szCs w:val="17"/>
                <w:color w:val="0000EE"/>
              </w:rPr>
            </w:pPr>
            <w:hyperlink r:id="rId86">
              <w:r>
                <w:rPr>
                  <w:rFonts w:ascii="Arial" w:cs="Arial" w:eastAsia="Arial" w:hAnsi="Arial"/>
                  <w:sz w:val="17"/>
                  <w:szCs w:val="17"/>
                  <w:color w:val="0000EE"/>
                </w:rPr>
                <w:t>lenders from time to time party thereto and SunTrust Bank, as administrative agent, issuing bank, and swingline lender</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line="170" w:lineRule="exact"/>
              <w:rPr>
                <w:sz w:val="20"/>
                <w:szCs w:val="20"/>
                <w:color w:val="auto"/>
              </w:rPr>
            </w:pPr>
            <w:r>
              <w:rPr>
                <w:rFonts w:ascii="Arial" w:cs="Arial" w:eastAsia="Arial" w:hAnsi="Arial"/>
                <w:sz w:val="18"/>
                <w:szCs w:val="18"/>
                <w:color w:val="auto"/>
                <w:w w:val="93"/>
              </w:rPr>
              <w:t>10.11^</w:t>
            </w:r>
          </w:p>
        </w:tc>
        <w:tc>
          <w:tcPr>
            <w:tcW w:w="740" w:type="dxa"/>
            <w:vAlign w:val="bottom"/>
          </w:tcPr>
          <w:p>
            <w:pPr>
              <w:spacing w:after="0"/>
              <w:rPr>
                <w:sz w:val="15"/>
                <w:szCs w:val="15"/>
                <w:color w:val="auto"/>
              </w:rPr>
            </w:pPr>
          </w:p>
        </w:tc>
        <w:tc>
          <w:tcPr>
            <w:tcW w:w="8120" w:type="dxa"/>
            <w:vAlign w:val="bottom"/>
            <w:tcBorders>
              <w:top w:val="single" w:sz="8" w:color="0000EE"/>
            </w:tcBorders>
            <w:gridSpan w:val="29"/>
          </w:tcPr>
          <w:p>
            <w:pPr>
              <w:spacing w:after="0" w:line="169" w:lineRule="exact"/>
              <w:rPr>
                <w:rFonts w:ascii="Arial" w:cs="Arial" w:eastAsia="Arial" w:hAnsi="Arial"/>
                <w:sz w:val="17"/>
                <w:szCs w:val="17"/>
                <w:color w:val="0000EE"/>
              </w:rPr>
            </w:pPr>
            <w:hyperlink w:anchor="page69">
              <w:r>
                <w:rPr>
                  <w:rFonts w:ascii="Arial" w:cs="Arial" w:eastAsia="Arial" w:hAnsi="Arial"/>
                  <w:sz w:val="17"/>
                  <w:szCs w:val="17"/>
                  <w:color w:val="0000EE"/>
                </w:rPr>
                <w:t>Summary of Director and Executive Officer Compensation</w:t>
              </w:r>
            </w:hyperlink>
          </w:p>
        </w:tc>
        <w:tc>
          <w:tcPr>
            <w:tcW w:w="20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10.12^ </w:t>
            </w:r>
            <w:r>
              <w:rPr>
                <w:rFonts w:ascii="Arial" w:cs="Arial" w:eastAsia="Arial" w:hAnsi="Arial"/>
                <w:sz w:val="15"/>
                <w:szCs w:val="15"/>
                <w:color w:val="auto"/>
              </w:rPr>
              <w:t>(9)</w:t>
            </w:r>
          </w:p>
        </w:tc>
        <w:tc>
          <w:tcPr>
            <w:tcW w:w="4040" w:type="dxa"/>
            <w:vAlign w:val="bottom"/>
            <w:tcBorders>
              <w:top w:val="single" w:sz="8" w:color="0000EE"/>
            </w:tcBorders>
            <w:gridSpan w:val="11"/>
          </w:tcPr>
          <w:p>
            <w:pPr>
              <w:spacing w:after="0" w:line="183" w:lineRule="exact"/>
              <w:rPr>
                <w:rFonts w:ascii="Arial" w:cs="Arial" w:eastAsia="Arial" w:hAnsi="Arial"/>
                <w:sz w:val="17"/>
                <w:szCs w:val="17"/>
                <w:color w:val="0000EE"/>
              </w:rPr>
            </w:pPr>
            <w:hyperlink r:id="rId87">
              <w:r>
                <w:rPr>
                  <w:rFonts w:ascii="Arial" w:cs="Arial" w:eastAsia="Arial" w:hAnsi="Arial"/>
                  <w:sz w:val="17"/>
                  <w:szCs w:val="17"/>
                  <w:color w:val="0000EE"/>
                </w:rPr>
                <w:t>HealthStream, Inc. 2015 Cash Incentive Bonus Plan</w:t>
              </w:r>
            </w:hyperlink>
          </w:p>
        </w:tc>
        <w:tc>
          <w:tcPr>
            <w:tcW w:w="60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10.13 </w:t>
            </w:r>
            <w:r>
              <w:rPr>
                <w:rFonts w:ascii="Arial" w:cs="Arial" w:eastAsia="Arial" w:hAnsi="Arial"/>
                <w:sz w:val="15"/>
                <w:szCs w:val="15"/>
                <w:color w:val="auto"/>
              </w:rPr>
              <w:t>(9)</w:t>
            </w:r>
          </w:p>
        </w:tc>
        <w:tc>
          <w:tcPr>
            <w:tcW w:w="7100" w:type="dxa"/>
            <w:vAlign w:val="bottom"/>
            <w:tcBorders>
              <w:bottom w:val="single" w:sz="8" w:color="0000EE"/>
            </w:tcBorders>
            <w:gridSpan w:val="21"/>
          </w:tcPr>
          <w:p>
            <w:pPr>
              <w:spacing w:after="0" w:line="183" w:lineRule="exact"/>
              <w:rPr>
                <w:rFonts w:ascii="Arial" w:cs="Arial" w:eastAsia="Arial" w:hAnsi="Arial"/>
                <w:sz w:val="17"/>
                <w:szCs w:val="17"/>
                <w:color w:val="0000EE"/>
                <w:w w:val="90"/>
              </w:rPr>
            </w:pPr>
            <w:hyperlink r:id="rId88">
              <w:r>
                <w:rPr>
                  <w:rFonts w:ascii="Arial" w:cs="Arial" w:eastAsia="Arial" w:hAnsi="Arial"/>
                  <w:sz w:val="17"/>
                  <w:szCs w:val="17"/>
                  <w:color w:val="0000EE"/>
                  <w:w w:val="90"/>
                </w:rPr>
                <w:t>Contribution Agreement, dated as of June 30, 2015, between HealthStream, Inc. and Robert A. Frist, Jr.</w:t>
              </w:r>
            </w:hyperlink>
          </w:p>
        </w:tc>
        <w:tc>
          <w:tcPr>
            <w:tcW w:w="30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10.14^ </w:t>
            </w:r>
            <w:r>
              <w:rPr>
                <w:rFonts w:ascii="Arial" w:cs="Arial" w:eastAsia="Arial" w:hAnsi="Arial"/>
                <w:sz w:val="15"/>
                <w:szCs w:val="15"/>
                <w:color w:val="auto"/>
              </w:rPr>
              <w:t>(10)</w:t>
            </w:r>
          </w:p>
        </w:tc>
        <w:tc>
          <w:tcPr>
            <w:tcW w:w="10120" w:type="dxa"/>
            <w:vAlign w:val="bottom"/>
            <w:gridSpan w:val="40"/>
          </w:tcPr>
          <w:p>
            <w:pPr>
              <w:spacing w:after="0" w:line="183" w:lineRule="exact"/>
              <w:rPr>
                <w:rFonts w:ascii="Arial" w:cs="Arial" w:eastAsia="Arial" w:hAnsi="Arial"/>
                <w:sz w:val="17"/>
                <w:szCs w:val="17"/>
                <w:color w:val="0000EE"/>
              </w:rPr>
            </w:pPr>
            <w:hyperlink r:id="rId89">
              <w:r>
                <w:rPr>
                  <w:rFonts w:ascii="Arial" w:cs="Arial" w:eastAsia="Arial" w:hAnsi="Arial"/>
                  <w:sz w:val="17"/>
                  <w:szCs w:val="17"/>
                  <w:color w:val="0000EE"/>
                </w:rPr>
                <w:t>Letter Agreement, dated as of September 24, 2015, between HealthStream, Inc. and Michael Sousa.</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10.15^ </w:t>
            </w:r>
            <w:r>
              <w:rPr>
                <w:rFonts w:ascii="Arial" w:cs="Arial" w:eastAsia="Arial" w:hAnsi="Arial"/>
                <w:sz w:val="15"/>
                <w:szCs w:val="15"/>
                <w:color w:val="auto"/>
              </w:rPr>
              <w:t>(10)</w:t>
            </w:r>
          </w:p>
        </w:tc>
        <w:tc>
          <w:tcPr>
            <w:tcW w:w="9740" w:type="dxa"/>
            <w:vAlign w:val="bottom"/>
            <w:tcBorders>
              <w:bottom w:val="single" w:sz="8" w:color="0000EE"/>
            </w:tcBorders>
            <w:gridSpan w:val="37"/>
          </w:tcPr>
          <w:p>
            <w:pPr>
              <w:spacing w:after="0" w:line="183" w:lineRule="exact"/>
              <w:rPr>
                <w:rFonts w:ascii="Arial" w:cs="Arial" w:eastAsia="Arial" w:hAnsi="Arial"/>
                <w:sz w:val="17"/>
                <w:szCs w:val="17"/>
                <w:color w:val="0000EE"/>
                <w:w w:val="90"/>
              </w:rPr>
            </w:pPr>
            <w:hyperlink r:id="rId90">
              <w:r>
                <w:rPr>
                  <w:rFonts w:ascii="Arial" w:cs="Arial" w:eastAsia="Arial" w:hAnsi="Arial"/>
                  <w:sz w:val="17"/>
                  <w:szCs w:val="17"/>
                  <w:color w:val="0000EE"/>
                  <w:w w:val="90"/>
                </w:rPr>
                <w:t>Form of HealthStream, Inc. Restricted Share Unit Agreement (Performance) under 2010 Stock Incentive Plan between HealthStream, Inc. and</w:t>
              </w:r>
            </w:hyperlink>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Borders>
              <w:bottom w:val="single" w:sz="8" w:color="0000EE"/>
            </w:tcBorders>
            <w:gridSpan w:val="2"/>
          </w:tcPr>
          <w:p>
            <w:pPr>
              <w:spacing w:after="0" w:line="183" w:lineRule="exact"/>
              <w:rPr>
                <w:rFonts w:ascii="Arial" w:cs="Arial" w:eastAsia="Arial" w:hAnsi="Arial"/>
                <w:sz w:val="17"/>
                <w:szCs w:val="17"/>
                <w:color w:val="0000EE"/>
                <w:w w:val="89"/>
              </w:rPr>
            </w:pPr>
            <w:hyperlink r:id="rId90">
              <w:r>
                <w:rPr>
                  <w:rFonts w:ascii="Arial" w:cs="Arial" w:eastAsia="Arial" w:hAnsi="Arial"/>
                  <w:sz w:val="17"/>
                  <w:szCs w:val="17"/>
                  <w:color w:val="0000EE"/>
                  <w:w w:val="89"/>
                </w:rPr>
                <w:t>Michael Sousa.</w:t>
              </w:r>
            </w:hyperlink>
          </w:p>
        </w:tc>
        <w:tc>
          <w:tcPr>
            <w:tcW w:w="9060" w:type="dxa"/>
            <w:vAlign w:val="bottom"/>
            <w:gridSpan w:val="3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70" w:lineRule="exact"/>
              <w:rPr>
                <w:sz w:val="20"/>
                <w:szCs w:val="20"/>
                <w:color w:val="auto"/>
              </w:rPr>
            </w:pPr>
            <w:r>
              <w:rPr>
                <w:rFonts w:ascii="Arial" w:cs="Arial" w:eastAsia="Arial" w:hAnsi="Arial"/>
                <w:sz w:val="18"/>
                <w:szCs w:val="18"/>
                <w:color w:val="auto"/>
              </w:rPr>
              <w:t xml:space="preserve">10.16^ </w:t>
            </w:r>
            <w:r>
              <w:rPr>
                <w:rFonts w:ascii="Arial" w:cs="Arial" w:eastAsia="Arial" w:hAnsi="Arial"/>
                <w:sz w:val="15"/>
                <w:szCs w:val="15"/>
                <w:color w:val="auto"/>
              </w:rPr>
              <w:t>(10)</w:t>
            </w:r>
          </w:p>
        </w:tc>
        <w:tc>
          <w:tcPr>
            <w:tcW w:w="10120" w:type="dxa"/>
            <w:vAlign w:val="bottom"/>
            <w:gridSpan w:val="40"/>
          </w:tcPr>
          <w:p>
            <w:pPr>
              <w:spacing w:after="0" w:line="169" w:lineRule="exact"/>
              <w:rPr>
                <w:rFonts w:ascii="Arial" w:cs="Arial" w:eastAsia="Arial" w:hAnsi="Arial"/>
                <w:sz w:val="17"/>
                <w:szCs w:val="17"/>
                <w:color w:val="0000EE"/>
                <w:w w:val="95"/>
              </w:rPr>
            </w:pPr>
            <w:hyperlink r:id="rId91">
              <w:r>
                <w:rPr>
                  <w:rFonts w:ascii="Arial" w:cs="Arial" w:eastAsia="Arial" w:hAnsi="Arial"/>
                  <w:sz w:val="17"/>
                  <w:szCs w:val="17"/>
                  <w:color w:val="0000EE"/>
                  <w:w w:val="95"/>
                </w:rPr>
                <w:t>Form of HealthStream, Inc. Restricted Share Unit Agreement (Cumulative) under 2010 Stock Incentive Plan between HealthStream, Inc. and</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2"/>
          </w:tcPr>
          <w:p>
            <w:pPr>
              <w:spacing w:after="0" w:line="183" w:lineRule="exact"/>
              <w:rPr>
                <w:rFonts w:ascii="Arial" w:cs="Arial" w:eastAsia="Arial" w:hAnsi="Arial"/>
                <w:sz w:val="17"/>
                <w:szCs w:val="17"/>
                <w:color w:val="0000EE"/>
                <w:w w:val="89"/>
              </w:rPr>
            </w:pPr>
            <w:hyperlink r:id="rId91">
              <w:r>
                <w:rPr>
                  <w:rFonts w:ascii="Arial" w:cs="Arial" w:eastAsia="Arial" w:hAnsi="Arial"/>
                  <w:sz w:val="17"/>
                  <w:szCs w:val="17"/>
                  <w:color w:val="0000EE"/>
                  <w:w w:val="89"/>
                </w:rPr>
                <w:t>Michael Sousa.</w:t>
              </w:r>
            </w:hyperlink>
          </w:p>
        </w:tc>
        <w:tc>
          <w:tcPr>
            <w:tcW w:w="8600" w:type="dxa"/>
            <w:vAlign w:val="bottom"/>
            <w:tcBorders>
              <w:top w:val="single" w:sz="8" w:color="0000EE"/>
            </w:tcBorders>
            <w:gridSpan w:val="34"/>
          </w:tcPr>
          <w:p>
            <w:pPr>
              <w:spacing w:after="0"/>
              <w:rPr>
                <w:sz w:val="15"/>
                <w:szCs w:val="15"/>
                <w:color w:val="auto"/>
              </w:rPr>
            </w:pPr>
          </w:p>
        </w:tc>
        <w:tc>
          <w:tcPr>
            <w:tcW w:w="4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70" w:lineRule="exact"/>
              <w:rPr>
                <w:sz w:val="20"/>
                <w:szCs w:val="20"/>
                <w:color w:val="auto"/>
              </w:rPr>
            </w:pPr>
            <w:r>
              <w:rPr>
                <w:rFonts w:ascii="Arial" w:cs="Arial" w:eastAsia="Arial" w:hAnsi="Arial"/>
                <w:sz w:val="18"/>
                <w:szCs w:val="18"/>
                <w:color w:val="auto"/>
              </w:rPr>
              <w:t xml:space="preserve">10.17^ </w:t>
            </w:r>
            <w:r>
              <w:rPr>
                <w:rFonts w:ascii="Arial" w:cs="Arial" w:eastAsia="Arial" w:hAnsi="Arial"/>
                <w:sz w:val="15"/>
                <w:szCs w:val="15"/>
                <w:color w:val="auto"/>
              </w:rPr>
              <w:t>(10)</w:t>
            </w:r>
          </w:p>
        </w:tc>
        <w:tc>
          <w:tcPr>
            <w:tcW w:w="3600" w:type="dxa"/>
            <w:vAlign w:val="bottom"/>
            <w:tcBorders>
              <w:bottom w:val="single" w:sz="8" w:color="0000EE"/>
            </w:tcBorders>
            <w:gridSpan w:val="8"/>
          </w:tcPr>
          <w:p>
            <w:pPr>
              <w:spacing w:after="0" w:line="169" w:lineRule="exact"/>
              <w:rPr>
                <w:rFonts w:ascii="Arial" w:cs="Arial" w:eastAsia="Arial" w:hAnsi="Arial"/>
                <w:sz w:val="17"/>
                <w:szCs w:val="17"/>
                <w:color w:val="0000EE"/>
                <w:w w:val="90"/>
              </w:rPr>
            </w:pPr>
            <w:hyperlink r:id="rId92">
              <w:r>
                <w:rPr>
                  <w:rFonts w:ascii="Arial" w:cs="Arial" w:eastAsia="Arial" w:hAnsi="Arial"/>
                  <w:sz w:val="17"/>
                  <w:szCs w:val="17"/>
                  <w:color w:val="0000EE"/>
                  <w:w w:val="90"/>
                </w:rPr>
                <w:t>2015 Provider Solutions Cash Incentive Bonus Plan.</w:t>
              </w:r>
            </w:hyperlink>
          </w:p>
        </w:tc>
        <w:tc>
          <w:tcPr>
            <w:tcW w:w="652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10.18^ </w:t>
            </w:r>
            <w:r>
              <w:rPr>
                <w:rFonts w:ascii="Arial" w:cs="Arial" w:eastAsia="Arial" w:hAnsi="Arial"/>
                <w:sz w:val="15"/>
                <w:szCs w:val="15"/>
                <w:color w:val="auto"/>
              </w:rPr>
              <w:t>(11)</w:t>
            </w:r>
          </w:p>
        </w:tc>
        <w:tc>
          <w:tcPr>
            <w:tcW w:w="10120" w:type="dxa"/>
            <w:vAlign w:val="bottom"/>
            <w:gridSpan w:val="40"/>
          </w:tcPr>
          <w:p>
            <w:pPr>
              <w:spacing w:after="0" w:line="183" w:lineRule="exact"/>
              <w:rPr>
                <w:rFonts w:ascii="Arial" w:cs="Arial" w:eastAsia="Arial" w:hAnsi="Arial"/>
                <w:sz w:val="17"/>
                <w:szCs w:val="17"/>
                <w:color w:val="0000EE"/>
              </w:rPr>
            </w:pPr>
            <w:hyperlink r:id="rId93">
              <w:r>
                <w:rPr>
                  <w:rFonts w:ascii="Arial" w:cs="Arial" w:eastAsia="Arial" w:hAnsi="Arial"/>
                  <w:sz w:val="17"/>
                  <w:szCs w:val="17"/>
                  <w:color w:val="0000EE"/>
                </w:rPr>
                <w:t>2016 Omnibus Incentive Plan.</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10.19^ </w:t>
            </w:r>
            <w:r>
              <w:rPr>
                <w:rFonts w:ascii="Arial" w:cs="Arial" w:eastAsia="Arial" w:hAnsi="Arial"/>
                <w:sz w:val="15"/>
                <w:szCs w:val="15"/>
                <w:color w:val="auto"/>
              </w:rPr>
              <w:t>(12)</w:t>
            </w:r>
          </w:p>
        </w:tc>
        <w:tc>
          <w:tcPr>
            <w:tcW w:w="10120" w:type="dxa"/>
            <w:vAlign w:val="bottom"/>
            <w:gridSpan w:val="40"/>
          </w:tcPr>
          <w:p>
            <w:pPr>
              <w:spacing w:after="0" w:line="183" w:lineRule="exact"/>
              <w:rPr>
                <w:rFonts w:ascii="Arial" w:cs="Arial" w:eastAsia="Arial" w:hAnsi="Arial"/>
                <w:sz w:val="17"/>
                <w:szCs w:val="17"/>
                <w:color w:val="0000EE"/>
                <w:w w:val="94"/>
              </w:rPr>
            </w:pPr>
            <w:hyperlink r:id="rId94">
              <w:r>
                <w:rPr>
                  <w:rFonts w:ascii="Arial" w:cs="Arial" w:eastAsia="Arial" w:hAnsi="Arial"/>
                  <w:sz w:val="17"/>
                  <w:szCs w:val="17"/>
                  <w:color w:val="0000EE"/>
                  <w:w w:val="94"/>
                </w:rPr>
                <w:t>Form of HealthStream, Inc. Restricted Share Unit Agreement (Cumulative) under 2016 Omnibus Plan between HealthStream, Inc. and Michael</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83"/>
              </w:rPr>
            </w:pPr>
            <w:hyperlink r:id="rId94">
              <w:r>
                <w:rPr>
                  <w:rFonts w:ascii="Arial" w:cs="Arial" w:eastAsia="Arial" w:hAnsi="Arial"/>
                  <w:sz w:val="17"/>
                  <w:szCs w:val="17"/>
                  <w:color w:val="0000EE"/>
                  <w:w w:val="83"/>
                </w:rPr>
                <w:t>Sousa.</w:t>
              </w:r>
            </w:hyperlink>
          </w:p>
        </w:tc>
        <w:tc>
          <w:tcPr>
            <w:tcW w:w="9360" w:type="dxa"/>
            <w:vAlign w:val="bottom"/>
            <w:tcBorders>
              <w:top w:val="single" w:sz="8" w:color="0000EE"/>
            </w:tcBorders>
            <w:gridSpan w:val="37"/>
          </w:tcPr>
          <w:p>
            <w:pPr>
              <w:spacing w:after="0"/>
              <w:rPr>
                <w:sz w:val="15"/>
                <w:szCs w:val="15"/>
                <w:color w:val="auto"/>
              </w:rPr>
            </w:pP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70" w:lineRule="exact"/>
              <w:rPr>
                <w:sz w:val="20"/>
                <w:szCs w:val="20"/>
                <w:color w:val="auto"/>
              </w:rPr>
            </w:pPr>
            <w:r>
              <w:rPr>
                <w:rFonts w:ascii="Arial" w:cs="Arial" w:eastAsia="Arial" w:hAnsi="Arial"/>
                <w:sz w:val="18"/>
                <w:szCs w:val="18"/>
                <w:color w:val="auto"/>
              </w:rPr>
              <w:t xml:space="preserve">10.20^ </w:t>
            </w:r>
            <w:r>
              <w:rPr>
                <w:rFonts w:ascii="Arial" w:cs="Arial" w:eastAsia="Arial" w:hAnsi="Arial"/>
                <w:sz w:val="15"/>
                <w:szCs w:val="15"/>
                <w:color w:val="auto"/>
              </w:rPr>
              <w:t>(13)</w:t>
            </w:r>
          </w:p>
        </w:tc>
        <w:tc>
          <w:tcPr>
            <w:tcW w:w="7500" w:type="dxa"/>
            <w:vAlign w:val="bottom"/>
            <w:tcBorders>
              <w:bottom w:val="single" w:sz="8" w:color="0000EE"/>
            </w:tcBorders>
            <w:gridSpan w:val="26"/>
          </w:tcPr>
          <w:p>
            <w:pPr>
              <w:spacing w:after="0" w:line="169" w:lineRule="exact"/>
              <w:rPr>
                <w:rFonts w:ascii="Arial" w:cs="Arial" w:eastAsia="Arial" w:hAnsi="Arial"/>
                <w:sz w:val="17"/>
                <w:szCs w:val="17"/>
                <w:color w:val="0000EE"/>
                <w:w w:val="91"/>
              </w:rPr>
            </w:pPr>
            <w:hyperlink r:id="rId95">
              <w:r>
                <w:rPr>
                  <w:rFonts w:ascii="Arial" w:cs="Arial" w:eastAsia="Arial" w:hAnsi="Arial"/>
                  <w:sz w:val="17"/>
                  <w:szCs w:val="17"/>
                  <w:color w:val="0000EE"/>
                  <w:w w:val="91"/>
                </w:rPr>
                <w:t>Form of HealthStream, Inc. Restricted Share Unit Agreement (Officers) under 2016 Omnibus Incentive Plan.</w:t>
              </w:r>
            </w:hyperlink>
          </w:p>
        </w:tc>
        <w:tc>
          <w:tcPr>
            <w:tcW w:w="26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10.21^ </w:t>
            </w:r>
            <w:r>
              <w:rPr>
                <w:rFonts w:ascii="Arial" w:cs="Arial" w:eastAsia="Arial" w:hAnsi="Arial"/>
                <w:sz w:val="15"/>
                <w:szCs w:val="15"/>
                <w:color w:val="auto"/>
              </w:rPr>
              <w:t>(13)</w:t>
            </w:r>
          </w:p>
        </w:tc>
        <w:tc>
          <w:tcPr>
            <w:tcW w:w="8580" w:type="dxa"/>
            <w:vAlign w:val="bottom"/>
            <w:tcBorders>
              <w:bottom w:val="single" w:sz="8" w:color="0000EE"/>
            </w:tcBorders>
            <w:gridSpan w:val="32"/>
          </w:tcPr>
          <w:p>
            <w:pPr>
              <w:spacing w:after="0" w:line="183" w:lineRule="exact"/>
              <w:rPr>
                <w:rFonts w:ascii="Arial" w:cs="Arial" w:eastAsia="Arial" w:hAnsi="Arial"/>
                <w:sz w:val="17"/>
                <w:szCs w:val="17"/>
                <w:color w:val="0000EE"/>
                <w:w w:val="91"/>
              </w:rPr>
            </w:pPr>
            <w:hyperlink r:id="rId96">
              <w:r>
                <w:rPr>
                  <w:rFonts w:ascii="Arial" w:cs="Arial" w:eastAsia="Arial" w:hAnsi="Arial"/>
                  <w:sz w:val="17"/>
                  <w:szCs w:val="17"/>
                  <w:color w:val="0000EE"/>
                  <w:w w:val="91"/>
                </w:rPr>
                <w:t>Form of HealthStream, Inc. Restricted Share Unit Agreement (Non-Employee Director) under 2016 Omnibus Incentive Plan.</w:t>
              </w:r>
            </w:hyperlink>
          </w:p>
        </w:tc>
        <w:tc>
          <w:tcPr>
            <w:tcW w:w="1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10.22 </w:t>
            </w:r>
            <w:r>
              <w:rPr>
                <w:rFonts w:ascii="Arial" w:cs="Arial" w:eastAsia="Arial" w:hAnsi="Arial"/>
                <w:sz w:val="15"/>
                <w:szCs w:val="15"/>
                <w:color w:val="auto"/>
              </w:rPr>
              <w:t>(14)</w:t>
            </w:r>
          </w:p>
        </w:tc>
        <w:tc>
          <w:tcPr>
            <w:tcW w:w="7340" w:type="dxa"/>
            <w:vAlign w:val="bottom"/>
            <w:tcBorders>
              <w:bottom w:val="single" w:sz="8" w:color="0000EE"/>
            </w:tcBorders>
            <w:gridSpan w:val="24"/>
          </w:tcPr>
          <w:p>
            <w:pPr>
              <w:spacing w:after="0" w:line="183" w:lineRule="exact"/>
              <w:rPr>
                <w:rFonts w:ascii="Arial" w:cs="Arial" w:eastAsia="Arial" w:hAnsi="Arial"/>
                <w:sz w:val="17"/>
                <w:szCs w:val="17"/>
                <w:color w:val="0000EE"/>
                <w:w w:val="91"/>
              </w:rPr>
            </w:pPr>
            <w:hyperlink r:id="rId97">
              <w:r>
                <w:rPr>
                  <w:rFonts w:ascii="Arial" w:cs="Arial" w:eastAsia="Arial" w:hAnsi="Arial"/>
                  <w:sz w:val="17"/>
                  <w:szCs w:val="17"/>
                  <w:color w:val="0000EE"/>
                  <w:w w:val="91"/>
                </w:rPr>
                <w:t>Lease Agreement, dated April 3, 2017, by and between HealthStream, Inc. and Capitol View Joint Venture.</w:t>
              </w:r>
            </w:hyperlink>
          </w:p>
        </w:tc>
        <w:tc>
          <w:tcPr>
            <w:tcW w:w="2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 xml:space="preserve">10.23 </w:t>
            </w:r>
            <w:r>
              <w:rPr>
                <w:rFonts w:ascii="Arial" w:cs="Arial" w:eastAsia="Arial" w:hAnsi="Arial"/>
                <w:sz w:val="15"/>
                <w:szCs w:val="15"/>
                <w:color w:val="auto"/>
              </w:rPr>
              <w:t>(15)</w:t>
            </w:r>
          </w:p>
        </w:tc>
        <w:tc>
          <w:tcPr>
            <w:tcW w:w="9160" w:type="dxa"/>
            <w:vAlign w:val="bottom"/>
            <w:tcBorders>
              <w:bottom w:val="single" w:sz="8" w:color="0000EE"/>
            </w:tcBorders>
            <w:gridSpan w:val="33"/>
          </w:tcPr>
          <w:p>
            <w:pPr>
              <w:spacing w:after="0" w:line="183" w:lineRule="exact"/>
              <w:rPr>
                <w:rFonts w:ascii="Arial" w:cs="Arial" w:eastAsia="Arial" w:hAnsi="Arial"/>
                <w:sz w:val="17"/>
                <w:szCs w:val="17"/>
                <w:color w:val="0000EE"/>
                <w:w w:val="91"/>
              </w:rPr>
            </w:pPr>
            <w:hyperlink r:id="rId98">
              <w:r>
                <w:rPr>
                  <w:rFonts w:ascii="Arial" w:cs="Arial" w:eastAsia="Arial" w:hAnsi="Arial"/>
                  <w:sz w:val="17"/>
                  <w:szCs w:val="17"/>
                  <w:color w:val="0000EE"/>
                  <w:w w:val="91"/>
                </w:rPr>
                <w:t>First Amendment to Revolving Credit Agreement, dated November 13, 2017, by and between HealthStream, Inc. and SunTrust Bank.</w:t>
              </w:r>
            </w:hyperlink>
          </w:p>
        </w:tc>
        <w:tc>
          <w:tcPr>
            <w:tcW w:w="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21.1</w:t>
            </w:r>
          </w:p>
        </w:tc>
        <w:tc>
          <w:tcPr>
            <w:tcW w:w="740" w:type="dxa"/>
            <w:vAlign w:val="bottom"/>
          </w:tcPr>
          <w:p>
            <w:pPr>
              <w:spacing w:after="0"/>
              <w:rPr>
                <w:sz w:val="17"/>
                <w:szCs w:val="17"/>
                <w:color w:val="auto"/>
              </w:rPr>
            </w:pPr>
          </w:p>
        </w:tc>
        <w:tc>
          <w:tcPr>
            <w:tcW w:w="2360" w:type="dxa"/>
            <w:vAlign w:val="bottom"/>
            <w:tcBorders>
              <w:bottom w:val="single" w:sz="8" w:color="0000EE"/>
            </w:tcBorders>
            <w:gridSpan w:val="4"/>
          </w:tcPr>
          <w:p>
            <w:pPr>
              <w:spacing w:after="0" w:line="183" w:lineRule="exact"/>
              <w:rPr>
                <w:rFonts w:ascii="Arial" w:cs="Arial" w:eastAsia="Arial" w:hAnsi="Arial"/>
                <w:sz w:val="17"/>
                <w:szCs w:val="17"/>
                <w:color w:val="0000EE"/>
                <w:w w:val="91"/>
              </w:rPr>
            </w:pPr>
            <w:hyperlink w:anchor="page70">
              <w:r>
                <w:rPr>
                  <w:rFonts w:ascii="Arial" w:cs="Arial" w:eastAsia="Arial" w:hAnsi="Arial"/>
                  <w:sz w:val="17"/>
                  <w:szCs w:val="17"/>
                  <w:color w:val="0000EE"/>
                  <w:w w:val="91"/>
                </w:rPr>
                <w:t>Subsidiaries of HealthStream, Inc.</w:t>
              </w:r>
            </w:hyperlink>
          </w:p>
        </w:tc>
        <w:tc>
          <w:tcPr>
            <w:tcW w:w="776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23.1</w:t>
            </w:r>
          </w:p>
        </w:tc>
        <w:tc>
          <w:tcPr>
            <w:tcW w:w="740" w:type="dxa"/>
            <w:vAlign w:val="bottom"/>
          </w:tcPr>
          <w:p>
            <w:pPr>
              <w:spacing w:after="0"/>
              <w:rPr>
                <w:sz w:val="17"/>
                <w:szCs w:val="17"/>
                <w:color w:val="auto"/>
              </w:rPr>
            </w:pPr>
          </w:p>
        </w:tc>
        <w:tc>
          <w:tcPr>
            <w:tcW w:w="10120" w:type="dxa"/>
            <w:vAlign w:val="bottom"/>
            <w:gridSpan w:val="40"/>
          </w:tcPr>
          <w:p>
            <w:pPr>
              <w:spacing w:after="0" w:line="183" w:lineRule="exact"/>
              <w:rPr>
                <w:rFonts w:ascii="Arial" w:cs="Arial" w:eastAsia="Arial" w:hAnsi="Arial"/>
                <w:sz w:val="17"/>
                <w:szCs w:val="17"/>
                <w:color w:val="0000EE"/>
              </w:rPr>
            </w:pPr>
            <w:hyperlink w:anchor="page71">
              <w:r>
                <w:rPr>
                  <w:rFonts w:ascii="Arial" w:cs="Arial" w:eastAsia="Arial" w:hAnsi="Arial"/>
                  <w:sz w:val="17"/>
                  <w:szCs w:val="17"/>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gridSpan w:val="12"/>
            <w:shd w:val="clear" w:color="auto" w:fill="0000EE"/>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740" w:type="dxa"/>
            <w:vAlign w:val="bottom"/>
          </w:tcPr>
          <w:p>
            <w:pPr>
              <w:spacing w:after="0"/>
              <w:rPr>
                <w:sz w:val="17"/>
                <w:szCs w:val="17"/>
                <w:color w:val="auto"/>
              </w:rPr>
            </w:pPr>
          </w:p>
        </w:tc>
        <w:tc>
          <w:tcPr>
            <w:tcW w:w="10120" w:type="dxa"/>
            <w:vAlign w:val="bottom"/>
            <w:gridSpan w:val="40"/>
          </w:tcPr>
          <w:p>
            <w:pPr>
              <w:spacing w:after="0" w:line="183" w:lineRule="exact"/>
              <w:rPr>
                <w:rFonts w:ascii="Arial" w:cs="Arial" w:eastAsia="Arial" w:hAnsi="Arial"/>
                <w:sz w:val="17"/>
                <w:szCs w:val="17"/>
                <w:color w:val="0000EE"/>
              </w:rPr>
            </w:pPr>
            <w:hyperlink w:anchor="page72">
              <w:r>
                <w:rPr>
                  <w:rFonts w:ascii="Arial" w:cs="Arial" w:eastAsia="Arial" w:hAnsi="Arial"/>
                  <w:sz w:val="17"/>
                  <w:szCs w:val="17"/>
                  <w:color w:val="0000EE"/>
                </w:rPr>
                <w:t>Certification of the Chief Executive Officer Pursuant to Section 302 of the Sarbanes-Oxley Act of 2002</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40" w:type="dxa"/>
            <w:vAlign w:val="bottom"/>
          </w:tcPr>
          <w:p>
            <w:pPr>
              <w:spacing w:after="0"/>
              <w:rPr>
                <w:sz w:val="17"/>
                <w:szCs w:val="17"/>
                <w:color w:val="auto"/>
              </w:rPr>
            </w:pPr>
          </w:p>
        </w:tc>
        <w:tc>
          <w:tcPr>
            <w:tcW w:w="7080" w:type="dxa"/>
            <w:vAlign w:val="bottom"/>
            <w:tcBorders>
              <w:top w:val="single" w:sz="8" w:color="0000EE"/>
            </w:tcBorders>
            <w:gridSpan w:val="20"/>
          </w:tcPr>
          <w:p>
            <w:pPr>
              <w:spacing w:after="0" w:line="183" w:lineRule="exact"/>
              <w:rPr>
                <w:rFonts w:ascii="Arial" w:cs="Arial" w:eastAsia="Arial" w:hAnsi="Arial"/>
                <w:sz w:val="17"/>
                <w:szCs w:val="17"/>
                <w:color w:val="0000EE"/>
                <w:w w:val="92"/>
              </w:rPr>
            </w:pPr>
            <w:hyperlink w:anchor="page73">
              <w:r>
                <w:rPr>
                  <w:rFonts w:ascii="Arial" w:cs="Arial" w:eastAsia="Arial" w:hAnsi="Arial"/>
                  <w:sz w:val="17"/>
                  <w:szCs w:val="17"/>
                  <w:color w:val="0000EE"/>
                  <w:w w:val="92"/>
                </w:rPr>
                <w:t>Certification of the Chief Financial Officer Pursuant to Section 302 of the Sarbanes-Oxley Act of 2002</w:t>
              </w:r>
            </w:hyperlink>
          </w:p>
        </w:tc>
        <w:tc>
          <w:tcPr>
            <w:tcW w:w="30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40" w:type="dxa"/>
            <w:vAlign w:val="bottom"/>
            <w:gridSpan w:val="19"/>
            <w:shd w:val="clear" w:color="auto" w:fill="0000EE"/>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740" w:type="dxa"/>
            <w:vAlign w:val="bottom"/>
          </w:tcPr>
          <w:p>
            <w:pPr>
              <w:spacing w:after="0"/>
              <w:rPr>
                <w:sz w:val="17"/>
                <w:szCs w:val="17"/>
                <w:color w:val="auto"/>
              </w:rPr>
            </w:pPr>
          </w:p>
        </w:tc>
        <w:tc>
          <w:tcPr>
            <w:tcW w:w="8320" w:type="dxa"/>
            <w:vAlign w:val="bottom"/>
            <w:tcBorders>
              <w:bottom w:val="single" w:sz="8" w:color="0000EE"/>
            </w:tcBorders>
            <w:gridSpan w:val="31"/>
          </w:tcPr>
          <w:p>
            <w:pPr>
              <w:spacing w:after="0" w:line="183" w:lineRule="exact"/>
              <w:rPr>
                <w:rFonts w:ascii="Arial" w:cs="Arial" w:eastAsia="Arial" w:hAnsi="Arial"/>
                <w:sz w:val="17"/>
                <w:szCs w:val="17"/>
                <w:color w:val="0000EE"/>
                <w:w w:val="91"/>
              </w:rPr>
            </w:pPr>
            <w:hyperlink w:anchor="page74">
              <w:r>
                <w:rPr>
                  <w:rFonts w:ascii="Arial" w:cs="Arial" w:eastAsia="Arial" w:hAnsi="Arial"/>
                  <w:sz w:val="17"/>
                  <w:szCs w:val="17"/>
                  <w:color w:val="0000EE"/>
                  <w:w w:val="91"/>
                </w:rPr>
                <w:t>Certification Pursuant to 18 U.S.C. Section 1350, as Adopted Pursuant to Section 906 of the Sarbanes-Oxley Act of 2002</w:t>
              </w:r>
            </w:hyperlink>
          </w:p>
        </w:tc>
        <w:tc>
          <w:tcPr>
            <w:tcW w:w="1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740" w:type="dxa"/>
            <w:vAlign w:val="bottom"/>
          </w:tcPr>
          <w:p>
            <w:pPr>
              <w:spacing w:after="0"/>
              <w:rPr>
                <w:sz w:val="17"/>
                <w:szCs w:val="17"/>
                <w:color w:val="auto"/>
              </w:rPr>
            </w:pPr>
          </w:p>
        </w:tc>
        <w:tc>
          <w:tcPr>
            <w:tcW w:w="10120" w:type="dxa"/>
            <w:vAlign w:val="bottom"/>
            <w:gridSpan w:val="40"/>
          </w:tcPr>
          <w:p>
            <w:pPr>
              <w:spacing w:after="0" w:line="183" w:lineRule="exact"/>
              <w:rPr>
                <w:rFonts w:ascii="Arial" w:cs="Arial" w:eastAsia="Arial" w:hAnsi="Arial"/>
                <w:sz w:val="17"/>
                <w:szCs w:val="17"/>
                <w:color w:val="0000EE"/>
              </w:rPr>
            </w:pPr>
            <w:hyperlink w:anchor="page75">
              <w:r>
                <w:rPr>
                  <w:rFonts w:ascii="Arial" w:cs="Arial" w:eastAsia="Arial" w:hAnsi="Arial"/>
                  <w:sz w:val="17"/>
                  <w:szCs w:val="17"/>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32"/>
        </w:trPr>
        <w:tc>
          <w:tcPr>
            <w:tcW w:w="126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8300" w:type="dxa"/>
            <w:vAlign w:val="bottom"/>
            <w:tcBorders>
              <w:top w:val="single" w:sz="8" w:color="0000EE"/>
            </w:tcBorders>
            <w:gridSpan w:val="30"/>
          </w:tcPr>
          <w:p>
            <w:pPr>
              <w:spacing w:after="0"/>
              <w:rPr>
                <w:sz w:val="20"/>
                <w:szCs w:val="20"/>
                <w:color w:val="auto"/>
              </w:rPr>
            </w:pPr>
            <w:r>
              <w:rPr>
                <w:rFonts w:ascii="Arial" w:cs="Arial" w:eastAsia="Arial" w:hAnsi="Arial"/>
                <w:sz w:val="17"/>
                <w:szCs w:val="17"/>
                <w:color w:val="auto"/>
              </w:rPr>
              <w:t>XBRL Instance Document</w:t>
            </w:r>
          </w:p>
        </w:tc>
        <w:tc>
          <w:tcPr>
            <w:tcW w:w="18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10120" w:type="dxa"/>
            <w:vAlign w:val="bottom"/>
            <w:gridSpan w:val="40"/>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101.1 CAL</w:t>
            </w:r>
          </w:p>
        </w:tc>
        <w:tc>
          <w:tcPr>
            <w:tcW w:w="10120" w:type="dxa"/>
            <w:vAlign w:val="bottom"/>
            <w:gridSpan w:val="40"/>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101.1 DEF</w:t>
            </w:r>
          </w:p>
        </w:tc>
        <w:tc>
          <w:tcPr>
            <w:tcW w:w="10120" w:type="dxa"/>
            <w:vAlign w:val="bottom"/>
            <w:gridSpan w:val="40"/>
          </w:tcPr>
          <w:p>
            <w:pPr>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10120" w:type="dxa"/>
            <w:vAlign w:val="bottom"/>
            <w:gridSpan w:val="40"/>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101.1 PRE</w:t>
            </w:r>
          </w:p>
        </w:tc>
        <w:tc>
          <w:tcPr>
            <w:tcW w:w="10120" w:type="dxa"/>
            <w:vAlign w:val="bottom"/>
            <w:gridSpan w:val="40"/>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bl>
    <w:p>
      <w:pPr>
        <w:ind w:left="1260" w:hanging="1252"/>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Incorporated by reference to Registrant’s Registration Statement on Form S-1, as amended (Reg. No. 333-88939).</w:t>
      </w:r>
    </w:p>
    <w:p>
      <w:pPr>
        <w:spacing w:after="0" w:line="7" w:lineRule="exact"/>
        <w:rPr>
          <w:sz w:val="20"/>
          <w:szCs w:val="20"/>
          <w:color w:val="auto"/>
        </w:rPr>
      </w:pPr>
    </w:p>
    <w:p>
      <w:pPr>
        <w:ind w:left="1260" w:hanging="1252"/>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7" w:lineRule="exact"/>
        <w:rPr>
          <w:sz w:val="20"/>
          <w:szCs w:val="20"/>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February 13, 2015.</w:t>
      </w:r>
    </w:p>
    <w:p>
      <w:pPr>
        <w:spacing w:after="0" w:line="7" w:lineRule="exact"/>
        <w:rPr>
          <w:rFonts w:ascii="Arial" w:cs="Arial" w:eastAsia="Arial" w:hAnsi="Arial"/>
          <w:sz w:val="15"/>
          <w:szCs w:val="15"/>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August 8, 2016.</w:t>
      </w:r>
    </w:p>
    <w:p>
      <w:pPr>
        <w:spacing w:after="0" w:line="7" w:lineRule="exact"/>
        <w:rPr>
          <w:rFonts w:ascii="Arial" w:cs="Arial" w:eastAsia="Arial" w:hAnsi="Arial"/>
          <w:sz w:val="15"/>
          <w:szCs w:val="15"/>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July 25, 2005.</w:t>
      </w:r>
    </w:p>
    <w:p>
      <w:pPr>
        <w:spacing w:after="0" w:line="7" w:lineRule="exact"/>
        <w:rPr>
          <w:rFonts w:ascii="Arial" w:cs="Arial" w:eastAsia="Arial" w:hAnsi="Arial"/>
          <w:sz w:val="15"/>
          <w:szCs w:val="15"/>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June 1, 2010.</w:t>
      </w:r>
    </w:p>
    <w:p>
      <w:pPr>
        <w:spacing w:after="0" w:line="7" w:lineRule="exact"/>
        <w:rPr>
          <w:rFonts w:ascii="Arial" w:cs="Arial" w:eastAsia="Arial" w:hAnsi="Arial"/>
          <w:sz w:val="15"/>
          <w:szCs w:val="15"/>
          <w:color w:val="auto"/>
        </w:rPr>
      </w:pPr>
    </w:p>
    <w:p>
      <w:pPr>
        <w:ind w:left="1260" w:hanging="1252"/>
        <w:spacing w:after="0" w:line="248"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Quarterly Report on Form 10-Q, for the quarterly period ended March 31, 2012 filed with the SEC on April 30, 2012.</w:t>
      </w:r>
    </w:p>
    <w:p>
      <w:pPr>
        <w:spacing w:after="0" w:line="1" w:lineRule="exact"/>
        <w:rPr>
          <w:rFonts w:ascii="Arial" w:cs="Arial" w:eastAsia="Arial" w:hAnsi="Arial"/>
          <w:sz w:val="15"/>
          <w:szCs w:val="15"/>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to Appendix B of the Company’s Definitive Proxy Statement filed with the SEC on April 29, 2010.</w:t>
      </w:r>
    </w:p>
    <w:p>
      <w:pPr>
        <w:spacing w:after="0" w:line="7" w:lineRule="exact"/>
        <w:rPr>
          <w:rFonts w:ascii="Arial" w:cs="Arial" w:eastAsia="Arial" w:hAnsi="Arial"/>
          <w:sz w:val="15"/>
          <w:szCs w:val="15"/>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November 25, 2014.</w:t>
      </w:r>
    </w:p>
    <w:p>
      <w:pPr>
        <w:spacing w:after="0" w:line="7" w:lineRule="exact"/>
        <w:rPr>
          <w:rFonts w:ascii="Arial" w:cs="Arial" w:eastAsia="Arial" w:hAnsi="Arial"/>
          <w:sz w:val="15"/>
          <w:szCs w:val="15"/>
          <w:color w:val="auto"/>
        </w:rPr>
      </w:pPr>
    </w:p>
    <w:p>
      <w:pPr>
        <w:ind w:left="1260" w:hanging="1252"/>
        <w:spacing w:after="0"/>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October 23, 2015.</w:t>
      </w:r>
    </w:p>
    <w:p>
      <w:pPr>
        <w:spacing w:after="0" w:line="7" w:lineRule="exact"/>
        <w:rPr>
          <w:rFonts w:ascii="Arial" w:cs="Arial" w:eastAsia="Arial" w:hAnsi="Arial"/>
          <w:sz w:val="15"/>
          <w:szCs w:val="15"/>
          <w:color w:val="auto"/>
        </w:rPr>
      </w:pPr>
    </w:p>
    <w:p>
      <w:pPr>
        <w:ind w:left="1260" w:hanging="1252"/>
        <w:spacing w:after="0" w:line="248"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Quarterly Report on Form 10-Q, for the quarterly period ended June 30, 2015, filed with the SEC on July 31, 2015.</w:t>
      </w:r>
    </w:p>
    <w:p>
      <w:pPr>
        <w:spacing w:after="0" w:line="1" w:lineRule="exact"/>
        <w:rPr>
          <w:rFonts w:ascii="Arial" w:cs="Arial" w:eastAsia="Arial" w:hAnsi="Arial"/>
          <w:sz w:val="15"/>
          <w:szCs w:val="15"/>
          <w:color w:val="auto"/>
        </w:rPr>
      </w:pPr>
    </w:p>
    <w:p>
      <w:pPr>
        <w:ind w:left="1260" w:right="20" w:hanging="1252"/>
        <w:spacing w:after="0" w:line="257"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Quarterly Report on Form 10-Q, for the quarterly period ended September 30, 2015, filed with the SEC on October 30, 2015.</w:t>
      </w:r>
    </w:p>
    <w:p>
      <w:pPr>
        <w:sectPr>
          <w:pgSz w:w="11900" w:h="16838" w:orient="portrait"/>
          <w:cols w:equalWidth="0" w:num="1">
            <w:col w:w="11420"/>
          </w:cols>
          <w:pgMar w:left="240" w:top="459" w:right="239" w:bottom="0" w:gutter="0" w:footer="0" w:header="0"/>
        </w:sectPr>
      </w:pPr>
    </w:p>
    <w:bookmarkStart w:id="66" w:name="page67"/>
    <w:bookmarkEnd w:id="66"/>
    <w:p>
      <w:pPr>
        <w:ind w:left="1260" w:hanging="1252"/>
        <w:spacing w:after="0"/>
        <w:tabs>
          <w:tab w:leader="none" w:pos="1260" w:val="left"/>
        </w:tabs>
        <w:numPr>
          <w:ilvl w:val="0"/>
          <w:numId w:val="16"/>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May 26, 2016.</w:t>
      </w:r>
    </w:p>
    <w:p>
      <w:pPr>
        <w:spacing w:after="0" w:line="21" w:lineRule="exact"/>
        <w:rPr>
          <w:rFonts w:ascii="Arial" w:cs="Arial" w:eastAsia="Arial" w:hAnsi="Arial"/>
          <w:sz w:val="15"/>
          <w:szCs w:val="15"/>
          <w:color w:val="auto"/>
        </w:rPr>
      </w:pPr>
    </w:p>
    <w:p>
      <w:pPr>
        <w:ind w:left="1260" w:right="20" w:hanging="1252"/>
        <w:spacing w:after="0" w:line="248" w:lineRule="auto"/>
        <w:tabs>
          <w:tab w:leader="none" w:pos="1260" w:val="left"/>
        </w:tabs>
        <w:numPr>
          <w:ilvl w:val="0"/>
          <w:numId w:val="16"/>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Annual Report on Form 10-K, for the fiscal year ended December 31, 2016, filed with the SEC on February 27, 2017.</w:t>
      </w:r>
    </w:p>
    <w:p>
      <w:pPr>
        <w:spacing w:after="0" w:line="1" w:lineRule="exact"/>
        <w:rPr>
          <w:rFonts w:ascii="Arial" w:cs="Arial" w:eastAsia="Arial" w:hAnsi="Arial"/>
          <w:sz w:val="15"/>
          <w:szCs w:val="15"/>
          <w:color w:val="auto"/>
        </w:rPr>
      </w:pPr>
    </w:p>
    <w:p>
      <w:pPr>
        <w:ind w:left="1260" w:hanging="1252"/>
        <w:spacing w:after="0" w:line="248" w:lineRule="auto"/>
        <w:tabs>
          <w:tab w:leader="none" w:pos="1260" w:val="left"/>
        </w:tabs>
        <w:numPr>
          <w:ilvl w:val="0"/>
          <w:numId w:val="16"/>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Quarterly Report on Form 10-Q, for the quarterly period ended March 31, 2017, filed with the SEC on May 1, 2017.</w:t>
      </w:r>
    </w:p>
    <w:p>
      <w:pPr>
        <w:spacing w:after="0" w:line="1" w:lineRule="exact"/>
        <w:rPr>
          <w:rFonts w:ascii="Arial" w:cs="Arial" w:eastAsia="Arial" w:hAnsi="Arial"/>
          <w:sz w:val="15"/>
          <w:szCs w:val="15"/>
          <w:color w:val="auto"/>
        </w:rPr>
      </w:pPr>
    </w:p>
    <w:p>
      <w:pPr>
        <w:ind w:left="1260" w:hanging="1252"/>
        <w:spacing w:after="0" w:line="248" w:lineRule="auto"/>
        <w:tabs>
          <w:tab w:leader="none" w:pos="1260" w:val="left"/>
        </w:tabs>
        <w:numPr>
          <w:ilvl w:val="0"/>
          <w:numId w:val="16"/>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Quarterly Report on Form 10-Q, for the quarterly period ended June 30, 2017, filed with the SEC on July 31, 2017.</w:t>
      </w:r>
    </w:p>
    <w:p>
      <w:pPr>
        <w:spacing w:after="0" w:line="1" w:lineRule="exact"/>
        <w:rPr>
          <w:rFonts w:ascii="Arial" w:cs="Arial" w:eastAsia="Arial" w:hAnsi="Arial"/>
          <w:sz w:val="15"/>
          <w:szCs w:val="15"/>
          <w:color w:val="auto"/>
        </w:rPr>
      </w:pPr>
    </w:p>
    <w:p>
      <w:pPr>
        <w:ind w:left="1260" w:hanging="1252"/>
        <w:spacing w:after="0"/>
        <w:tabs>
          <w:tab w:leader="none" w:pos="1260" w:val="left"/>
        </w:tabs>
        <w:numPr>
          <w:ilvl w:val="0"/>
          <w:numId w:val="16"/>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November 14, 2017.</w:t>
      </w:r>
    </w:p>
    <w:p>
      <w:pPr>
        <w:spacing w:after="0" w:line="7" w:lineRule="exact"/>
        <w:rPr>
          <w:rFonts w:ascii="Arial" w:cs="Arial" w:eastAsia="Arial" w:hAnsi="Arial"/>
          <w:sz w:val="15"/>
          <w:szCs w:val="15"/>
          <w:color w:val="auto"/>
        </w:rPr>
      </w:pPr>
    </w:p>
    <w:p>
      <w:pPr>
        <w:ind w:left="1260" w:hanging="1252"/>
        <w:spacing w:after="0"/>
        <w:tabs>
          <w:tab w:leader="none" w:pos="1260" w:val="left"/>
        </w:tabs>
        <w:numPr>
          <w:ilvl w:val="0"/>
          <w:numId w:val="16"/>
        </w:numPr>
        <w:rPr>
          <w:rFonts w:ascii="Arial" w:cs="Arial" w:eastAsia="Arial" w:hAnsi="Arial"/>
          <w:sz w:val="15"/>
          <w:szCs w:val="15"/>
          <w:color w:val="auto"/>
        </w:rPr>
      </w:pPr>
      <w:r>
        <w:rPr>
          <w:rFonts w:ascii="Arial" w:cs="Arial" w:eastAsia="Arial" w:hAnsi="Arial"/>
          <w:sz w:val="17"/>
          <w:szCs w:val="17"/>
          <w:color w:val="auto"/>
        </w:rPr>
        <w:t>Incorporated by reference from exhibit filed on our Current Report on Form 8-K, dated February 12, 2018.</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this 26</w:t>
      </w:r>
      <w:r>
        <w:rPr>
          <w:rFonts w:ascii="Arial" w:cs="Arial" w:eastAsia="Arial" w:hAnsi="Arial"/>
          <w:sz w:val="14"/>
          <w:szCs w:val="14"/>
          <w:color w:val="auto"/>
        </w:rPr>
        <w:t>th</w:t>
      </w:r>
      <w:r>
        <w:rPr>
          <w:rFonts w:ascii="Arial" w:cs="Arial" w:eastAsia="Arial" w:hAnsi="Arial"/>
          <w:sz w:val="17"/>
          <w:szCs w:val="17"/>
          <w:color w:val="auto"/>
        </w:rPr>
        <w:t xml:space="preserve"> day of February, 2018.</w:t>
      </w:r>
    </w:p>
    <w:p>
      <w:pPr>
        <w:spacing w:after="0" w:line="202"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HEALTHSTREAM, INC.</w:t>
      </w:r>
    </w:p>
    <w:p>
      <w:pPr>
        <w:spacing w:after="0" w:line="115"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By: /s/ R</w:t>
      </w:r>
      <w:r>
        <w:rPr>
          <w:rFonts w:ascii="Arial" w:cs="Arial" w:eastAsia="Arial" w:hAnsi="Arial"/>
          <w:sz w:val="14"/>
          <w:szCs w:val="14"/>
          <w:color w:val="auto"/>
        </w:rPr>
        <w:t>OBERT</w:t>
      </w:r>
      <w:r>
        <w:rPr>
          <w:rFonts w:ascii="Arial" w:cs="Arial" w:eastAsia="Arial" w:hAnsi="Arial"/>
          <w:sz w:val="17"/>
          <w:szCs w:val="17"/>
          <w:color w:val="auto"/>
        </w:rPr>
        <w:t xml:space="preserve"> A. F</w:t>
      </w:r>
      <w:r>
        <w:rPr>
          <w:rFonts w:ascii="Arial" w:cs="Arial" w:eastAsia="Arial" w:hAnsi="Arial"/>
          <w:sz w:val="14"/>
          <w:szCs w:val="14"/>
          <w:color w:val="auto"/>
        </w:rPr>
        <w:t>RIST</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-9525</wp:posOffset>
            </wp:positionV>
            <wp:extent cx="22053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2205355" cy="8890"/>
                    </a:xfrm>
                    <a:prstGeom prst="rect">
                      <a:avLst/>
                    </a:prstGeom>
                    <a:noFill/>
                  </pic:spPr>
                </pic:pic>
              </a:graphicData>
            </a:graphic>
          </wp:anchor>
        </w:drawing>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Robert A. Frist, Jr.</w:t>
      </w:r>
    </w:p>
    <w:p>
      <w:pPr>
        <w:spacing w:after="0" w:line="7" w:lineRule="exact"/>
        <w:rPr>
          <w:sz w:val="20"/>
          <w:szCs w:val="20"/>
          <w:color w:val="auto"/>
        </w:rPr>
      </w:pPr>
    </w:p>
    <w:p>
      <w:pPr>
        <w:ind w:left="6900"/>
        <w:spacing w:after="0"/>
        <w:rPr>
          <w:sz w:val="20"/>
          <w:szCs w:val="20"/>
          <w:color w:val="auto"/>
        </w:rPr>
      </w:pPr>
      <w:r>
        <w:rPr>
          <w:rFonts w:ascii="Arial" w:cs="Arial" w:eastAsia="Arial" w:hAnsi="Arial"/>
          <w:sz w:val="17"/>
          <w:szCs w:val="17"/>
          <w:i w:val="1"/>
          <w:iCs w:val="1"/>
          <w:color w:val="auto"/>
        </w:rPr>
        <w:t>Chief Executive Officer</w:t>
      </w:r>
    </w:p>
    <w:p>
      <w:pPr>
        <w:spacing w:after="0" w:line="20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6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3"/>
              </w:rPr>
              <w:t>Signature</w:t>
            </w:r>
          </w:p>
        </w:tc>
        <w:tc>
          <w:tcPr>
            <w:tcW w:w="1660" w:type="dxa"/>
            <w:vAlign w:val="bottom"/>
          </w:tcPr>
          <w:p>
            <w:pPr>
              <w:spacing w:after="0"/>
              <w:rPr>
                <w:sz w:val="15"/>
                <w:szCs w:val="15"/>
                <w:color w:val="auto"/>
              </w:rPr>
            </w:pPr>
          </w:p>
        </w:tc>
        <w:tc>
          <w:tcPr>
            <w:tcW w:w="4380" w:type="dxa"/>
            <w:vAlign w:val="bottom"/>
            <w:gridSpan w:val="3"/>
          </w:tcPr>
          <w:p>
            <w:pPr>
              <w:ind w:left="1800"/>
              <w:spacing w:after="0"/>
              <w:rPr>
                <w:sz w:val="20"/>
                <w:szCs w:val="20"/>
                <w:color w:val="auto"/>
              </w:rPr>
            </w:pPr>
            <w:r>
              <w:rPr>
                <w:rFonts w:ascii="Arial" w:cs="Arial" w:eastAsia="Arial" w:hAnsi="Arial"/>
                <w:sz w:val="14"/>
                <w:szCs w:val="14"/>
                <w:b w:val="1"/>
                <w:bCs w:val="1"/>
                <w:color w:val="auto"/>
              </w:rPr>
              <w:t>Title(s)</w:t>
            </w:r>
          </w:p>
        </w:tc>
        <w:tc>
          <w:tcPr>
            <w:tcW w:w="200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3"/>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4"/>
                <w:szCs w:val="14"/>
                <w:color w:val="auto"/>
              </w:rPr>
              <w:t>OBERT</w:t>
            </w:r>
            <w:r>
              <w:rPr>
                <w:rFonts w:ascii="Arial" w:cs="Arial" w:eastAsia="Arial" w:hAnsi="Arial"/>
                <w:sz w:val="17"/>
                <w:szCs w:val="17"/>
                <w:color w:val="auto"/>
              </w:rPr>
              <w:t xml:space="preserve"> A. F</w:t>
            </w:r>
            <w:r>
              <w:rPr>
                <w:rFonts w:ascii="Arial" w:cs="Arial" w:eastAsia="Arial" w:hAnsi="Arial"/>
                <w:sz w:val="14"/>
                <w:szCs w:val="14"/>
                <w:color w:val="auto"/>
              </w:rPr>
              <w:t>RIST</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President, Chief Executive Officer and</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4"/>
        </w:trPr>
        <w:tc>
          <w:tcPr>
            <w:tcW w:w="3900" w:type="dxa"/>
            <w:vAlign w:val="bottom"/>
            <w:gridSpan w:val="3"/>
          </w:tcPr>
          <w:p>
            <w:pPr>
              <w:spacing w:after="0"/>
              <w:rPr>
                <w:sz w:val="20"/>
                <w:szCs w:val="20"/>
                <w:color w:val="auto"/>
              </w:rPr>
            </w:pPr>
            <w:r>
              <w:rPr>
                <w:rFonts w:ascii="Arial" w:cs="Arial" w:eastAsia="Arial" w:hAnsi="Arial"/>
                <w:sz w:val="17"/>
                <w:szCs w:val="17"/>
                <w:color w:val="auto"/>
              </w:rPr>
              <w:t>Robert A. Frist, Jr.</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Chairman (Principal Executive Officer)</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6"/>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Chief Financial Officer and Senior Vice President</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4"/>
        </w:trPr>
        <w:tc>
          <w:tcPr>
            <w:tcW w:w="3900" w:type="dxa"/>
            <w:vAlign w:val="bottom"/>
            <w:gridSpan w:val="3"/>
          </w:tcPr>
          <w:p>
            <w:pPr>
              <w:spacing w:after="0"/>
              <w:rPr>
                <w:sz w:val="20"/>
                <w:szCs w:val="20"/>
                <w:color w:val="auto"/>
              </w:rPr>
            </w:pPr>
            <w:r>
              <w:rPr>
                <w:rFonts w:ascii="Arial" w:cs="Arial" w:eastAsia="Arial" w:hAnsi="Arial"/>
                <w:sz w:val="17"/>
                <w:szCs w:val="17"/>
                <w:color w:val="auto"/>
              </w:rPr>
              <w:t>Gerard M. Hayden, Jr.</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(Principal Financial and Accounting Officer)</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T</w:t>
            </w:r>
            <w:r>
              <w:rPr>
                <w:rFonts w:ascii="Arial" w:cs="Arial" w:eastAsia="Arial" w:hAnsi="Arial"/>
                <w:sz w:val="14"/>
                <w:szCs w:val="14"/>
                <w:color w:val="auto"/>
              </w:rPr>
              <w:t>HOMPSON</w:t>
            </w:r>
            <w:r>
              <w:rPr>
                <w:rFonts w:ascii="Arial" w:cs="Arial" w:eastAsia="Arial" w:hAnsi="Arial"/>
                <w:sz w:val="17"/>
                <w:szCs w:val="17"/>
                <w:color w:val="auto"/>
              </w:rPr>
              <w:t xml:space="preserve"> D</w:t>
            </w:r>
            <w:r>
              <w:rPr>
                <w:rFonts w:ascii="Arial" w:cs="Arial" w:eastAsia="Arial" w:hAnsi="Arial"/>
                <w:sz w:val="14"/>
                <w:szCs w:val="14"/>
                <w:color w:val="auto"/>
              </w:rPr>
              <w:t>ENT</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Thompson Dent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F</w:t>
            </w:r>
            <w:r>
              <w:rPr>
                <w:rFonts w:ascii="Arial" w:cs="Arial" w:eastAsia="Arial" w:hAnsi="Arial"/>
                <w:sz w:val="14"/>
                <w:szCs w:val="14"/>
                <w:color w:val="auto"/>
              </w:rPr>
              <w:t>RANK</w:t>
            </w:r>
            <w:r>
              <w:rPr>
                <w:rFonts w:ascii="Arial" w:cs="Arial" w:eastAsia="Arial" w:hAnsi="Arial"/>
                <w:sz w:val="17"/>
                <w:szCs w:val="17"/>
                <w:color w:val="auto"/>
              </w:rPr>
              <w:t xml:space="preserve"> G</w:t>
            </w:r>
            <w:r>
              <w:rPr>
                <w:rFonts w:ascii="Arial" w:cs="Arial" w:eastAsia="Arial" w:hAnsi="Arial"/>
                <w:sz w:val="14"/>
                <w:szCs w:val="14"/>
                <w:color w:val="auto"/>
              </w:rPr>
              <w:t>ORDON</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Frank Gordon</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C. M</w:t>
            </w:r>
            <w:r>
              <w:rPr>
                <w:rFonts w:ascii="Arial" w:cs="Arial" w:eastAsia="Arial" w:hAnsi="Arial"/>
                <w:sz w:val="14"/>
                <w:szCs w:val="14"/>
                <w:color w:val="auto"/>
              </w:rPr>
              <w:t>ARTIN</w:t>
            </w:r>
            <w:r>
              <w:rPr>
                <w:rFonts w:ascii="Arial" w:cs="Arial" w:eastAsia="Arial" w:hAnsi="Arial"/>
                <w:sz w:val="17"/>
                <w:szCs w:val="17"/>
                <w:color w:val="auto"/>
              </w:rPr>
              <w:t xml:space="preserve"> H</w:t>
            </w:r>
            <w:r>
              <w:rPr>
                <w:rFonts w:ascii="Arial" w:cs="Arial" w:eastAsia="Arial" w:hAnsi="Arial"/>
                <w:sz w:val="14"/>
                <w:szCs w:val="14"/>
                <w:color w:val="auto"/>
              </w:rPr>
              <w:t>ARRIS</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C. Martin Harris</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w:t>
            </w:r>
            <w:r>
              <w:rPr>
                <w:rFonts w:ascii="Arial" w:cs="Arial" w:eastAsia="Arial" w:hAnsi="Arial"/>
                <w:sz w:val="14"/>
                <w:szCs w:val="14"/>
                <w:color w:val="auto"/>
              </w:rPr>
              <w:t>EFFREY</w:t>
            </w:r>
            <w:r>
              <w:rPr>
                <w:rFonts w:ascii="Arial" w:cs="Arial" w:eastAsia="Arial" w:hAnsi="Arial"/>
                <w:sz w:val="17"/>
                <w:szCs w:val="17"/>
                <w:color w:val="auto"/>
              </w:rPr>
              <w:t xml:space="preserve"> L. M</w:t>
            </w:r>
            <w:r>
              <w:rPr>
                <w:rFonts w:ascii="Arial" w:cs="Arial" w:eastAsia="Arial" w:hAnsi="Arial"/>
                <w:sz w:val="14"/>
                <w:szCs w:val="14"/>
                <w:color w:val="auto"/>
              </w:rPr>
              <w:t>C</w:t>
            </w:r>
            <w:r>
              <w:rPr>
                <w:rFonts w:ascii="Arial" w:cs="Arial" w:eastAsia="Arial" w:hAnsi="Arial"/>
                <w:sz w:val="17"/>
                <w:szCs w:val="17"/>
                <w:color w:val="auto"/>
              </w:rPr>
              <w:t>L</w:t>
            </w:r>
            <w:r>
              <w:rPr>
                <w:rFonts w:ascii="Arial" w:cs="Arial" w:eastAsia="Arial" w:hAnsi="Arial"/>
                <w:sz w:val="14"/>
                <w:szCs w:val="14"/>
                <w:color w:val="auto"/>
              </w:rPr>
              <w:t>AREN</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Jeffrey L. McLaren</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w:t>
            </w:r>
            <w:r>
              <w:rPr>
                <w:rFonts w:ascii="Arial" w:cs="Arial" w:eastAsia="Arial" w:hAnsi="Arial"/>
                <w:sz w:val="14"/>
                <w:szCs w:val="14"/>
                <w:color w:val="auto"/>
              </w:rPr>
              <w:t>ALE</w:t>
            </w:r>
            <w:r>
              <w:rPr>
                <w:rFonts w:ascii="Arial" w:cs="Arial" w:eastAsia="Arial" w:hAnsi="Arial"/>
                <w:sz w:val="17"/>
                <w:szCs w:val="17"/>
                <w:color w:val="auto"/>
              </w:rPr>
              <w:t xml:space="preserve"> P</w:t>
            </w:r>
            <w:r>
              <w:rPr>
                <w:rFonts w:ascii="Arial" w:cs="Arial" w:eastAsia="Arial" w:hAnsi="Arial"/>
                <w:sz w:val="14"/>
                <w:szCs w:val="14"/>
                <w:color w:val="auto"/>
              </w:rPr>
              <w:t>OLLEY</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Dale Polley</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L</w:t>
            </w:r>
            <w:r>
              <w:rPr>
                <w:rFonts w:ascii="Arial" w:cs="Arial" w:eastAsia="Arial" w:hAnsi="Arial"/>
                <w:sz w:val="14"/>
                <w:szCs w:val="14"/>
                <w:color w:val="auto"/>
              </w:rPr>
              <w:t>INDA</w:t>
            </w:r>
            <w:r>
              <w:rPr>
                <w:rFonts w:ascii="Arial" w:cs="Arial" w:eastAsia="Arial" w:hAnsi="Arial"/>
                <w:sz w:val="17"/>
                <w:szCs w:val="17"/>
                <w:color w:val="auto"/>
              </w:rPr>
              <w:t xml:space="preserve"> R</w:t>
            </w:r>
            <w:r>
              <w:rPr>
                <w:rFonts w:ascii="Arial" w:cs="Arial" w:eastAsia="Arial" w:hAnsi="Arial"/>
                <w:sz w:val="14"/>
                <w:szCs w:val="14"/>
                <w:color w:val="auto"/>
              </w:rPr>
              <w:t>EBROVICK</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Linda Rebrovick</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w:t>
            </w:r>
            <w:r>
              <w:rPr>
                <w:rFonts w:ascii="Arial" w:cs="Arial" w:eastAsia="Arial" w:hAnsi="Arial"/>
                <w:sz w:val="14"/>
                <w:szCs w:val="14"/>
                <w:color w:val="auto"/>
              </w:rPr>
              <w:t>ICHAEL</w:t>
            </w:r>
            <w:r>
              <w:rPr>
                <w:rFonts w:ascii="Arial" w:cs="Arial" w:eastAsia="Arial" w:hAnsi="Arial"/>
                <w:sz w:val="17"/>
                <w:szCs w:val="17"/>
                <w:color w:val="auto"/>
              </w:rPr>
              <w:t xml:space="preserve"> S</w:t>
            </w:r>
            <w:r>
              <w:rPr>
                <w:rFonts w:ascii="Arial" w:cs="Arial" w:eastAsia="Arial" w:hAnsi="Arial"/>
                <w:sz w:val="14"/>
                <w:szCs w:val="14"/>
                <w:color w:val="auto"/>
              </w:rPr>
              <w:t>HMERLING</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Michael Shmerling</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W</w:t>
            </w:r>
            <w:r>
              <w:rPr>
                <w:rFonts w:ascii="Arial" w:cs="Arial" w:eastAsia="Arial" w:hAnsi="Arial"/>
                <w:sz w:val="14"/>
                <w:szCs w:val="14"/>
                <w:color w:val="auto"/>
              </w:rPr>
              <w:t>ILLIAM</w:t>
            </w:r>
            <w:r>
              <w:rPr>
                <w:rFonts w:ascii="Arial" w:cs="Arial" w:eastAsia="Arial" w:hAnsi="Arial"/>
                <w:sz w:val="17"/>
                <w:szCs w:val="17"/>
                <w:color w:val="auto"/>
              </w:rPr>
              <w:t xml:space="preserve"> S</w:t>
            </w:r>
            <w:r>
              <w:rPr>
                <w:rFonts w:ascii="Arial" w:cs="Arial" w:eastAsia="Arial" w:hAnsi="Arial"/>
                <w:sz w:val="14"/>
                <w:szCs w:val="14"/>
                <w:color w:val="auto"/>
              </w:rPr>
              <w:t>TEAD</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William Stead</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0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w:t>
            </w:r>
            <w:r>
              <w:rPr>
                <w:rFonts w:ascii="Arial" w:cs="Arial" w:eastAsia="Arial" w:hAnsi="Arial"/>
                <w:sz w:val="14"/>
                <w:szCs w:val="14"/>
                <w:color w:val="auto"/>
              </w:rPr>
              <w:t>EBORAH</w:t>
            </w:r>
            <w:r>
              <w:rPr>
                <w:rFonts w:ascii="Arial" w:cs="Arial" w:eastAsia="Arial" w:hAnsi="Arial"/>
                <w:sz w:val="17"/>
                <w:szCs w:val="17"/>
                <w:color w:val="auto"/>
              </w:rPr>
              <w:t xml:space="preserve"> T</w:t>
            </w:r>
            <w:r>
              <w:rPr>
                <w:rFonts w:ascii="Arial" w:cs="Arial" w:eastAsia="Arial" w:hAnsi="Arial"/>
                <w:sz w:val="14"/>
                <w:szCs w:val="14"/>
                <w:color w:val="auto"/>
              </w:rPr>
              <w:t>AYLOR</w:t>
            </w:r>
            <w:r>
              <w:rPr>
                <w:rFonts w:ascii="Arial" w:cs="Arial" w:eastAsia="Arial" w:hAnsi="Arial"/>
                <w:sz w:val="17"/>
                <w:szCs w:val="17"/>
                <w:color w:val="auto"/>
              </w:rPr>
              <w:t xml:space="preserve"> T</w:t>
            </w:r>
            <w:r>
              <w:rPr>
                <w:rFonts w:ascii="Arial" w:cs="Arial" w:eastAsia="Arial" w:hAnsi="Arial"/>
                <w:sz w:val="14"/>
                <w:szCs w:val="14"/>
                <w:color w:val="auto"/>
              </w:rPr>
              <w:t>ATE</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6"/>
              <w:spacing w:after="0"/>
              <w:rPr>
                <w:sz w:val="20"/>
                <w:szCs w:val="20"/>
                <w:color w:val="auto"/>
              </w:rPr>
            </w:pPr>
            <w:r>
              <w:rPr>
                <w:rFonts w:ascii="Arial" w:cs="Arial" w:eastAsia="Arial" w:hAnsi="Arial"/>
                <w:sz w:val="17"/>
                <w:szCs w:val="17"/>
                <w:color w:val="auto"/>
                <w:w w:val="90"/>
              </w:rPr>
              <w:t>February 26, 2018</w:t>
            </w:r>
          </w:p>
        </w:tc>
      </w:tr>
      <w:tr>
        <w:trPr>
          <w:trHeight w:val="212"/>
        </w:trPr>
        <w:tc>
          <w:tcPr>
            <w:tcW w:w="3900" w:type="dxa"/>
            <w:vAlign w:val="bottom"/>
            <w:gridSpan w:val="3"/>
          </w:tcPr>
          <w:p>
            <w:pPr>
              <w:spacing w:after="0"/>
              <w:rPr>
                <w:sz w:val="20"/>
                <w:szCs w:val="20"/>
                <w:color w:val="auto"/>
              </w:rPr>
            </w:pPr>
            <w:r>
              <w:rPr>
                <w:rFonts w:ascii="Arial" w:cs="Arial" w:eastAsia="Arial" w:hAnsi="Arial"/>
                <w:sz w:val="17"/>
                <w:szCs w:val="17"/>
                <w:color w:val="auto"/>
              </w:rPr>
              <w:t>Deborah Taylor Tate</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711"/>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0" w:type="dxa"/>
            <w:vAlign w:val="bottom"/>
            <w:gridSpan w:val="2"/>
          </w:tcPr>
          <w:p>
            <w:pPr>
              <w:ind w:left="1720"/>
              <w:spacing w:after="0"/>
              <w:rPr>
                <w:sz w:val="20"/>
                <w:szCs w:val="20"/>
                <w:color w:val="auto"/>
              </w:rPr>
            </w:pPr>
            <w:r>
              <w:rPr>
                <w:rFonts w:ascii="Arial" w:cs="Arial" w:eastAsia="Arial" w:hAnsi="Arial"/>
                <w:sz w:val="17"/>
                <w:szCs w:val="17"/>
                <w:color w:val="auto"/>
              </w:rPr>
              <w:t>65</w:t>
            </w: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color w:val="auto"/>
        </w:rPr>
        <w:t>EXHIBIT 10.11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 (the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Director and Executive Officer Compensation</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Director Compensation</w:t>
      </w:r>
      <w:r>
        <w:rPr>
          <w:rFonts w:ascii="Arial" w:cs="Arial" w:eastAsia="Arial" w:hAnsi="Arial"/>
          <w:sz w:val="17"/>
          <w:szCs w:val="17"/>
          <w:color w:val="auto"/>
        </w:rPr>
        <w:t>. Directors who are employees of the Company do not receive additional compensation for serving as directors of the Company. The following table sets forth current rates of cash compensation for the Company’s non-employee directors. For fiscal year 2018, each director will receive an annual retainer of $5,000, except for the Audit Committee Chair and Nominating and Corporate Governance Chair, who will receive an additional annual retainer of $7,500, and the Compensation Committee Chair, who will receive an additional annual retainer of $2,000. Non-employee directors will also receive a $20,000 flat-fee for board and committee meeting attendance and participation in lieu of per meeting fees.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to the cash compensation set forth above, each non-employee director is eligible to receive a nondiscretionary annual grant of restricted share units. The restricted share units are granted annually and vest ratably over a three year period.</w:t>
      </w:r>
    </w:p>
    <w:p>
      <w:pPr>
        <w:spacing w:after="0" w:line="169" w:lineRule="exact"/>
        <w:rPr>
          <w:sz w:val="20"/>
          <w:szCs w:val="20"/>
          <w:color w:val="auto"/>
        </w:rPr>
      </w:pPr>
    </w:p>
    <w:p>
      <w:pPr>
        <w:ind w:right="20" w:firstLine="8"/>
        <w:spacing w:after="0" w:line="281" w:lineRule="auto"/>
        <w:tabs>
          <w:tab w:leader="none" w:pos="199"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Executive Officer Compensation</w:t>
      </w:r>
      <w:r>
        <w:rPr>
          <w:rFonts w:ascii="Arial" w:cs="Arial" w:eastAsia="Arial" w:hAnsi="Arial"/>
          <w:sz w:val="17"/>
          <w:szCs w:val="17"/>
          <w:color w:val="auto"/>
        </w:rPr>
        <w:t>. The following table sets forth the current base salaries and fiscal 2017 performance bonuses provided to our executive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individuals who the Company expects to be its Named Executive Officers for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Executive Officer</w:t>
            </w:r>
          </w:p>
        </w:tc>
        <w:tc>
          <w:tcPr>
            <w:tcW w:w="3100" w:type="dxa"/>
            <w:vAlign w:val="bottom"/>
            <w:tcBorders>
              <w:bottom w:val="single" w:sz="8" w:color="auto"/>
            </w:tcBorders>
          </w:tcPr>
          <w:p>
            <w:pPr>
              <w:jc w:val="center"/>
              <w:ind w:left="391"/>
              <w:spacing w:after="0"/>
              <w:rPr>
                <w:sz w:val="20"/>
                <w:szCs w:val="20"/>
                <w:color w:val="auto"/>
              </w:rPr>
            </w:pPr>
            <w:r>
              <w:rPr>
                <w:rFonts w:ascii="Arial" w:cs="Arial" w:eastAsia="Arial" w:hAnsi="Arial"/>
                <w:sz w:val="17"/>
                <w:szCs w:val="17"/>
                <w:b w:val="1"/>
                <w:bCs w:val="1"/>
                <w:color w:val="auto"/>
                <w:w w:val="92"/>
              </w:rPr>
              <w:t>Current Base Salary</w:t>
            </w:r>
          </w:p>
        </w:tc>
        <w:tc>
          <w:tcPr>
            <w:tcW w:w="286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b w:val="1"/>
                <w:bCs w:val="1"/>
                <w:color w:val="auto"/>
                <w:w w:val="89"/>
              </w:rPr>
              <w:t>Fiscal 2017 Bonus Amount</w:t>
            </w:r>
          </w:p>
        </w:tc>
      </w:tr>
      <w:tr>
        <w:trPr>
          <w:trHeight w:val="197"/>
        </w:trPr>
        <w:tc>
          <w:tcPr>
            <w:tcW w:w="2740" w:type="dxa"/>
            <w:vAlign w:val="bottom"/>
          </w:tcPr>
          <w:p>
            <w:pPr>
              <w:spacing w:after="0" w:line="197" w:lineRule="exact"/>
              <w:rPr>
                <w:sz w:val="20"/>
                <w:szCs w:val="20"/>
                <w:color w:val="auto"/>
              </w:rPr>
            </w:pPr>
            <w:r>
              <w:rPr>
                <w:rFonts w:ascii="Arial" w:cs="Arial" w:eastAsia="Arial" w:hAnsi="Arial"/>
                <w:sz w:val="18"/>
                <w:szCs w:val="18"/>
                <w:color w:val="auto"/>
              </w:rPr>
              <w:t>Robert A. Frist, Jr.</w:t>
            </w:r>
          </w:p>
        </w:tc>
        <w:tc>
          <w:tcPr>
            <w:tcW w:w="3100" w:type="dxa"/>
            <w:vAlign w:val="bottom"/>
          </w:tcPr>
          <w:p>
            <w:pPr>
              <w:jc w:val="center"/>
              <w:ind w:left="371"/>
              <w:spacing w:after="0" w:line="197" w:lineRule="exact"/>
              <w:rPr>
                <w:sz w:val="20"/>
                <w:szCs w:val="20"/>
                <w:color w:val="auto"/>
              </w:rPr>
            </w:pPr>
            <w:r>
              <w:rPr>
                <w:rFonts w:ascii="Arial" w:cs="Arial" w:eastAsia="Arial" w:hAnsi="Arial"/>
                <w:sz w:val="18"/>
                <w:szCs w:val="18"/>
                <w:color w:val="auto"/>
                <w:w w:val="90"/>
              </w:rPr>
              <w:t>$324,000</w:t>
            </w:r>
          </w:p>
        </w:tc>
        <w:tc>
          <w:tcPr>
            <w:tcW w:w="2860" w:type="dxa"/>
            <w:vAlign w:val="bottom"/>
          </w:tcPr>
          <w:p>
            <w:pPr>
              <w:jc w:val="center"/>
              <w:ind w:left="151"/>
              <w:spacing w:after="0" w:line="197" w:lineRule="exact"/>
              <w:rPr>
                <w:sz w:val="20"/>
                <w:szCs w:val="20"/>
                <w:color w:val="auto"/>
              </w:rPr>
            </w:pPr>
            <w:r>
              <w:rPr>
                <w:rFonts w:ascii="Arial" w:cs="Arial" w:eastAsia="Arial" w:hAnsi="Arial"/>
                <w:sz w:val="18"/>
                <w:szCs w:val="18"/>
                <w:color w:val="auto"/>
                <w:w w:val="89"/>
              </w:rPr>
              <w:t>$97,000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J. Edward Pearson</w:t>
            </w:r>
          </w:p>
        </w:tc>
        <w:tc>
          <w:tcPr>
            <w:tcW w:w="3100" w:type="dxa"/>
            <w:vAlign w:val="bottom"/>
          </w:tcPr>
          <w:p>
            <w:pPr>
              <w:jc w:val="center"/>
              <w:ind w:left="371"/>
              <w:spacing w:after="0"/>
              <w:rPr>
                <w:sz w:val="20"/>
                <w:szCs w:val="20"/>
                <w:color w:val="auto"/>
              </w:rPr>
            </w:pPr>
            <w:r>
              <w:rPr>
                <w:rFonts w:ascii="Arial" w:cs="Arial" w:eastAsia="Arial" w:hAnsi="Arial"/>
                <w:sz w:val="18"/>
                <w:szCs w:val="18"/>
                <w:color w:val="auto"/>
                <w:w w:val="90"/>
              </w:rPr>
              <w:t>$306,000</w:t>
            </w:r>
          </w:p>
        </w:tc>
        <w:tc>
          <w:tcPr>
            <w:tcW w:w="2860" w:type="dxa"/>
            <w:vAlign w:val="bottom"/>
          </w:tcPr>
          <w:p>
            <w:pPr>
              <w:jc w:val="center"/>
              <w:ind w:left="151"/>
              <w:spacing w:after="0"/>
              <w:rPr>
                <w:sz w:val="20"/>
                <w:szCs w:val="20"/>
                <w:color w:val="auto"/>
              </w:rPr>
            </w:pPr>
            <w:r>
              <w:rPr>
                <w:rFonts w:ascii="Arial" w:cs="Arial" w:eastAsia="Arial" w:hAnsi="Arial"/>
                <w:sz w:val="18"/>
                <w:szCs w:val="18"/>
                <w:color w:val="auto"/>
                <w:w w:val="89"/>
              </w:rPr>
              <w:t>$92,000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Michael Sousa</w:t>
            </w:r>
          </w:p>
        </w:tc>
        <w:tc>
          <w:tcPr>
            <w:tcW w:w="3100" w:type="dxa"/>
            <w:vAlign w:val="bottom"/>
          </w:tcPr>
          <w:p>
            <w:pPr>
              <w:jc w:val="center"/>
              <w:ind w:left="371"/>
              <w:spacing w:after="0"/>
              <w:rPr>
                <w:sz w:val="20"/>
                <w:szCs w:val="20"/>
                <w:color w:val="auto"/>
              </w:rPr>
            </w:pPr>
            <w:r>
              <w:rPr>
                <w:rFonts w:ascii="Arial" w:cs="Arial" w:eastAsia="Arial" w:hAnsi="Arial"/>
                <w:sz w:val="18"/>
                <w:szCs w:val="18"/>
                <w:color w:val="auto"/>
                <w:w w:val="90"/>
              </w:rPr>
              <w:t>$296,000</w:t>
            </w:r>
          </w:p>
        </w:tc>
        <w:tc>
          <w:tcPr>
            <w:tcW w:w="2860" w:type="dxa"/>
            <w:vAlign w:val="bottom"/>
          </w:tcPr>
          <w:p>
            <w:pPr>
              <w:jc w:val="right"/>
              <w:ind w:right="1311"/>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Gerard M. Hayden, Jr.</w:t>
            </w:r>
          </w:p>
        </w:tc>
        <w:tc>
          <w:tcPr>
            <w:tcW w:w="3100" w:type="dxa"/>
            <w:vAlign w:val="bottom"/>
          </w:tcPr>
          <w:p>
            <w:pPr>
              <w:jc w:val="center"/>
              <w:ind w:left="371"/>
              <w:spacing w:after="0"/>
              <w:rPr>
                <w:sz w:val="20"/>
                <w:szCs w:val="20"/>
                <w:color w:val="auto"/>
              </w:rPr>
            </w:pPr>
            <w:r>
              <w:rPr>
                <w:rFonts w:ascii="Arial" w:cs="Arial" w:eastAsia="Arial" w:hAnsi="Arial"/>
                <w:sz w:val="18"/>
                <w:szCs w:val="18"/>
                <w:color w:val="auto"/>
                <w:w w:val="90"/>
              </w:rPr>
              <w:t>$277,000</w:t>
            </w:r>
          </w:p>
        </w:tc>
        <w:tc>
          <w:tcPr>
            <w:tcW w:w="2860" w:type="dxa"/>
            <w:vAlign w:val="bottom"/>
          </w:tcPr>
          <w:p>
            <w:pPr>
              <w:jc w:val="center"/>
              <w:ind w:left="151"/>
              <w:spacing w:after="0"/>
              <w:rPr>
                <w:sz w:val="20"/>
                <w:szCs w:val="20"/>
                <w:color w:val="auto"/>
              </w:rPr>
            </w:pPr>
            <w:r>
              <w:rPr>
                <w:rFonts w:ascii="Arial" w:cs="Arial" w:eastAsia="Arial" w:hAnsi="Arial"/>
                <w:sz w:val="18"/>
                <w:szCs w:val="18"/>
                <w:color w:val="auto"/>
                <w:w w:val="89"/>
              </w:rPr>
              <w:t>$83,000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Jeffrey S. Doster</w:t>
            </w:r>
          </w:p>
        </w:tc>
        <w:tc>
          <w:tcPr>
            <w:tcW w:w="3100" w:type="dxa"/>
            <w:vAlign w:val="bottom"/>
          </w:tcPr>
          <w:p>
            <w:pPr>
              <w:jc w:val="center"/>
              <w:ind w:left="371"/>
              <w:spacing w:after="0"/>
              <w:rPr>
                <w:sz w:val="20"/>
                <w:szCs w:val="20"/>
                <w:color w:val="auto"/>
              </w:rPr>
            </w:pPr>
            <w:r>
              <w:rPr>
                <w:rFonts w:ascii="Arial" w:cs="Arial" w:eastAsia="Arial" w:hAnsi="Arial"/>
                <w:sz w:val="18"/>
                <w:szCs w:val="18"/>
                <w:color w:val="auto"/>
                <w:w w:val="90"/>
              </w:rPr>
              <w:t>$274,000</w:t>
            </w:r>
          </w:p>
        </w:tc>
        <w:tc>
          <w:tcPr>
            <w:tcW w:w="2860" w:type="dxa"/>
            <w:vAlign w:val="bottom"/>
          </w:tcPr>
          <w:p>
            <w:pPr>
              <w:jc w:val="center"/>
              <w:ind w:left="151"/>
              <w:spacing w:after="0"/>
              <w:rPr>
                <w:sz w:val="20"/>
                <w:szCs w:val="20"/>
                <w:color w:val="auto"/>
              </w:rPr>
            </w:pPr>
            <w:r>
              <w:rPr>
                <w:rFonts w:ascii="Arial" w:cs="Arial" w:eastAsia="Arial" w:hAnsi="Arial"/>
                <w:sz w:val="18"/>
                <w:szCs w:val="18"/>
                <w:color w:val="auto"/>
                <w:w w:val="89"/>
              </w:rPr>
              <w:t>$82,000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Jeffrey D. Cunningham</w:t>
            </w:r>
          </w:p>
        </w:tc>
        <w:tc>
          <w:tcPr>
            <w:tcW w:w="3100" w:type="dxa"/>
            <w:vAlign w:val="bottom"/>
          </w:tcPr>
          <w:p>
            <w:pPr>
              <w:jc w:val="center"/>
              <w:ind w:left="371"/>
              <w:spacing w:after="0"/>
              <w:rPr>
                <w:sz w:val="20"/>
                <w:szCs w:val="20"/>
                <w:color w:val="auto"/>
              </w:rPr>
            </w:pPr>
            <w:r>
              <w:rPr>
                <w:rFonts w:ascii="Arial" w:cs="Arial" w:eastAsia="Arial" w:hAnsi="Arial"/>
                <w:sz w:val="18"/>
                <w:szCs w:val="18"/>
                <w:color w:val="auto"/>
                <w:w w:val="90"/>
              </w:rPr>
              <w:t>$275,000</w:t>
            </w:r>
          </w:p>
        </w:tc>
        <w:tc>
          <w:tcPr>
            <w:tcW w:w="2860" w:type="dxa"/>
            <w:vAlign w:val="bottom"/>
          </w:tcPr>
          <w:p>
            <w:pPr>
              <w:jc w:val="center"/>
              <w:ind w:left="151"/>
              <w:spacing w:after="0"/>
              <w:rPr>
                <w:sz w:val="20"/>
                <w:szCs w:val="20"/>
                <w:color w:val="auto"/>
              </w:rPr>
            </w:pPr>
            <w:r>
              <w:rPr>
                <w:rFonts w:ascii="Arial" w:cs="Arial" w:eastAsia="Arial" w:hAnsi="Arial"/>
                <w:sz w:val="18"/>
                <w:szCs w:val="18"/>
                <w:color w:val="auto"/>
                <w:w w:val="89"/>
              </w:rPr>
              <w:t>$38,000</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Michael M. Collier</w:t>
            </w:r>
          </w:p>
        </w:tc>
        <w:tc>
          <w:tcPr>
            <w:tcW w:w="3100" w:type="dxa"/>
            <w:vAlign w:val="bottom"/>
          </w:tcPr>
          <w:p>
            <w:pPr>
              <w:jc w:val="center"/>
              <w:ind w:left="371"/>
              <w:spacing w:after="0"/>
              <w:rPr>
                <w:sz w:val="20"/>
                <w:szCs w:val="20"/>
                <w:color w:val="auto"/>
              </w:rPr>
            </w:pPr>
            <w:r>
              <w:rPr>
                <w:rFonts w:ascii="Arial" w:cs="Arial" w:eastAsia="Arial" w:hAnsi="Arial"/>
                <w:sz w:val="18"/>
                <w:szCs w:val="18"/>
                <w:color w:val="auto"/>
                <w:w w:val="90"/>
              </w:rPr>
              <w:t>$250,000</w:t>
            </w:r>
          </w:p>
        </w:tc>
        <w:tc>
          <w:tcPr>
            <w:tcW w:w="2860" w:type="dxa"/>
            <w:vAlign w:val="bottom"/>
          </w:tcPr>
          <w:p>
            <w:pPr>
              <w:jc w:val="center"/>
              <w:ind w:left="151"/>
              <w:spacing w:after="0"/>
              <w:rPr>
                <w:sz w:val="20"/>
                <w:szCs w:val="20"/>
                <w:color w:val="auto"/>
              </w:rPr>
            </w:pPr>
            <w:r>
              <w:rPr>
                <w:rFonts w:ascii="Arial" w:cs="Arial" w:eastAsia="Arial" w:hAnsi="Arial"/>
                <w:sz w:val="18"/>
                <w:szCs w:val="18"/>
                <w:color w:val="auto"/>
                <w:w w:val="89"/>
              </w:rPr>
              <w:t>$49,000</w:t>
            </w:r>
          </w:p>
        </w:tc>
      </w:tr>
    </w:tbl>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Base salary adjustments for 2018, bonus targets for 2018 cash bonuses, and 2018 equity grants for executive officers have not yet been determined by the Compensation Committee.</w:t>
      </w:r>
    </w:p>
    <w:p>
      <w:pPr>
        <w:spacing w:after="0" w:line="169" w:lineRule="exact"/>
        <w:rPr>
          <w:sz w:val="20"/>
          <w:szCs w:val="20"/>
          <w:color w:val="auto"/>
        </w:rPr>
      </w:pPr>
    </w:p>
    <w:p>
      <w:pPr>
        <w:ind w:firstLine="8"/>
        <w:spacing w:after="0" w:line="281" w:lineRule="auto"/>
        <w:tabs>
          <w:tab w:leader="none" w:pos="31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Additional Information</w:t>
      </w:r>
      <w:r>
        <w:rPr>
          <w:rFonts w:ascii="Arial" w:cs="Arial" w:eastAsia="Arial" w:hAnsi="Arial"/>
          <w:sz w:val="17"/>
          <w:szCs w:val="17"/>
          <w:color w:val="auto"/>
        </w:rPr>
        <w:t>. The foregoing information is summary in nature. Additional information regarding Director and Named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will be contained in the Company’s 2018 Proxy Statement.</w:t>
      </w:r>
    </w:p>
    <w:p>
      <w:pPr>
        <w:sectPr>
          <w:pgSz w:w="11900" w:h="16838" w:orient="portrait"/>
          <w:cols w:equalWidth="0" w:num="1">
            <w:col w:w="11420"/>
          </w:cols>
          <w:pgMar w:left="240" w:top="12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21.1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Pr>
          <w:p>
            <w:pPr>
              <w:spacing w:after="0"/>
              <w:rPr>
                <w:sz w:val="19"/>
                <w:szCs w:val="19"/>
                <w:color w:val="auto"/>
              </w:rPr>
            </w:pPr>
          </w:p>
        </w:tc>
        <w:tc>
          <w:tcPr>
            <w:tcW w:w="5960" w:type="dxa"/>
            <w:vAlign w:val="bottom"/>
            <w:gridSpan w:val="2"/>
          </w:tcPr>
          <w:p>
            <w:pPr>
              <w:ind w:left="2380"/>
              <w:spacing w:after="0"/>
              <w:rPr>
                <w:sz w:val="20"/>
                <w:szCs w:val="20"/>
                <w:color w:val="auto"/>
              </w:rPr>
            </w:pPr>
            <w:r>
              <w:rPr>
                <w:rFonts w:ascii="Arial" w:cs="Arial" w:eastAsia="Arial" w:hAnsi="Arial"/>
                <w:sz w:val="17"/>
                <w:szCs w:val="17"/>
                <w:b w:val="1"/>
                <w:bCs w:val="1"/>
                <w:color w:val="auto"/>
              </w:rPr>
              <w:t>SUBSIDIARIES OF HEALTHSTREAM, INC.</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60" w:type="dxa"/>
            <w:vAlign w:val="bottom"/>
            <w:gridSpan w:val="3"/>
          </w:tcPr>
          <w:p>
            <w:pPr>
              <w:jc w:val="center"/>
              <w:ind w:left="75"/>
              <w:spacing w:after="0"/>
              <w:rPr>
                <w:sz w:val="20"/>
                <w:szCs w:val="20"/>
                <w:color w:val="auto"/>
              </w:rPr>
            </w:pPr>
            <w:r>
              <w:rPr>
                <w:rFonts w:ascii="Arial" w:cs="Arial" w:eastAsia="Arial" w:hAnsi="Arial"/>
                <w:sz w:val="17"/>
                <w:szCs w:val="17"/>
                <w:color w:val="auto"/>
                <w:w w:val="92"/>
              </w:rPr>
              <w:t>State or Other Jurisdiction of</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160" w:type="dxa"/>
            <w:vAlign w:val="bottom"/>
            <w:gridSpan w:val="3"/>
          </w:tcPr>
          <w:p>
            <w:pPr>
              <w:jc w:val="center"/>
              <w:ind w:left="75"/>
              <w:spacing w:after="0"/>
              <w:rPr>
                <w:sz w:val="20"/>
                <w:szCs w:val="20"/>
                <w:color w:val="auto"/>
              </w:rPr>
            </w:pPr>
            <w:r>
              <w:rPr>
                <w:rFonts w:ascii="Arial" w:cs="Arial" w:eastAsia="Arial" w:hAnsi="Arial"/>
                <w:sz w:val="17"/>
                <w:szCs w:val="17"/>
                <w:color w:val="auto"/>
                <w:w w:val="94"/>
              </w:rPr>
              <w:t>Incorporation or</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5960" w:type="dxa"/>
            <w:vAlign w:val="bottom"/>
            <w:gridSpan w:val="2"/>
          </w:tcPr>
          <w:p>
            <w:pPr>
              <w:spacing w:after="0" w:line="160" w:lineRule="exact"/>
              <w:rPr>
                <w:sz w:val="20"/>
                <w:szCs w:val="20"/>
                <w:color w:val="auto"/>
              </w:rPr>
            </w:pPr>
            <w:r>
              <w:rPr>
                <w:rFonts w:ascii="Arial" w:cs="Arial" w:eastAsia="Arial" w:hAnsi="Arial"/>
                <w:sz w:val="17"/>
                <w:szCs w:val="17"/>
                <w:color w:val="auto"/>
              </w:rPr>
              <w:t>Names Under Which We Do Business</w:t>
            </w:r>
          </w:p>
        </w:tc>
        <w:tc>
          <w:tcPr>
            <w:tcW w:w="720" w:type="dxa"/>
            <w:vAlign w:val="bottom"/>
          </w:tcPr>
          <w:p>
            <w:pPr>
              <w:spacing w:after="0"/>
              <w:rPr>
                <w:sz w:val="15"/>
                <w:szCs w:val="15"/>
                <w:color w:val="auto"/>
              </w:rPr>
            </w:pPr>
          </w:p>
        </w:tc>
        <w:tc>
          <w:tcPr>
            <w:tcW w:w="1440" w:type="dxa"/>
            <w:vAlign w:val="bottom"/>
            <w:gridSpan w:val="2"/>
          </w:tcPr>
          <w:p>
            <w:pPr>
              <w:jc w:val="center"/>
              <w:ind w:right="560"/>
              <w:spacing w:after="0" w:line="160" w:lineRule="exact"/>
              <w:rPr>
                <w:sz w:val="20"/>
                <w:szCs w:val="20"/>
                <w:color w:val="auto"/>
              </w:rPr>
            </w:pPr>
            <w:r>
              <w:rPr>
                <w:rFonts w:ascii="Arial" w:cs="Arial" w:eastAsia="Arial" w:hAnsi="Arial"/>
                <w:sz w:val="17"/>
                <w:szCs w:val="17"/>
                <w:color w:val="auto"/>
                <w:w w:val="91"/>
              </w:rPr>
              <w:t>Organization</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center"/>
              <w:spacing w:after="0" w:line="148" w:lineRule="exact"/>
              <w:rPr>
                <w:sz w:val="20"/>
                <w:szCs w:val="20"/>
                <w:color w:val="auto"/>
              </w:rPr>
            </w:pPr>
            <w:r>
              <w:rPr>
                <w:rFonts w:ascii="Arial" w:cs="Arial" w:eastAsia="Arial" w:hAnsi="Arial"/>
                <w:sz w:val="17"/>
                <w:szCs w:val="17"/>
                <w:color w:val="auto"/>
                <w:w w:val="83"/>
              </w:rPr>
              <w:t>Tennessee</w:t>
            </w: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580" w:type="dxa"/>
            <w:vAlign w:val="bottom"/>
            <w:gridSpan w:val="3"/>
          </w:tcPr>
          <w:p>
            <w:pPr>
              <w:spacing w:after="0" w:line="128" w:lineRule="exact"/>
              <w:rPr>
                <w:sz w:val="20"/>
                <w:szCs w:val="20"/>
                <w:color w:val="auto"/>
              </w:rPr>
            </w:pPr>
            <w:r>
              <w:rPr>
                <w:rFonts w:ascii="Arial" w:cs="Arial" w:eastAsia="Arial" w:hAnsi="Arial"/>
                <w:sz w:val="14"/>
                <w:szCs w:val="14"/>
                <w:color w:val="auto"/>
              </w:rPr>
              <w:t>Data Management &amp; Research, Inc.</w:t>
            </w:r>
          </w:p>
        </w:tc>
        <w:tc>
          <w:tcPr>
            <w:tcW w:w="7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220" w:type="dxa"/>
            <w:vAlign w:val="bottom"/>
            <w:gridSpan w:val="2"/>
          </w:tcPr>
          <w:p>
            <w:pPr>
              <w:ind w:left="2460"/>
              <w:spacing w:after="0"/>
              <w:rPr>
                <w:sz w:val="20"/>
                <w:szCs w:val="20"/>
                <w:color w:val="auto"/>
              </w:rPr>
            </w:pPr>
            <w:r>
              <w:rPr>
                <w:rFonts w:ascii="Arial" w:cs="Arial" w:eastAsia="Arial" w:hAnsi="Arial"/>
                <w:sz w:val="15"/>
                <w:szCs w:val="15"/>
                <w:color w:val="auto"/>
              </w:rPr>
              <w:t>(1)</w:t>
            </w:r>
          </w:p>
        </w:tc>
        <w:tc>
          <w:tcPr>
            <w:tcW w:w="3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7580" w:type="dxa"/>
            <w:vAlign w:val="bottom"/>
            <w:gridSpan w:val="3"/>
          </w:tcPr>
          <w:p>
            <w:pPr>
              <w:spacing w:after="0"/>
              <w:rPr>
                <w:sz w:val="20"/>
                <w:szCs w:val="20"/>
                <w:color w:val="auto"/>
              </w:rPr>
            </w:pPr>
            <w:r>
              <w:rPr>
                <w:rFonts w:ascii="Arial" w:cs="Arial" w:eastAsia="Arial" w:hAnsi="Arial"/>
                <w:sz w:val="17"/>
                <w:szCs w:val="17"/>
                <w:color w:val="auto"/>
              </w:rPr>
              <w:t>The Jackson Organization, Research Consultants, Inc.</w:t>
            </w:r>
            <w:r>
              <w:rPr>
                <w:rFonts w:ascii="Arial" w:cs="Arial" w:eastAsia="Arial" w:hAnsi="Arial"/>
                <w:sz w:val="14"/>
                <w:szCs w:val="14"/>
                <w:color w:val="auto"/>
              </w:rPr>
              <w:t>(1)</w:t>
            </w:r>
          </w:p>
        </w:tc>
        <w:tc>
          <w:tcPr>
            <w:tcW w:w="7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97"/>
              </w:rPr>
              <w:t>Maryland</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Decision Critical, Inc.</w:t>
            </w:r>
          </w:p>
        </w:tc>
        <w:tc>
          <w:tcPr>
            <w:tcW w:w="7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86"/>
              </w:rPr>
              <w:t>Texas</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Verity, Inc., a HealthStream Company (f/k/a Echo, Inc.)</w:t>
            </w:r>
          </w:p>
        </w:tc>
        <w:tc>
          <w:tcPr>
            <w:tcW w:w="720" w:type="dxa"/>
            <w:vAlign w:val="bottom"/>
          </w:tcPr>
          <w:p>
            <w:pPr>
              <w:spacing w:after="0"/>
              <w:rPr>
                <w:sz w:val="24"/>
                <w:szCs w:val="2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7"/>
                <w:szCs w:val="17"/>
                <w:color w:val="auto"/>
                <w:w w:val="83"/>
              </w:rPr>
              <w:t>Tennessee</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Morrisey Associates, Inc.</w:t>
            </w:r>
          </w:p>
        </w:tc>
        <w:tc>
          <w:tcPr>
            <w:tcW w:w="7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rPr>
              <w:t>Illinois</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Performance Management Services, Inc.</w:t>
            </w:r>
          </w:p>
        </w:tc>
        <w:tc>
          <w:tcPr>
            <w:tcW w:w="7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94"/>
              </w:rPr>
              <w:t>California</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Nursing Registry Consultants Corporation</w:t>
            </w:r>
          </w:p>
        </w:tc>
        <w:tc>
          <w:tcPr>
            <w:tcW w:w="7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89"/>
              </w:rPr>
              <w:t>Delaware</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Health Care Compliance Strategies, Inc.</w:t>
            </w:r>
          </w:p>
        </w:tc>
        <w:tc>
          <w:tcPr>
            <w:tcW w:w="720" w:type="dxa"/>
            <w:vAlign w:val="bottom"/>
          </w:tcPr>
          <w:p>
            <w:pPr>
              <w:spacing w:after="0"/>
              <w:rPr>
                <w:sz w:val="24"/>
                <w:szCs w:val="2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7"/>
                <w:szCs w:val="17"/>
                <w:color w:val="auto"/>
                <w:w w:val="94"/>
              </w:rPr>
              <w:t>New York</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HealthStream Acquisition I, Inc.</w:t>
            </w:r>
          </w:p>
        </w:tc>
        <w:tc>
          <w:tcPr>
            <w:tcW w:w="720" w:type="dxa"/>
            <w:vAlign w:val="bottom"/>
          </w:tcPr>
          <w:p>
            <w:pPr>
              <w:spacing w:after="0"/>
              <w:rPr>
                <w:sz w:val="24"/>
                <w:szCs w:val="2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7"/>
                <w:szCs w:val="17"/>
                <w:color w:val="auto"/>
                <w:w w:val="83"/>
              </w:rPr>
              <w:t>Tennessee</w:t>
            </w:r>
          </w:p>
        </w:tc>
        <w:tc>
          <w:tcPr>
            <w:tcW w:w="0" w:type="dxa"/>
            <w:vAlign w:val="bottom"/>
          </w:tcPr>
          <w:p>
            <w:pPr>
              <w:spacing w:after="0"/>
              <w:rPr>
                <w:sz w:val="1"/>
                <w:szCs w:val="1"/>
                <w:color w:val="auto"/>
              </w:rPr>
            </w:pPr>
          </w:p>
        </w:tc>
      </w:tr>
      <w:tr>
        <w:trPr>
          <w:trHeight w:val="311"/>
        </w:trPr>
        <w:tc>
          <w:tcPr>
            <w:tcW w:w="7580" w:type="dxa"/>
            <w:vAlign w:val="bottom"/>
            <w:gridSpan w:val="3"/>
          </w:tcPr>
          <w:p>
            <w:pPr>
              <w:spacing w:after="0"/>
              <w:rPr>
                <w:sz w:val="20"/>
                <w:szCs w:val="20"/>
                <w:color w:val="auto"/>
              </w:rPr>
            </w:pPr>
            <w:r>
              <w:rPr>
                <w:rFonts w:ascii="Arial" w:cs="Arial" w:eastAsia="Arial" w:hAnsi="Arial"/>
                <w:sz w:val="17"/>
                <w:szCs w:val="17"/>
                <w:color w:val="auto"/>
              </w:rPr>
              <w:t>HealthStream Acquisition II, Inc.</w:t>
            </w:r>
          </w:p>
        </w:tc>
        <w:tc>
          <w:tcPr>
            <w:tcW w:w="720" w:type="dxa"/>
            <w:vAlign w:val="bottom"/>
          </w:tcPr>
          <w:p>
            <w:pPr>
              <w:spacing w:after="0"/>
              <w:rPr>
                <w:sz w:val="24"/>
                <w:szCs w:val="2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7"/>
                <w:szCs w:val="17"/>
                <w:color w:val="auto"/>
                <w:w w:val="83"/>
              </w:rPr>
              <w:t>Tennessee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20" w:hanging="437"/>
        <w:spacing w:after="0" w:line="274" w:lineRule="auto"/>
        <w:tabs>
          <w:tab w:leader="none" w:pos="1120" w:val="left"/>
        </w:tabs>
        <w:numPr>
          <w:ilvl w:val="0"/>
          <w:numId w:val="19"/>
        </w:numPr>
        <w:rPr>
          <w:rFonts w:ascii="Arial" w:cs="Arial" w:eastAsia="Arial" w:hAnsi="Arial"/>
          <w:sz w:val="15"/>
          <w:szCs w:val="15"/>
          <w:color w:val="auto"/>
        </w:rPr>
      </w:pPr>
      <w:r>
        <w:rPr>
          <w:rFonts w:ascii="Arial" w:cs="Arial" w:eastAsia="Arial" w:hAnsi="Arial"/>
          <w:sz w:val="17"/>
          <w:szCs w:val="17"/>
          <w:color w:val="auto"/>
        </w:rPr>
        <w:t>Data Management &amp; Research, Inc. and The Jackson Organization, Research Consultants, Inc. were dissolved on February 8, 2018 and February 9, 2018, respectively.</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23.1</w:t>
      </w:r>
    </w:p>
    <w:p>
      <w:pPr>
        <w:spacing w:after="0" w:line="330"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2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Registration Statement (Form S-8 No. 333-211725) pertaining to the 2016 Omnibus Incentive Plan of HealthStream, Inc.,</w:t>
      </w:r>
    </w:p>
    <w:p>
      <w:pPr>
        <w:spacing w:after="0" w:line="20"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Registration Statement (Form S-8 No. 333-167241) pertaining to the 2010 Stock Incentive Plan of HealthStream, Inc.,</w:t>
      </w:r>
    </w:p>
    <w:p>
      <w:pPr>
        <w:spacing w:after="0" w:line="7" w:lineRule="exact"/>
        <w:rPr>
          <w:rFonts w:ascii="Arial" w:cs="Arial" w:eastAsia="Arial" w:hAnsi="Arial"/>
          <w:sz w:val="17"/>
          <w:szCs w:val="17"/>
          <w:color w:val="auto"/>
        </w:rPr>
      </w:pPr>
    </w:p>
    <w:p>
      <w:pPr>
        <w:ind w:left="900" w:hanging="446"/>
        <w:spacing w:after="0" w:line="24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Registration Statement (Form S-8 No. 333-37440) pertaining to the 1994 Employee Stock Option Plan, 2000 Stock Incentive Plan and Employee Stock Purchase Plan of HealthStream, Inc., and</w:t>
      </w:r>
    </w:p>
    <w:p>
      <w:pPr>
        <w:spacing w:after="0" w:line="1"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Registration Statement (Form S-3 No. 333-206897) of HealthStream, Inc., as amended by that Post-Effective Amendment No. 1 to Registration Statement (Form POS AM No. 333-206897).</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our reports dated February 26, 2018, with respect to the consolidated financial statements of HealthStream, Inc. and the effectiveness of internal control over financial reporting of HealthStream, Inc., included in this Annual Report (Form 10-K) of HealthStream, Inc. for the year ended December 31, 2017.</w:t>
      </w:r>
    </w:p>
    <w:p>
      <w:pPr>
        <w:spacing w:after="0" w:line="179"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/s/ Ernst &amp; Young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26, 2018</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color w:val="auto"/>
        </w:rPr>
        <w:t>EXHIBIT 31.1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I,  Robert A. Frist, Jr., certify that:</w:t>
      </w:r>
    </w:p>
    <w:p>
      <w:pPr>
        <w:spacing w:after="0" w:line="250"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HealthStream, Inc.;</w:t>
      </w:r>
    </w:p>
    <w:p>
      <w:pPr>
        <w:spacing w:after="0" w:line="250" w:lineRule="exact"/>
        <w:rPr>
          <w:rFonts w:ascii="Arial" w:cs="Arial" w:eastAsia="Arial" w:hAnsi="Arial"/>
          <w:sz w:val="17"/>
          <w:szCs w:val="17"/>
          <w:color w:val="auto"/>
        </w:rPr>
      </w:pPr>
    </w:p>
    <w:p>
      <w:pPr>
        <w:ind w:left="220" w:hanging="212"/>
        <w:spacing w:after="0" w:line="306"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6"/>
          <w:szCs w:val="16"/>
          <w:color w:val="auto"/>
        </w:rPr>
      </w:pPr>
    </w:p>
    <w:p>
      <w:pPr>
        <w:ind w:left="220" w:right="20" w:hanging="212"/>
        <w:spacing w:after="0" w:line="274"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7"/>
          <w:szCs w:val="17"/>
          <w:color w:val="auto"/>
        </w:rPr>
      </w:pPr>
    </w:p>
    <w:p>
      <w:pPr>
        <w:jc w:val="both"/>
        <w:ind w:left="220" w:hanging="212"/>
        <w:spacing w:after="0" w:line="261"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7"/>
          <w:szCs w:val="17"/>
          <w:color w:val="auto"/>
        </w:rPr>
      </w:pPr>
    </w:p>
    <w:p>
      <w:pPr>
        <w:jc w:val="both"/>
        <w:ind w:left="700" w:hanging="7"/>
        <w:spacing w:after="0" w:line="261" w:lineRule="auto"/>
        <w:tabs>
          <w:tab w:leader="none" w:pos="87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700" w:hanging="7"/>
        <w:spacing w:after="0" w:line="261" w:lineRule="auto"/>
        <w:tabs>
          <w:tab w:leader="none" w:pos="892"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700" w:hanging="7"/>
        <w:spacing w:after="0" w:line="274" w:lineRule="auto"/>
        <w:tabs>
          <w:tab w:leader="none" w:pos="886"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jc w:val="both"/>
        <w:ind w:left="700" w:hanging="7"/>
        <w:spacing w:after="0" w:line="261" w:lineRule="auto"/>
        <w:tabs>
          <w:tab w:leader="none" w:pos="9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7"/>
          <w:szCs w:val="17"/>
          <w:color w:val="auto"/>
        </w:rPr>
      </w:pPr>
    </w:p>
    <w:p>
      <w:pPr>
        <w:ind w:left="220" w:hanging="212"/>
        <w:spacing w:after="0" w:line="274"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700" w:hanging="7"/>
        <w:spacing w:after="0" w:line="274" w:lineRule="auto"/>
        <w:tabs>
          <w:tab w:leader="none" w:pos="882"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700" w:hanging="7"/>
        <w:spacing w:after="0" w:line="274" w:lineRule="auto"/>
        <w:tabs>
          <w:tab w:leader="none" w:pos="901"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sz w:val="20"/>
                <w:szCs w:val="20"/>
                <w:color w:val="auto"/>
              </w:rPr>
            </w:pPr>
            <w:r>
              <w:rPr>
                <w:rFonts w:ascii="Arial" w:cs="Arial" w:eastAsia="Arial" w:hAnsi="Arial"/>
                <w:sz w:val="17"/>
                <w:szCs w:val="17"/>
                <w:color w:val="auto"/>
              </w:rPr>
              <w:t>Date: February 26, 2018</w:t>
            </w:r>
          </w:p>
        </w:tc>
        <w:tc>
          <w:tcPr>
            <w:tcW w:w="2060" w:type="dxa"/>
            <w:vAlign w:val="bottom"/>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4"/>
                <w:szCs w:val="14"/>
                <w:color w:val="auto"/>
              </w:rPr>
              <w:t>OBERT</w:t>
            </w:r>
            <w:r>
              <w:rPr>
                <w:rFonts w:ascii="Arial" w:cs="Arial" w:eastAsia="Arial" w:hAnsi="Arial"/>
                <w:sz w:val="17"/>
                <w:szCs w:val="17"/>
                <w:color w:val="auto"/>
              </w:rPr>
              <w:t xml:space="preserve"> A. F</w:t>
            </w:r>
            <w:r>
              <w:rPr>
                <w:rFonts w:ascii="Arial" w:cs="Arial" w:eastAsia="Arial" w:hAnsi="Arial"/>
                <w:sz w:val="14"/>
                <w:szCs w:val="14"/>
                <w:color w:val="auto"/>
              </w:rPr>
              <w:t>RIST</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tc>
      </w:tr>
      <w:tr>
        <w:trPr>
          <w:trHeight w:val="205"/>
        </w:trPr>
        <w:tc>
          <w:tcPr>
            <w:tcW w:w="340" w:type="dxa"/>
            <w:vAlign w:val="bottom"/>
            <w:tcBorders>
              <w:top w:val="single" w:sz="8" w:color="auto"/>
            </w:tcBorders>
          </w:tcPr>
          <w:p>
            <w:pPr>
              <w:spacing w:after="0"/>
              <w:rPr>
                <w:sz w:val="17"/>
                <w:szCs w:val="17"/>
                <w:color w:val="auto"/>
              </w:rPr>
            </w:pPr>
          </w:p>
        </w:tc>
        <w:tc>
          <w:tcPr>
            <w:tcW w:w="5720" w:type="dxa"/>
            <w:vAlign w:val="bottom"/>
          </w:tcPr>
          <w:p>
            <w:pPr>
              <w:spacing w:after="0"/>
              <w:rPr>
                <w:sz w:val="17"/>
                <w:szCs w:val="17"/>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Robert A. Frist, Jr.</w:t>
            </w: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420"/>
          </w:cols>
          <w:pgMar w:left="240" w:top="12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color w:val="auto"/>
        </w:rPr>
        <w:t>EXHIBIT 31.2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Gerard M. Hayden, Jr., certify that:</w:t>
      </w:r>
    </w:p>
    <w:p>
      <w:pPr>
        <w:spacing w:after="0" w:line="250"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HealthStream, Inc.;</w:t>
      </w:r>
    </w:p>
    <w:p>
      <w:pPr>
        <w:spacing w:after="0" w:line="250" w:lineRule="exact"/>
        <w:rPr>
          <w:rFonts w:ascii="Arial" w:cs="Arial" w:eastAsia="Arial" w:hAnsi="Arial"/>
          <w:sz w:val="17"/>
          <w:szCs w:val="17"/>
          <w:color w:val="auto"/>
        </w:rPr>
      </w:pPr>
    </w:p>
    <w:p>
      <w:pPr>
        <w:ind w:left="220" w:hanging="212"/>
        <w:spacing w:after="0" w:line="306"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6"/>
          <w:szCs w:val="16"/>
          <w:color w:val="auto"/>
        </w:rPr>
      </w:pPr>
    </w:p>
    <w:p>
      <w:pPr>
        <w:ind w:left="220" w:right="20" w:hanging="212"/>
        <w:spacing w:after="0" w:line="274"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7"/>
          <w:szCs w:val="17"/>
          <w:color w:val="auto"/>
        </w:rPr>
      </w:pPr>
    </w:p>
    <w:p>
      <w:pPr>
        <w:jc w:val="both"/>
        <w:ind w:left="220" w:hanging="212"/>
        <w:spacing w:after="0" w:line="261"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7"/>
          <w:szCs w:val="17"/>
          <w:color w:val="auto"/>
        </w:rPr>
      </w:pPr>
    </w:p>
    <w:p>
      <w:pPr>
        <w:jc w:val="both"/>
        <w:ind w:left="700" w:hanging="7"/>
        <w:spacing w:after="0" w:line="261" w:lineRule="auto"/>
        <w:tabs>
          <w:tab w:leader="none" w:pos="87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700" w:hanging="7"/>
        <w:spacing w:after="0" w:line="261" w:lineRule="auto"/>
        <w:tabs>
          <w:tab w:leader="none" w:pos="892"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700" w:hanging="7"/>
        <w:spacing w:after="0" w:line="274" w:lineRule="auto"/>
        <w:tabs>
          <w:tab w:leader="none" w:pos="886"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jc w:val="both"/>
        <w:ind w:left="700" w:hanging="7"/>
        <w:spacing w:after="0" w:line="261" w:lineRule="auto"/>
        <w:tabs>
          <w:tab w:leader="none" w:pos="904"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7"/>
          <w:szCs w:val="17"/>
          <w:color w:val="auto"/>
        </w:rPr>
      </w:pPr>
    </w:p>
    <w:p>
      <w:pPr>
        <w:ind w:left="220" w:hanging="212"/>
        <w:spacing w:after="0" w:line="274"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700" w:hanging="7"/>
        <w:spacing w:after="0" w:line="274" w:lineRule="auto"/>
        <w:tabs>
          <w:tab w:leader="none" w:pos="882"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700" w:hanging="7"/>
        <w:spacing w:after="0" w:line="274" w:lineRule="auto"/>
        <w:tabs>
          <w:tab w:leader="none" w:pos="90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sz w:val="20"/>
                <w:szCs w:val="20"/>
                <w:color w:val="auto"/>
              </w:rPr>
            </w:pPr>
            <w:r>
              <w:rPr>
                <w:rFonts w:ascii="Arial" w:cs="Arial" w:eastAsia="Arial" w:hAnsi="Arial"/>
                <w:sz w:val="17"/>
                <w:szCs w:val="17"/>
                <w:color w:val="auto"/>
              </w:rPr>
              <w:t>Date: February 26, 2018</w:t>
            </w:r>
          </w:p>
        </w:tc>
        <w:tc>
          <w:tcPr>
            <w:tcW w:w="2420" w:type="dxa"/>
            <w:vAlign w:val="bottom"/>
          </w:tcPr>
          <w:p>
            <w:pPr>
              <w:spacing w:after="0"/>
              <w:rPr>
                <w:sz w:val="20"/>
                <w:szCs w:val="20"/>
                <w:color w:val="auto"/>
              </w:rPr>
            </w:pP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tc>
      </w:tr>
      <w:tr>
        <w:trPr>
          <w:trHeight w:val="205"/>
        </w:trPr>
        <w:tc>
          <w:tcPr>
            <w:tcW w:w="340" w:type="dxa"/>
            <w:vAlign w:val="bottom"/>
            <w:tcBorders>
              <w:top w:val="single" w:sz="8" w:color="auto"/>
            </w:tcBorders>
          </w:tcPr>
          <w:p>
            <w:pPr>
              <w:spacing w:after="0"/>
              <w:rPr>
                <w:sz w:val="17"/>
                <w:szCs w:val="17"/>
                <w:color w:val="auto"/>
              </w:rPr>
            </w:pPr>
          </w:p>
        </w:tc>
        <w:tc>
          <w:tcPr>
            <w:tcW w:w="5720" w:type="dxa"/>
            <w:vAlign w:val="bottom"/>
          </w:tcPr>
          <w:p>
            <w:pPr>
              <w:spacing w:after="0"/>
              <w:rPr>
                <w:sz w:val="17"/>
                <w:szCs w:val="17"/>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Gerard M. Hayden, Jr.</w:t>
            </w: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2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color w:val="auto"/>
        </w:rPr>
        <w:t>EXHIBIT 32.1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Annual Report of HealthStream, Inc. (the “Company”) on Form 10-K for the year ending December 31, 2017, as filed with the Securities and Exchange Commission on the date hereof (the “Report”), Robert A. Frist, Jr., Chief Executive Officer of the Company certifies, pursuant to 18 U.S.C. §1350, as adopted pursuant to §906 of the Sarbanes-Oxley Act of 2002, that:</w:t>
      </w:r>
    </w:p>
    <w:p>
      <w:pPr>
        <w:spacing w:after="0" w:line="92" w:lineRule="exact"/>
        <w:rPr>
          <w:sz w:val="20"/>
          <w:szCs w:val="20"/>
          <w:color w:val="auto"/>
        </w:rPr>
      </w:pPr>
    </w:p>
    <w:p>
      <w:pPr>
        <w:ind w:left="1140" w:hanging="565"/>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140" w:hanging="565"/>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R</w:t>
      </w:r>
      <w:r>
        <w:rPr>
          <w:rFonts w:ascii="Arial" w:cs="Arial" w:eastAsia="Arial" w:hAnsi="Arial"/>
          <w:sz w:val="14"/>
          <w:szCs w:val="14"/>
          <w:color w:val="auto"/>
        </w:rPr>
        <w:t>OBERT</w:t>
      </w:r>
      <w:r>
        <w:rPr>
          <w:rFonts w:ascii="Arial" w:cs="Arial" w:eastAsia="Arial" w:hAnsi="Arial"/>
          <w:sz w:val="17"/>
          <w:szCs w:val="17"/>
          <w:color w:val="auto"/>
        </w:rPr>
        <w:t xml:space="preserve"> A. F</w:t>
      </w:r>
      <w:r>
        <w:rPr>
          <w:rFonts w:ascii="Arial" w:cs="Arial" w:eastAsia="Arial" w:hAnsi="Arial"/>
          <w:sz w:val="14"/>
          <w:szCs w:val="14"/>
          <w:color w:val="auto"/>
        </w:rPr>
        <w:t>RIST</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6351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163512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Robert A. Frist, Jr.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2018</w:t>
      </w:r>
    </w:p>
    <w:p>
      <w:pPr>
        <w:sectPr>
          <w:pgSz w:w="11900" w:h="16838" w:orient="portrait"/>
          <w:cols w:equalWidth="0" w:num="1">
            <w:col w:w="11420"/>
          </w:cols>
          <w:pgMar w:left="240" w:top="12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color w:val="auto"/>
        </w:rPr>
        <w:t>EXHIBIT 32.2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Annual Report of HealthStream, Inc. (the “Company”) on Form 10-K for the year ending December 31, 2017,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92" w:lineRule="exact"/>
        <w:rPr>
          <w:sz w:val="20"/>
          <w:szCs w:val="20"/>
          <w:color w:val="auto"/>
        </w:rPr>
      </w:pPr>
    </w:p>
    <w:p>
      <w:pPr>
        <w:ind w:left="1140" w:hanging="565"/>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140" w:hanging="565"/>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696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16967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Gerard M. Hayden, Jr.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2018</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1."/>
      <w:numFmt w:val="upperLetter"/>
      <w:start w:val="35"/>
    </w:lvl>
  </w:abstractNum>
  <w:abstractNum w:abstractNumId="17">
    <w:nsid w:val="628C895D"/>
    <w:multiLevelType w:val="hybridMultilevel"/>
    <w:lvl w:ilvl="0">
      <w:lvlJc w:val="left"/>
      <w:lvlText w:val="%1."/>
      <w:numFmt w:val="upperLetter"/>
      <w:start w:val="6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74" Type="http://schemas.openxmlformats.org/officeDocument/2006/relationships/hyperlink" Target="http://www.sec.gov/Archives/edgar/data/1095565/000119312515048084/d873769dex21.htm" TargetMode="External"/><Relationship Id="rId75" Type="http://schemas.openxmlformats.org/officeDocument/2006/relationships/hyperlink" Target="http://www.sec.gov/Archives/edgar/data/1095565/000119312516675268/d224442dex21.htm" TargetMode="External"/><Relationship Id="rId76" Type="http://schemas.openxmlformats.org/officeDocument/2006/relationships/hyperlink" Target="http://www.sec.gov/Archives/edgar/data/1095565/000119312518040420/d539001dex21.htm" TargetMode="External"/><Relationship Id="rId77" Type="http://schemas.openxmlformats.org/officeDocument/2006/relationships/hyperlink" Target="http://www.sec.gov/Archives/edgar/data/1095565/000095014499011846/0000950144-99-011846.txt" TargetMode="External"/><Relationship Id="rId78" Type="http://schemas.openxmlformats.org/officeDocument/2006/relationships/hyperlink" Target="http://www.sec.gov/Archives/edgar/data/1095565/000119312515351970/d98731d8k.htm" TargetMode="External"/><Relationship Id="rId79" Type="http://schemas.openxmlformats.org/officeDocument/2006/relationships/hyperlink" Target="http://www.sec.gov/Archives/edgar/data/1095565/000095012310040277/g23091def14a.htm" TargetMode="External"/><Relationship Id="rId80" Type="http://schemas.openxmlformats.org/officeDocument/2006/relationships/hyperlink" Target="http://www.sec.gov/Archives/edgar/data/1095565/000095014405007684/g96421exv10w1.txt" TargetMode="External"/><Relationship Id="rId81" Type="http://schemas.openxmlformats.org/officeDocument/2006/relationships/hyperlink" Target="http://www.sec.gov/Archives/edgar/data/1095565/000095012310054853/g23651exv10w2.htm" TargetMode="External"/><Relationship Id="rId82" Type="http://schemas.openxmlformats.org/officeDocument/2006/relationships/hyperlink" Target="http://www.sec.gov/Archives/edgar/data/1095565/000095012310054853/g23651exv10w3.htm" TargetMode="External"/><Relationship Id="rId83" Type="http://schemas.openxmlformats.org/officeDocument/2006/relationships/hyperlink" Target="http://www.sec.gov/Archives/edgar/data/1095565/000095012310054853/g23651exv10w4.htm" TargetMode="External"/><Relationship Id="rId84" Type="http://schemas.openxmlformats.org/officeDocument/2006/relationships/hyperlink" Target="http://www.sec.gov/Archives/edgar/data/1095565/000119312512196241/d338502dex1014.htm" TargetMode="External"/><Relationship Id="rId85" Type="http://schemas.openxmlformats.org/officeDocument/2006/relationships/hyperlink" Target="http://www.sec.gov/Archives/edgar/data/1095565/000119312512196241/d338502dex1015.htm" TargetMode="External"/><Relationship Id="rId86" Type="http://schemas.openxmlformats.org/officeDocument/2006/relationships/hyperlink" Target="http://www.sec.gov/Archives/edgar/data/1095565/000119312514425153/d827074dex101.htm" TargetMode="External"/><Relationship Id="rId87" Type="http://schemas.openxmlformats.org/officeDocument/2006/relationships/hyperlink" Target="http://www.sec.gov/Archives/edgar/data/1095565/000119312515272918/d129867d10q.htm#toc129867_14" TargetMode="External"/><Relationship Id="rId88" Type="http://schemas.openxmlformats.org/officeDocument/2006/relationships/hyperlink" Target="http://www.sec.gov/Archives/edgar/data/1095565/000119312515272918/d129867dex102.htm" TargetMode="External"/><Relationship Id="rId89" Type="http://schemas.openxmlformats.org/officeDocument/2006/relationships/hyperlink" Target="http://www.sec.gov/Archives/edgar/data/1095565/000119312515360248/d81538dex101.htm" TargetMode="External"/><Relationship Id="rId90" Type="http://schemas.openxmlformats.org/officeDocument/2006/relationships/hyperlink" Target="http://www.sec.gov/Archives/edgar/data/1095565/000119312515360248/d81538dex102.htm" TargetMode="External"/><Relationship Id="rId91" Type="http://schemas.openxmlformats.org/officeDocument/2006/relationships/hyperlink" Target="http://www.sec.gov/Archives/edgar/data/1095565/000119312515360248/d81538dex103.htm" TargetMode="External"/><Relationship Id="rId92" Type="http://schemas.openxmlformats.org/officeDocument/2006/relationships/hyperlink" Target="http://www.sec.gov/Archives/edgar/data/1095565/000119312515360248/d81538dex104.htm" TargetMode="External"/><Relationship Id="rId93" Type="http://schemas.openxmlformats.org/officeDocument/2006/relationships/hyperlink" Target="http://www.sec.gov/Archives/edgar/data/1095565/000119312516608509/d201384dex101.htm" TargetMode="External"/><Relationship Id="rId94" Type="http://schemas.openxmlformats.org/officeDocument/2006/relationships/hyperlink" Target="http://www.sec.gov/Archives/edgar/data/1095565/000119312517059135/d308859dex1019.htm" TargetMode="External"/><Relationship Id="rId95" Type="http://schemas.openxmlformats.org/officeDocument/2006/relationships/hyperlink" Target="http://www.sec.gov/Archives/edgar/data/1095565/000119312517151764/d371755dex101.htm" TargetMode="External"/><Relationship Id="rId96" Type="http://schemas.openxmlformats.org/officeDocument/2006/relationships/hyperlink" Target="http://www.sec.gov/Archives/edgar/data/1095565/000119312517151764/d371755dex102.htm" TargetMode="External"/><Relationship Id="rId97" Type="http://schemas.openxmlformats.org/officeDocument/2006/relationships/hyperlink" Target="http://www.sec.gov/Archives/edgar/data/1095565/000119312517242423/d408430dex101.htm" TargetMode="External"/><Relationship Id="rId98" Type="http://schemas.openxmlformats.org/officeDocument/2006/relationships/hyperlink" Target="http://www.sec.gov/Archives/edgar/data/1095565/000129993317001158/exhibit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2019-12-29T00:05:26Z</dcterms:created>
  <dcterms:modified xsi:type="dcterms:W3CDTF">2019-12-29T00:05:26Z</dcterms:modified>
</cp:coreProperties>
</file>