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hstm20260923_8k.htm"/>
      <w:bookmarkStart w:id="1" w:name="kshstm20260923_8k"/>
      <w:bookmarkStart w:id="2" w:name="hstm20260923_8k.htm"/>
      <w:bookmarkStart w:id="3" w:name="kshstm20260923_8k"/>
      <w:bookmarkEnd w:id="2"/>
      <w:bookmarkEnd w:id="3"/>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AND EXCHANGE COMMISSION</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 8-K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 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Date of Report (Date of earliest event reported): September 18,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HealthStream, Inc.</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(Exact name of Registrant as Specified in Its Charter)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7230" w:type="dxa"/>
        <w:jc w:val="left"/>
        <w:tblInd w:w="0" w:type="dxa"/>
        <w:tblLayout w:type="fixed"/>
        <w:tblCellMar>
          <w:top w:w="0" w:type="dxa"/>
          <w:left w:w="0" w:type="dxa"/>
          <w:bottom w:w="0" w:type="dxa"/>
          <w:right w:w="0" w:type="dxa"/>
        </w:tblCellMar>
      </w:tblPr>
      <w:tblGrid>
        <w:gridCol w:w="3380"/>
        <w:gridCol w:w="2300"/>
        <w:gridCol w:w="1550"/>
      </w:tblGrid>
      <w:tr>
        <w:trPr/>
        <w:tc>
          <w:tcPr>
            <w:tcW w:w="33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Tennessee</w:t>
            </w:r>
          </w:p>
        </w:tc>
        <w:tc>
          <w:tcPr>
            <w:tcW w:w="23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000-27701</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62-1443555</w:t>
            </w:r>
          </w:p>
        </w:tc>
      </w:tr>
      <w:tr>
        <w:trPr/>
        <w:tc>
          <w:tcPr>
            <w:tcW w:w="33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Incorporation)</w:t>
            </w:r>
          </w:p>
        </w:tc>
        <w:tc>
          <w:tcPr>
            <w:tcW w:w="23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No.)</w:t>
            </w:r>
          </w:p>
        </w:tc>
      </w:tr>
      <w:tr>
        <w:trPr/>
        <w:tc>
          <w:tcPr>
            <w:tcW w:w="3380" w:type="dxa"/>
            <w:tcBorders/>
            <w:vAlign w:val="center"/>
          </w:tcPr>
          <w:p>
            <w:pPr>
              <w:pStyle w:val="TableContents"/>
              <w:bidi w:val="0"/>
              <w:spacing w:before="0" w:after="0"/>
              <w:ind w:left="0" w:right="0" w:hanging="0"/>
              <w:jc w:val="left"/>
              <w:rPr/>
            </w:pPr>
            <w:r>
              <w:rPr/>
              <w:t> </w:t>
            </w:r>
          </w:p>
        </w:tc>
        <w:tc>
          <w:tcPr>
            <w:tcW w:w="2300" w:type="dxa"/>
            <w:tcBorders/>
            <w:vAlign w:val="center"/>
          </w:tcPr>
          <w:p>
            <w:pPr>
              <w:pStyle w:val="TableContents"/>
              <w:bidi w:val="0"/>
              <w:spacing w:before="0" w:after="0"/>
              <w:ind w:left="0" w:right="0" w:hanging="0"/>
              <w:jc w:val="left"/>
              <w:rPr/>
            </w:pPr>
            <w:r>
              <w:rPr/>
              <w:t> </w:t>
            </w:r>
          </w:p>
        </w:tc>
        <w:tc>
          <w:tcPr>
            <w:tcW w:w="1550" w:type="dxa"/>
            <w:tcBorders/>
            <w:vAlign w:val="center"/>
          </w:tcPr>
          <w:p>
            <w:pPr>
              <w:pStyle w:val="TableContents"/>
              <w:bidi w:val="0"/>
              <w:spacing w:before="0" w:after="0"/>
              <w:ind w:left="0" w:right="0" w:hanging="0"/>
              <w:jc w:val="left"/>
              <w:rPr/>
            </w:pPr>
            <w:r>
              <w:rPr/>
              <w:t> </w:t>
            </w:r>
          </w:p>
        </w:tc>
      </w:tr>
      <w:tr>
        <w:trPr/>
        <w:tc>
          <w:tcPr>
            <w:tcW w:w="33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500 11th Avenue North, Suite 850,</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Nashville, Tennessee</w:t>
            </w:r>
          </w:p>
        </w:tc>
        <w:tc>
          <w:tcPr>
            <w:tcW w:w="2300" w:type="dxa"/>
            <w:tcBorders/>
            <w:vAlign w:val="center"/>
          </w:tcPr>
          <w:p>
            <w:pPr>
              <w:pStyle w:val="TableContents"/>
              <w:bidi w:val="0"/>
              <w:spacing w:before="0" w:after="0"/>
              <w:ind w:left="0" w:right="0" w:hanging="0"/>
              <w:jc w:val="left"/>
              <w:rPr/>
            </w:pPr>
            <w:r>
              <w:rPr/>
              <w:t> </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37203</w:t>
            </w:r>
          </w:p>
        </w:tc>
      </w:tr>
      <w:tr>
        <w:trPr/>
        <w:tc>
          <w:tcPr>
            <w:tcW w:w="33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2300" w:type="dxa"/>
            <w:tcBorders/>
            <w:vAlign w:val="center"/>
          </w:tcPr>
          <w:p>
            <w:pPr>
              <w:pStyle w:val="TableContents"/>
              <w:bidi w:val="0"/>
              <w:spacing w:before="0" w:after="0"/>
              <w:ind w:left="0" w:right="0" w:hanging="0"/>
              <w:jc w:val="left"/>
              <w:rPr/>
            </w:pPr>
            <w:r>
              <w:rPr/>
              <w:t> </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 615-301-3100</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 Applicable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(Former Name or Former Address, if Changed Since Last Report)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registered pursuant to Section 12(b) of the Act: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8160" w:type="dxa"/>
        <w:jc w:val="left"/>
        <w:tblInd w:w="0" w:type="dxa"/>
        <w:tblLayout w:type="fixed"/>
        <w:tblCellMar>
          <w:top w:w="0" w:type="dxa"/>
          <w:left w:w="0" w:type="dxa"/>
          <w:bottom w:w="28" w:type="dxa"/>
          <w:right w:w="0" w:type="dxa"/>
        </w:tblCellMar>
      </w:tblPr>
      <w:tblGrid>
        <w:gridCol w:w="2735"/>
        <w:gridCol w:w="60"/>
        <w:gridCol w:w="1610"/>
        <w:gridCol w:w="60"/>
        <w:gridCol w:w="3695"/>
      </w:tblGrid>
      <w:tr>
        <w:trPr/>
        <w:tc>
          <w:tcPr>
            <w:tcW w:w="273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6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273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$0.00)</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HSTM</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r>
        <w:trPr/>
        <w:tc>
          <w:tcPr>
            <w:tcW w:w="230" w:type="dxa"/>
            <w:tcBorders/>
            <w:vAlign w:val="center"/>
          </w:tcPr>
          <w:p>
            <w:pPr>
              <w:pStyle w:val="TableContents"/>
              <w:bidi w:val="0"/>
              <w:spacing w:before="0" w:after="0"/>
              <w:ind w:left="0" w:right="0" w:hanging="0"/>
              <w:jc w:val="left"/>
              <w:rPr/>
            </w:pPr>
            <w:r>
              <w:rPr/>
              <w:t> </w:t>
            </w:r>
          </w:p>
        </w:tc>
        <w:tc>
          <w:tcPr>
            <w:tcW w:w="905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r>
        <w:trPr/>
        <w:tc>
          <w:tcPr>
            <w:tcW w:w="230" w:type="dxa"/>
            <w:tcBorders/>
            <w:vAlign w:val="center"/>
          </w:tcPr>
          <w:p>
            <w:pPr>
              <w:pStyle w:val="TableContents"/>
              <w:bidi w:val="0"/>
              <w:spacing w:before="0" w:after="0"/>
              <w:ind w:left="0" w:right="0" w:hanging="0"/>
              <w:jc w:val="left"/>
              <w:rPr/>
            </w:pPr>
            <w:r>
              <w:rPr/>
              <w:t> </w:t>
            </w:r>
          </w:p>
        </w:tc>
        <w:tc>
          <w:tcPr>
            <w:tcW w:w="905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r>
        <w:trPr/>
        <w:tc>
          <w:tcPr>
            <w:tcW w:w="230" w:type="dxa"/>
            <w:tcBorders/>
            <w:vAlign w:val="center"/>
          </w:tcPr>
          <w:p>
            <w:pPr>
              <w:pStyle w:val="TableContents"/>
              <w:bidi w:val="0"/>
              <w:spacing w:before="0" w:after="0"/>
              <w:ind w:left="0" w:right="0" w:hanging="0"/>
              <w:jc w:val="left"/>
              <w:rPr/>
            </w:pPr>
            <w:r>
              <w:rPr/>
              <w:t> </w:t>
            </w:r>
          </w:p>
        </w:tc>
        <w:tc>
          <w:tcPr>
            <w:tcW w:w="905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5.02 Departure of Directors or Certain Officers; Election of Directors; Appointment of Certain Officers; Compensatory Arrangements of Certain Officers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18, 2026, the Compensation Committee (the “Committee”) of the Board of Directors of HealthStream, Inc. (the “Company”) approved special grants of time-based restricted share units (“Time-Based RSUs”) and performance-based restricted share units (“Performance-Based RSUs”) to the named executive officers of the Company pursuant to the Company’s shareholder-approved 2022 Omnibus Incentive Plan to incentivize future performance and retention,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Committee approved the grant of (i) 15,395 Time-Based RSUs to each of Robert A. Frist, Jr., Michael M. Collier, Trisha L. Coady, and Kevin P. O’Hara (with a grant date fair value of $450,000 for each such named executive officer); and (ii) 12,316 Time-Based RSUs to Scott A. Roberts (with a grant date fair value of $360,000). These Time-Based RSUs will vest in equal annual installments of 25% on the first, second, third, and fourth anniversaries of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Committee also approved the grant of (i) 5,132 Performance-Based RSUs to each of Mr. Frist, Mr. Collier, Ms. Coady, and Mr. O’Hara (with a grant date fair value of $150,000 for each such named executive officer); and (ii) 4,105 Performance-Based RSUs to Mr. Roberts (with a grant date fair value of $120,000). These Performance-Based RSUs will be eligible for vesting in equal increments of 25% based on the Company’s level of achievement with respect to annual performance targets to be established by the Committee for 2027, 2028, 2029, and 2030, respectively.</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470" w:type="dxa"/>
        <w:jc w:val="left"/>
        <w:tblInd w:w="0" w:type="dxa"/>
        <w:tblLayout w:type="fixed"/>
        <w:tblCellMar>
          <w:top w:w="0" w:type="dxa"/>
          <w:left w:w="0" w:type="dxa"/>
          <w:bottom w:w="0" w:type="dxa"/>
          <w:right w:w="0" w:type="dxa"/>
        </w:tblCellMar>
      </w:tblPr>
      <w:tblGrid>
        <w:gridCol w:w="2120"/>
        <w:gridCol w:w="60"/>
        <w:gridCol w:w="320"/>
        <w:gridCol w:w="1970"/>
      </w:tblGrid>
      <w:tr>
        <w:trPr/>
        <w:tc>
          <w:tcPr>
            <w:tcW w:w="212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290"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HealthStream, Inc.</w:t>
            </w:r>
          </w:p>
        </w:tc>
      </w:tr>
      <w:tr>
        <w:trPr/>
        <w:tc>
          <w:tcPr>
            <w:tcW w:w="212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1970" w:type="dxa"/>
            <w:tcBorders/>
            <w:vAlign w:val="center"/>
          </w:tcPr>
          <w:p>
            <w:pPr>
              <w:pStyle w:val="TableContents"/>
              <w:bidi w:val="0"/>
              <w:spacing w:before="0" w:after="0"/>
              <w:ind w:left="0" w:right="0" w:hanging="0"/>
              <w:jc w:val="left"/>
              <w:rPr/>
            </w:pPr>
            <w:r>
              <w:rPr/>
              <w:t> </w:t>
            </w:r>
          </w:p>
        </w:tc>
      </w:tr>
      <w:tr>
        <w:trPr/>
        <w:tc>
          <w:tcPr>
            <w:tcW w:w="21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September 23, 2026</w:t>
            </w:r>
          </w:p>
        </w:tc>
        <w:tc>
          <w:tcPr>
            <w:tcW w:w="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197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Scott A. Roberts</w:t>
            </w:r>
          </w:p>
        </w:tc>
      </w:tr>
      <w:tr>
        <w:trPr/>
        <w:tc>
          <w:tcPr>
            <w:tcW w:w="212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19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Scott A. Roberts</w:t>
            </w:r>
          </w:p>
        </w:tc>
      </w:tr>
      <w:tr>
        <w:trPr/>
        <w:tc>
          <w:tcPr>
            <w:tcW w:w="212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19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Chief Financial Officer</w:t>
            </w:r>
          </w:p>
        </w:tc>
      </w:tr>
    </w:tbl>
    <w:p>
      <w:pPr>
        <w:pStyle w:val="TextBody"/>
        <w:bidi w:val="0"/>
        <w:spacing w:before="0" w:after="283"/>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610</Words>
  <Characters>3390</Characters>
  <CharactersWithSpaces>4019</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