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000-27701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533"/>
        </w:trPr>
        <w:tc>
          <w:tcPr>
            <w:tcW w:w="1142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tc>
      </w:tr>
      <w:tr>
        <w:trPr>
          <w:trHeight w:val="234"/>
        </w:trPr>
        <w:tc>
          <w:tcPr>
            <w:tcW w:w="1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60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205"/>
        </w:trPr>
        <w:tc>
          <w:tcPr>
            <w:tcW w:w="54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80" w:type="dxa"/>
            <w:vAlign w:val="bottom"/>
          </w:tcPr>
          <w:p>
            <w:pPr>
              <w:spacing w:after="0"/>
              <w:rPr>
                <w:sz w:val="17"/>
                <w:szCs w:val="17"/>
                <w:color w:val="auto"/>
              </w:rPr>
            </w:pPr>
          </w:p>
        </w:tc>
        <w:tc>
          <w:tcPr>
            <w:tcW w:w="54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0"/>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8"/>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600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228"/>
        </w:trPr>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301-3100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2" w:lineRule="exact"/>
        <w:rPr>
          <w:sz w:val="20"/>
          <w:szCs w:val="20"/>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2800"/>
        <w:spacing w:after="0" w:line="207" w:lineRule="exact"/>
        <w:tabs>
          <w:tab w:leader="none" w:pos="5040" w:val="left"/>
          <w:tab w:leader="none" w:pos="686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8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8, 2007, 22,323,567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640" w:type="dxa"/>
            <w:vAlign w:val="bottom"/>
            <w:gridSpan w:val="20"/>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640" w:type="dxa"/>
            <w:vAlign w:val="bottom"/>
            <w:gridSpan w:val="20"/>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 September 30, 2007 (Unaudited) and December 31, 2006</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(Unaudited) - Three Months ended September 30, 2007 and 2006</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4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(Unaudited) - Nine Months ended September 30, 2007 and 2006</w:t>
              </w:r>
            </w:hyperlink>
          </w:p>
        </w:tc>
        <w:tc>
          <w:tcPr>
            <w:tcW w:w="60" w:type="dxa"/>
            <w:vAlign w:val="bottom"/>
            <w:tcBorders>
              <w:top w:val="single" w:sz="8" w:color="0000EE"/>
            </w:tcBorders>
            <w:gridSpan w:val="2"/>
          </w:tcPr>
          <w:p>
            <w:pPr>
              <w:spacing w:after="0"/>
              <w:rPr>
                <w:sz w:val="24"/>
                <w:szCs w:val="24"/>
                <w:color w:val="auto"/>
              </w:rPr>
            </w:pPr>
          </w:p>
        </w:tc>
        <w:tc>
          <w:tcPr>
            <w:tcW w:w="20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 of Shareholders’ Equity (Unaudited) - Nine Months ended September 30, 2007</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(Unaudited) - Nine Months ended September 30, 2007 and 2006</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2040" w:type="dxa"/>
            <w:vAlign w:val="bottom"/>
            <w:gridSpan w:val="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0"/>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620" w:type="dxa"/>
            <w:vAlign w:val="bottom"/>
            <w:gridSpan w:val="6"/>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12"/>
        </w:trPr>
        <w:tc>
          <w:tcPr>
            <w:tcW w:w="24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4T. Controls and Procedures</w:t>
              </w:r>
            </w:hyperlink>
          </w:p>
        </w:tc>
        <w:tc>
          <w:tcPr>
            <w:tcW w:w="8200" w:type="dxa"/>
            <w:vAlign w:val="bottom"/>
            <w:gridSpan w:val="1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10640" w:type="dxa"/>
            <w:vAlign w:val="bottom"/>
            <w:gridSpan w:val="2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 Other Information</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2. Unregistered Sales of Equity Securities and Use of Proceeds</w:t>
              </w:r>
            </w:hyperlink>
          </w:p>
        </w:tc>
        <w:tc>
          <w:tcPr>
            <w:tcW w:w="5720" w:type="dxa"/>
            <w:vAlign w:val="bottom"/>
            <w:gridSpan w:val="8"/>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10640" w:type="dxa"/>
            <w:vAlign w:val="bottom"/>
            <w:gridSpan w:val="2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6. Exhibits</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Signature</w:t>
              </w:r>
            </w:hyperlink>
          </w:p>
        </w:tc>
        <w:tc>
          <w:tcPr>
            <w:tcW w:w="9480" w:type="dxa"/>
            <w:vAlign w:val="bottom"/>
            <w:gridSpan w:val="16"/>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EX-31.1 Certification of the CEO</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EX-31.2 Certification of the PFO.</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EX-32.1 Section 906 Certification of the CEO.</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EX-32.2 Section 906 Certification of the PFO.</w:t>
            </w:r>
          </w:p>
        </w:tc>
        <w:tc>
          <w:tcPr>
            <w:tcW w:w="73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7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88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2,730,689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94,477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$107,364 and $112,234 at September 30, 2007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December 31, 2006,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7,674,175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1,068,601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development fees, net of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1,027,596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1,049,879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13,660,978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 and software licenses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11,641,674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1,800,633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1,560,468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15,002,775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(10,272,544)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(8,899,863)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4,730,231</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feature enhancements, net of accumulated amortization of $1,175,344 and $622,298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September 30, 2007 and December 31, 2006,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4,119,454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19,021,864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10,317,393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$8,585,159 and $7,756,161 at September 30, 2007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2006,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7,926,983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500,100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49,959,610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734,592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2,696,818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675,654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Registration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77,658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support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239,246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10,441,287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643,225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144,975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15,653,455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less current portion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1,268,516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44,975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295,834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75,000,000 shares authorized; 22,303,567 and 21,928,687 shares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at September 30, 2007 and December 31, 2006,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96,988,667</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95,134,550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(64,291,837)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(65,500,111)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32,696,830</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29,634,439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49,959,610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2007</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11,809,386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4,336,478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2,378,223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1,165,352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2,293,777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560,118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intangibles, content fees and software feature enhancements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756,925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1,966,715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11,079,365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7,186,107</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730,021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47,791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756,516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22,025,285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21,618,616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22,664,432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22,363,500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8"/>
              </w:rPr>
              <w:t>31,957,293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23,226,872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8"/>
              </w:rPr>
              <w:t>11,610,738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3,344,231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6,848,837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1,392,610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intangibles, content fees and software feature enhancements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1,978,579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5,735,256</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8"/>
              </w:rPr>
              <w:t>30,910,251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22,255,501</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1,047,042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229,756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(42,158)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187,598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1,234,640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1,208,274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1,421,485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8"/>
              </w:rPr>
              <w:t>21,977,145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21,459,321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8"/>
              </w:rPr>
              <w:t>22,683,030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22,323,903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302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spacing w:after="0"/>
              <w:rPr>
                <w:sz w:val="15"/>
                <w:szCs w:val="15"/>
                <w:color w:val="auto"/>
              </w:rPr>
            </w:pP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2006</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21,928,687</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$95,134,550</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 (65,500,111)</w:t>
            </w: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29,634,439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1,208,274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252,616</w:t>
            </w:r>
          </w:p>
        </w:tc>
        <w:tc>
          <w:tcPr>
            <w:tcW w:w="5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960,170</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Employee Stock Purchase Plan</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37,685</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121,723</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581,047</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84,579</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191,177</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2007</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22,303,567</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96,988,667</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 (64,291,837)</w:t>
            </w: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32,696,830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1,208,274</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1,392,610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intangibles, content fees, and software feature enhancements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1,978,579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581,047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loss on disposal of property &amp;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865,854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170,237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52,874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development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(477,329)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(307,469)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593,345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(881,513)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liabilities and accrued compensation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(538,845)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(162,741)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Commercial support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5,601,430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3,121,813</w:t>
            </w: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(12,084,278)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and sales of investments in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 in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feature enhancements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(2,100,390)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(1,056,217)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(1,012,210)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(13,540,885)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Employee Stock Purchase 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121,723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191,177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promissory note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(230,222)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(138,314)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(7,995,091)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10,725,780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2,730,689</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7,060,229</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acquisition of company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960,170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lease obligations incurred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content rights in exchange for future services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191,667</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904,167</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Purchase of property and equipment through issuance of long term 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2,141,963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Estimated fair value of tangible assets acquired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2,856,480</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Estimated fair value of 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(4,419,409)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price in excess of net tangible assets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14,704,471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fair value of stock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(960,170)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12,181,372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(97,094)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12,084,278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15" w:right="239" w:bottom="617" w:gutter="0" w:footer="0" w:header="0"/>
        </w:sectPr>
      </w:pP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617"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2007 are not necessarily indicative of the results that may be expected for the year ending December 31, 2007.</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balance sheet at December 31, 2006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2006 (included in the Company’s Annual Report on Form 10-K for the fiscal year ended December 31, 2006,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15, 2006, the FASB issued, SFAS No. 157, “Fair Value Measurements.” The standard provides guidance for using fair value to measure assets and liabilities and applies whenever other standards require (or permit) assets or liabilities to be measured at fair value. The standard does not expand the use of fair value in any new circumstances. SFAS No. 157 is effective for financial statements issued for fiscal years beginning after November 15, 2007. Management is in the process of evaluating the impact of this new standard on the Company’s financial position and results of operations.</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February 2007, the FASB issued SFAS No. 159, “The Fair Value Option for Financial Assets and Financial Liabilities.” This new standard provides companies with an option to report selected financial assets and liabilities at fair value. Generally accepted accounting principles have required different measurement attributes for different assets and liabilities that can create artificial volatility in earnings. The FASB believes that Statement 159 helps to mitigate this type of accounting-induced volatility by enabling companies to report related assets and liabilities at fair value, which would likely reduce the need for companies to comply with detailed rules for hedge accounting. Statement 159 also establishes presentation and disclosure requirements designed to facilitate comparisons between companies that choose different measurement attributes for similar types of assets and liabilities. The new Statement does not eliminate disclosure requirements included in other accounting standards, including requirements for disclosures about fair value measurements included in SFAS No. 157 and No. 107. This Statement is effective beginning January 1, 2008 for the Company, with early adoption permitted under certain circumstances. Management is currently evaluating the impact that adoption of SFAS No. 159 will have on the Company’s financial position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2006, the Financial Accounting Standards Board issued FASB Interpretation No. 48, “Accounting for Uncertainty in Income Taxes —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 of FASB Statement No. 109” (“FIN 48”). This Interpretation clarifies the accounting for uncertainty in income taxes recognized in the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and requires companies to use a more-likely-than-not recognition threshold based on the technical merits of the tax position taken. Tax 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meet the more-likely-than-not recognition threshold should be measured in order to determine the tax benefit to be recognized in the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the provisions of FIN 48 effective January 1, 2007. The Company has established a full valuation allowance for net deferred tax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reduce deferred tax assets to amounts that are more likely than not expected to be realized. At September 30, 2007, the Company has net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assets of approximately $17.6 million, which includes approximately $14.6 million related to net operating loss carryforwards (NOLs). Our NOL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are subject to annual limitations under Internal Revenue Code Section 382. The annual limitations could result in the expiration of the NOL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tax credit carryforwards before they are fully utilized. The Company maintained a full valuation allowance for these deferred tax assets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2007. When the Company achieves sustained and predictable profitability consistent with the ability to predict and realize a benefit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these NOLs, we will recognize the portion of the benefit associated with such NOLs that is more likely than not to be realized.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the Company could not reasonably realize such amounts, a full valuation allowance will be maintained. The Company historically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expensed any penalties or interest associated with tax obligations as general and administrative expenses and interest expense, respectively.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2006 and September 30, 2007, the Company’s statement of financial position did not reflect any accrued penalties or interest associated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uncertainties. The Company is subject to income taxation at the federal and various state levels. The Company is subject to U.S. federal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examinations for tax years through 2006, subject to the statute of limitations. The Company has no income tax examinations in process.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 BASED COMPENSATION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maintains two stock incentive plans and an Employee Stock Purchase Plan. We account for our stock based compensation plans under the provisions of SFAS No. 123(R), “Share-Based Payments.” We use the Black Scholes option pricing model for calculating the fair value of awards issued under our stock based compensation plans. During the nine months ended September 30, 2007, we granted 490,000 stock options with a weighted average grant date fair value of $2.46. During the nine months ended September 30, 2006, we granted 516,420 stock options with a weighted average grant date fair value of $1.97. Through September 30, 2007, actual stock option forfeitures exceeded our estimates, therefore we revised the forfeiture rate assumptions for certain option grants to reflect both actual and expected future forfeiture experience. This change in estimate resulted in a cumulative reduction to share-based compensation expense of approximately $75,000 which was recorded during the third quarter of 2007. In addition, the change in estimate is expected to result in a reduction of unrecognized share based compensation related to non-vested stock options, net of estimated forfeitures, of approximately $146,000. The fair value of stock based awards granted during the nine months ended September 30, 2007 and 2006 was estimated using the Black Scholes option pricing model, with the assumptions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240" w:type="dxa"/>
            <w:vAlign w:val="bottom"/>
            <w:gridSpan w:val="4"/>
          </w:tcPr>
          <w:p>
            <w:pPr>
              <w:jc w:val="right"/>
              <w:ind w:right="95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2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2007</w:t>
            </w:r>
          </w:p>
        </w:tc>
        <w:tc>
          <w:tcPr>
            <w:tcW w:w="2040" w:type="dxa"/>
            <w:vAlign w:val="bottom"/>
            <w:gridSpan w:val="3"/>
          </w:tcPr>
          <w:p>
            <w:pPr>
              <w:jc w:val="right"/>
              <w:ind w:right="111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04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4.45–4.80%</w:t>
            </w: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4.55–5.07%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 to 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 to 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recorded for the three and nine months ended September 30, 2007 and 2006, which is recorded in our statements of operations,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208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6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6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color w:val="auto"/>
              </w:rPr>
              <w:t>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36,571</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42,346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19,646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32,767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110,445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104,431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37,254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125,922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95,538</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308,109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93,480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166,081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581,047</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543,714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12, 2007, the Company acquired all of the stock of The Jackson Organization, Research Consultants, Inc. (TJO). TJO provides healthcare organizations a wide range of quality and satisfaction surveys, data analyses of survey results, and other research-based measurement tools. The acquisition of TJO complements our existing research business and expands our service offerings to the healthcare industry. Consideration paid to the seller of TJO included approximately $11.5 million in cash and 252,616 shares of our common stock. The Company also incurred direct, incremental expenses associated with the acquisition of approximately $673,000 through September 30, 2007, which are included in the table below in “purchase price in excess of net tangible assets acquired” and “cash paid.” Total cash paid of $12.2 million includes cash paid for TJO and direct expenses associated with the acquisition. All of the common stock shares issued in the acquisition are being held in an escrow account for eighteen months from the acquisition date, subject to any claims for indemnification pursuant to the stock purchase agreement. Of the cash consideration portion, approximately $1.6 million is being held in escrow pending satisfaction of certain items pursuant to the stock purchase agreement. During the quarter ended September 30, 2007, the TJO closing balance sheet was finalized and the working capital cash escrow of $200,000 was released, resulting in approximately $139,000 of the cash escrow being returned to the Company pursuant to the stock purchase agreement. The Company expects to incur additional expenses associated with the valuation of indefinite and finite lived intangible assets. The allocation of purchase price is preliminary and may be subject to change as a result of changes in estimated fair value of intangible assets and deferred revenue related to the acquired business. The preliminary allocation of purchase price is as follows:</w:t>
      </w:r>
    </w:p>
    <w:p>
      <w:pPr>
        <w:sectPr>
          <w:pgSz w:w="11900" w:h="16838" w:orient="portrait"/>
          <w:cols w:equalWidth="0" w:num="1">
            <w:col w:w="11420"/>
          </w:cols>
          <w:pgMar w:left="240" w:top="415" w:right="2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fair value of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fair value of liabilities assumed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in excess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fair value of stock issued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cash acquired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paid for acquisition, including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06" w:hanging="206"/>
        <w:spacing w:after="0"/>
        <w:tabs>
          <w:tab w:leader="none" w:pos="2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2,856,480</w:t>
      </w:r>
    </w:p>
    <w:p>
      <w:pPr>
        <w:spacing w:after="0" w:line="27" w:lineRule="exact"/>
        <w:rPr>
          <w:rFonts w:ascii="Times New Roman" w:cs="Times New Roman" w:eastAsia="Times New Roman" w:hAnsi="Times New Roman"/>
          <w:sz w:val="18"/>
          <w:szCs w:val="18"/>
          <w:color w:val="auto"/>
        </w:rPr>
      </w:pPr>
    </w:p>
    <w:p>
      <w:pPr>
        <w:ind w:left="1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(4,419,409)</w:t>
      </w:r>
    </w:p>
    <w:p>
      <w:pPr>
        <w:spacing w:after="0" w:line="9" w:lineRule="exact"/>
        <w:rPr>
          <w:rFonts w:ascii="Times New Roman" w:cs="Times New Roman" w:eastAsia="Times New Roman" w:hAnsi="Times New Roman"/>
          <w:sz w:val="18"/>
          <w:szCs w:val="18"/>
          <w:color w:val="auto"/>
        </w:rPr>
      </w:pPr>
    </w:p>
    <w:p>
      <w:pPr>
        <w:ind w:left="1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14,704,471</w:t>
      </w:r>
    </w:p>
    <w:p>
      <w:pPr>
        <w:spacing w:after="0" w:line="9" w:lineRule="exact"/>
        <w:rPr>
          <w:rFonts w:ascii="Times New Roman" w:cs="Times New Roman" w:eastAsia="Times New Roman" w:hAnsi="Times New Roman"/>
          <w:sz w:val="18"/>
          <w:szCs w:val="18"/>
          <w:color w:val="auto"/>
        </w:rPr>
      </w:pPr>
    </w:p>
    <w:p>
      <w:pPr>
        <w:ind w:left="2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(960,170)</w:t>
      </w:r>
    </w:p>
    <w:p>
      <w:pPr>
        <w:spacing w:after="0" w:line="17" w:lineRule="exact"/>
        <w:rPr>
          <w:rFonts w:ascii="Times New Roman" w:cs="Times New Roman" w:eastAsia="Times New Roman" w:hAnsi="Times New Roman"/>
          <w:sz w:val="18"/>
          <w:szCs w:val="18"/>
          <w:color w:val="auto"/>
        </w:rPr>
      </w:pPr>
    </w:p>
    <w:p>
      <w:pPr>
        <w:ind w:left="1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12,181,372</w:t>
      </w:r>
    </w:p>
    <w:p>
      <w:pPr>
        <w:spacing w:after="0" w:line="27" w:lineRule="exact"/>
        <w:rPr>
          <w:rFonts w:ascii="Times New Roman" w:cs="Times New Roman" w:eastAsia="Times New Roman" w:hAnsi="Times New Roman"/>
          <w:sz w:val="18"/>
          <w:szCs w:val="18"/>
          <w:color w:val="auto"/>
        </w:rPr>
      </w:pPr>
    </w:p>
    <w:p>
      <w:pPr>
        <w:ind w:left="3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582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8"/>
          <w:szCs w:val="18"/>
          <w:u w:val="single" w:color="auto"/>
          <w:color w:val="auto"/>
        </w:rPr>
        <w:t>$12,084,278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582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74" w:space="720"/>
            <w:col w:w="1026"/>
          </w:cols>
          <w:pgMar w:left="240" w:top="415" w:right="239" w:bottom="1440" w:gutter="0" w:footer="0" w:header="0"/>
          <w:type w:val="continuous"/>
        </w:sectPr>
      </w:pP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 (continued)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currently in the process of determining the composition and valuation of indefinite and finite lived intangible assets, therefore amounts recorded for goodwill and intangible assets at September 30, 2007, of $8,704,471 and $6,000,000, respectively, are subject to change. In the event a change in the estimated value associated with finite lived intangible assets occurs, amortization expense will be cumulatively adjusted in the period of the change.</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Currently TJO delivers survey results to customers via internet-based reporting throughout the survey period or by providing final survey results once all services are complete. Revenues for TJO’s survey and reporting services, which are provided through the use of internet-based reporting methodologies, are recognized using the proportional performance method, consistent with SEC Staff Accounting Bulletin No. 104, “Revenue Recognition,” reflecting recognition throughout the service period which corresponds with the survey cycle and reporting access by the customer, which typically approximates five months. Revenues for TJO’s survey and reporting services, which include delivery of survey results to the customer when all services are completed, are recognized upon completion. All other revenues are recognized as the related services are performed or products are delivered to the customer. The results of operations for TJO have been included in the Company’s statement of operations beginning March 12, 2007.</w:t>
      </w:r>
    </w:p>
    <w:p>
      <w:pPr>
        <w:spacing w:after="0" w:line="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following unaudited combined results of operations give effect to the operations of TJO as if the acquisition had occurred as of January 1, 2006. These unaudited combined results of operations include certain adjustments arising from the acquisition such as adjustment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2006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11,089,386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10,368,549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34,507,432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31,404,573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739,016</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270,147</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1,415,357</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PER SHARE</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The total number of common equivalent shares excluded from the calculations of diluted net income per share, due to their anti-dilutive effect, was approximately 2.1 million and 2.0 million for the three and nine months ended September 30, 2007, respectively, and approximately 2.1 million 1.9 million for the three and nine months ended September 30, 2006, respectively.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PER SHARE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three and nine months ended September 30, 2007 and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6"/>
          </w:tcPr>
          <w:p>
            <w:pPr>
              <w:jc w:val="right"/>
              <w:ind w:right="142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2007</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739,016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474,339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1,208,274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1,421,485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22,025,285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21,618,616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21,977,145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21,459,321</w:t>
            </w:r>
          </w:p>
        </w:tc>
        <w:tc>
          <w:tcPr>
            <w:tcW w:w="0" w:type="dxa"/>
            <w:vAlign w:val="bottom"/>
          </w:tcPr>
          <w:p>
            <w:pPr>
              <w:spacing w:after="0"/>
              <w:rPr>
                <w:sz w:val="1"/>
                <w:szCs w:val="1"/>
                <w:color w:val="auto"/>
              </w:rPr>
            </w:pPr>
          </w:p>
        </w:tc>
      </w:tr>
      <w:tr>
        <w:trPr>
          <w:trHeight w:val="223"/>
        </w:trPr>
        <w:tc>
          <w:tcPr>
            <w:tcW w:w="5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639,147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744,884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705,885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22,664,432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22,363,500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22,683,030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22,323,903</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SEGMENTS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authoring tools, courseware subscriptions, online training and content development, online sales training courses, live events, HospitalDirect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other products focused on education and training to serve professionals that work within healthcare organizations.</w:t>
      </w:r>
    </w:p>
    <w:p>
      <w:pPr>
        <w:spacing w:after="0" w:line="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Effective with the acquisition of TJO in March 2007, we launched HealthStream Research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HealthStream Research reflects the combination of Data Management and Research, Inc. (DMR) and TJO, which collectively provide a wide range of quality and satisfaction surveys, data analyses of survey results, and other research-based measurement tools focused on patients, employees, physicians, and members of the community. In addition, at that time, we changed our organizational structure, appointing a President of HealthStream Research who reports to our Chief Executive Officer (CEO). Our CEO is also our chief operating decision maker. During the first quarter of 2007, we began reporting and measuring performance based on the delivery of learning services and research services. Accordingly, we now disclose segment performance under the Learning and Research segments.</w:t>
      </w:r>
    </w:p>
    <w:p>
      <w:pPr>
        <w:spacing w:after="0" w:line="8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historical segments consisted of services provided to healthcare organizations and professionals (HCO) and services provided to pharmaceutical and medical device companies (PMD). We no longer manage our business based on the markets of our customer base. We have, therefore, reclassified prior period segment disclosures to conform to the current year presentation.</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measure segment performance based on operating income (loss) before income taxes and prior to the allocation of corporate overhead expenses, interest income, interest expense, and depreciation. The following is our business segment information as of and for the three and nine months ended September 30, 2007 and 2006.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24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2006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2007</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Learning</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6,827,159</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5,807,600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19,803,679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18,443,786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1,672,932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12,153,614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4,783,086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net revenue</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11,809,386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7,480,532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31,957,293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23,226,872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Learning</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1,483,238</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1,396,079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3,798,677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551,873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2,560,896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Unallocated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(1,792,690)</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(1,653,527)</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(5,312,531)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(4,620,189)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730,021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294,425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1,047,042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SEGMENTS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 2007</w:t>
            </w:r>
          </w:p>
        </w:tc>
        <w:tc>
          <w:tcPr>
            <w:tcW w:w="32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December 31, 2006</w:t>
            </w: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Learning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15,117,660</w:t>
            </w: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15,167,472</w:t>
            </w:r>
          </w:p>
        </w:tc>
      </w:tr>
      <w:tr>
        <w:trPr>
          <w:trHeight w:val="21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27,440,293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10,620,782</w:t>
            </w: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w:t>
            </w: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7,401,657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15,220,232</w:t>
            </w:r>
          </w:p>
        </w:tc>
      </w:tr>
      <w:tr>
        <w:trPr>
          <w:trHeight w:val="27"/>
        </w:trPr>
        <w:tc>
          <w:tcPr>
            <w:tcW w:w="8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49,959,610</w:t>
            </w: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41,008,486</w:t>
            </w:r>
          </w:p>
        </w:tc>
      </w:tr>
      <w:tr>
        <w:trPr>
          <w:trHeight w:val="20"/>
        </w:trPr>
        <w:tc>
          <w:tcPr>
            <w:tcW w:w="8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340" w:hanging="452"/>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include restricted cash, accounts and unbilled receivables, prepaid and other current assets, other assets, capitalized software feature enhancements, certain property and equipment, and intangible assets. Investments in marketable securities and cash and cash equivalents are not allocated to individual segments, and are included within Unallocated. A significant portion of property and equipment assets are included within Unallocated.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account for goodwill under the provisions of SFAS No. 142, “Goodwill and Other Intangible Assets.” On March 12, 2007, we acquired TJO. The amount of goodwill recorded as a result of the TJO acquisition represents a preliminary estimate at September 30, 2007. There were no changes in the carrying amount of goodwill during the nine months ended September 30,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color w:val="auto"/>
              </w:rPr>
              <w:t>Learning</w:t>
            </w:r>
          </w:p>
        </w:tc>
        <w:tc>
          <w:tcPr>
            <w:tcW w:w="6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Research</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2007</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$ 3,306,687</w:t>
            </w:r>
          </w:p>
        </w:tc>
        <w:tc>
          <w:tcPr>
            <w:tcW w:w="5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$ 7,010,706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value of goodwill</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8,704,471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8,704,471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$ 3,306,687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15,715,177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19,021,864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Learning</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Research</w:t>
            </w:r>
          </w:p>
        </w:tc>
        <w:tc>
          <w:tcPr>
            <w:tcW w:w="660" w:type="dxa"/>
            <w:vAlign w:val="bottom"/>
          </w:tcPr>
          <w:p>
            <w:pPr>
              <w:spacing w:after="0"/>
              <w:rPr>
                <w:sz w:val="24"/>
                <w:szCs w:val="24"/>
                <w:color w:val="auto"/>
              </w:rPr>
            </w:pP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2006</w:t>
            </w:r>
          </w:p>
        </w:tc>
        <w:tc>
          <w:tcPr>
            <w:tcW w:w="148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$ 3,306,687</w:t>
            </w:r>
          </w:p>
        </w:tc>
        <w:tc>
          <w:tcPr>
            <w:tcW w:w="15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$ 7,010,706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value of goodwill</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$ 3,306,687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5"/>
              </w:rPr>
              <w:t>$ 7,010,706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10,317,393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All identifiable intangible assets have been evaluated in accordance with SFAS No. 142 and are considered to have finite useful lives. The Company is in the process of finalizing the purchase price allocation and related evaluation of indefinite and finite lived intangible assets associated with the acquisition of TJO, thus the balances recorded at September 30, 2007 are preliminary and subject to change. Customer related intangible assets include contract rights, customer lists, and customer relationships associated with our acquisitions of DMR and TJO. Other intangible assets include non-competition agreements associated with the same acquired entities. Content intangible assets include courseware and content, and are fully amortized at September 30, 2007. During the first quarter of 2007, we recorded $5.5 million associated with TJO customer related intangibles and $0.5 million associated with TJO non-competition agreements. Intangible assets with finite lives are being amortized over their estimated useful lives, ranging from one to eight years. Amortization of intangible assets was $330,208 and $828,998 for the three and nine months ended September 30, 2007, respectively, and $127,083 and $381,249 for the three and nine months ended September 30, 2006,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As of September 30, 2007</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As of December 31, 2006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Gross Amount</w:t>
            </w:r>
          </w:p>
        </w:tc>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8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Net</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Gross Amount</w:t>
            </w:r>
          </w:p>
        </w:tc>
        <w:tc>
          <w:tcPr>
            <w:tcW w:w="1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6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8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58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$ 11,840,000</w:t>
            </w:r>
          </w:p>
        </w:tc>
        <w:tc>
          <w:tcPr>
            <w:tcW w:w="2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(4,384,857)</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$ 7,455,143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6,340,000</w:t>
            </w:r>
          </w:p>
        </w:tc>
        <w:tc>
          <w:tcPr>
            <w:tcW w:w="1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(3,687,243)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$ 2,652,757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(3,500,000)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3,500,000</w:t>
            </w:r>
          </w:p>
        </w:tc>
        <w:tc>
          <w:tcPr>
            <w:tcW w:w="19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(3,500,000)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(700,302)</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471,840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672,142</w:t>
            </w:r>
          </w:p>
        </w:tc>
        <w:tc>
          <w:tcPr>
            <w:tcW w:w="1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(568,918)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103,224</w:t>
            </w:r>
          </w:p>
        </w:tc>
        <w:tc>
          <w:tcPr>
            <w:tcW w:w="0" w:type="dxa"/>
            <w:vAlign w:val="bottom"/>
          </w:tcPr>
          <w:p>
            <w:pPr>
              <w:spacing w:after="0"/>
              <w:rPr>
                <w:sz w:val="1"/>
                <w:szCs w:val="1"/>
                <w:color w:val="auto"/>
              </w:rPr>
            </w:pPr>
          </w:p>
        </w:tc>
      </w:tr>
      <w:tr>
        <w:trPr>
          <w:trHeight w:val="223"/>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16,512,142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(8,585,159</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$ 7,926,983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10,512,142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(7,756,161</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$ 2,755,981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 TERM DEBT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2007, the Company financed the purchase of approximately $2.1 million in multi-year software licenses. As a result of this transaction, the Company entered into a promissory note loan agreement which is scheduled to be repaid in 36 payments, which are due on a monthly basis, beginning July 1, 2007. The promissory note bears interest at an annual rate of 2.32%, and is unsecured. The Company may not prepay the loan without consent from the lender, and if a prepayment request is granted by the lender, a prepayment fee may be assessed.</w:t>
      </w:r>
    </w:p>
    <w:p>
      <w:pPr>
        <w:sectPr>
          <w:pgSz w:w="11900" w:h="16838" w:orient="portrait"/>
          <w:cols w:equalWidth="0" w:num="1">
            <w:col w:w="11420"/>
          </w:cols>
          <w:pgMar w:left="240" w:top="415" w:right="239" w:bottom="1440" w:gutter="0" w:footer="0" w:header="0"/>
        </w:sectPr>
      </w:pP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Special Cautionary Notice Regarding Forward-Looking Statements</w:t>
      </w:r>
    </w:p>
    <w:p>
      <w:pPr>
        <w:ind w:right="180"/>
        <w:spacing w:after="0" w:line="261" w:lineRule="auto"/>
        <w:rPr>
          <w:sz w:val="20"/>
          <w:szCs w:val="20"/>
          <w:color w:val="auto"/>
        </w:rPr>
      </w:pPr>
      <w:r>
        <w:rPr>
          <w:rFonts w:ascii="Times New Roman" w:cs="Times New Roman" w:eastAsia="Times New Roman" w:hAnsi="Times New Roman"/>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important factors, in addition to those discussed elsewhere in this Quarterly Report and in our Annual Report on Form 10-K, could affect our future financial results and could cause actual results to differ materially from those expressed in forward-looking statements contained in this document:</w:t>
      </w:r>
    </w:p>
    <w:p>
      <w:pPr>
        <w:spacing w:after="0" w:line="50" w:lineRule="exact"/>
        <w:rPr>
          <w:sz w:val="20"/>
          <w:szCs w:val="20"/>
          <w:color w:val="auto"/>
        </w:rPr>
      </w:pPr>
    </w:p>
    <w:p>
      <w:pPr>
        <w:ind w:left="660" w:right="620" w:hanging="446"/>
        <w:spacing w:after="0" w:line="26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effectively implement our growth strategy, as well as manage growth of our operations and infrastructure, including effective integration of Data Management and Research, Inc. (DMR), The Jackson Organization, Research Consultants, Inc. (TJO), or other future acquisitions;</w:t>
      </w:r>
    </w:p>
    <w:p>
      <w:pPr>
        <w:spacing w:after="0" w:line="81" w:lineRule="exact"/>
        <w:rPr>
          <w:sz w:val="20"/>
          <w:szCs w:val="20"/>
          <w:color w:val="auto"/>
        </w:rPr>
      </w:pPr>
    </w:p>
    <w:p>
      <w:pPr>
        <w:ind w:left="660" w:right="260" w:hanging="446"/>
        <w:spacing w:after="0" w:line="26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fluctuation in quarterly operating results caused by a variety of factors including the timing of sales, subscription revenue recognition, customer contract renewals, and timing of survey cycles, as well as expenses associated with deployment of software feature enhancements, stock based compensation, marketing spending associated with our Annual Learning Summit and Annual Research Conference, and other factors;</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variability and length of our sales cycle;</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maintain and continue our competitive position against current and potential competitors;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obtain proper distribution rights from content partners to support growth in courseware subscriptions;</w:t>
      </w:r>
    </w:p>
    <w:p>
      <w:pPr>
        <w:spacing w:after="0" w:line="130" w:lineRule="exact"/>
        <w:rPr>
          <w:sz w:val="20"/>
          <w:szCs w:val="20"/>
          <w:color w:val="auto"/>
        </w:rPr>
      </w:pPr>
    </w:p>
    <w:p>
      <w:pPr>
        <w:ind w:left="660" w:right="460" w:hanging="446"/>
        <w:spacing w:after="0" w:line="28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develop enhancements to our existing products and services, achieve widespread acceptance of new features, or keep pace with technological developments;</w:t>
      </w:r>
    </w:p>
    <w:p>
      <w:pPr>
        <w:spacing w:after="0" w:line="67" w:lineRule="exact"/>
        <w:rPr>
          <w:sz w:val="20"/>
          <w:szCs w:val="20"/>
          <w:color w:val="auto"/>
        </w:rPr>
      </w:pPr>
    </w:p>
    <w:p>
      <w:pPr>
        <w:ind w:left="660" w:right="500" w:hanging="446"/>
        <w:spacing w:after="0" w:line="28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pressure on healthcare organizations and pharmaceutical/medical device companies to reduce costs to customers could result in financial pressures on customers to cut back on our services;</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loss of a significant customer and concentration of a significant portion of our revenue with a relatively small number of customers;</w:t>
      </w:r>
    </w:p>
    <w:p>
      <w:pPr>
        <w:spacing w:after="0" w:line="130" w:lineRule="exact"/>
        <w:rPr>
          <w:sz w:val="20"/>
          <w:szCs w:val="20"/>
          <w:color w:val="auto"/>
        </w:rPr>
      </w:pPr>
    </w:p>
    <w:p>
      <w:pPr>
        <w:ind w:left="660" w:hanging="446"/>
        <w:spacing w:after="0" w:line="28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color w:val="auto"/>
        </w:rPr>
        <w:t>our ability to achieve profitability on a consistent basis;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resolve any issues with certain customers that have transitioned to the new version of our HealthStream Learning Center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(HLC);</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adequately address our customers’ needs in products and services;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ability to adequately develop and maintain our network infrastructure, computer systems, software and related security;</w:t>
      </w:r>
    </w:p>
    <w:p>
      <w:pPr>
        <w:spacing w:after="0" w:line="130" w:lineRule="exact"/>
        <w:rPr>
          <w:sz w:val="20"/>
          <w:szCs w:val="20"/>
          <w:color w:val="auto"/>
        </w:rPr>
      </w:pPr>
    </w:p>
    <w:p>
      <w:pPr>
        <w:ind w:left="660" w:right="260" w:hanging="446"/>
        <w:spacing w:after="0" w:line="28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67" w:lineRule="exact"/>
        <w:rPr>
          <w:sz w:val="20"/>
          <w:szCs w:val="20"/>
          <w:color w:val="auto"/>
        </w:rPr>
      </w:pPr>
    </w:p>
    <w:p>
      <w:pPr>
        <w:ind w:left="660" w:right="360" w:hanging="446"/>
        <w:spacing w:after="0" w:line="28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other risk factors detailed in our Annual Report on Form 10-K for the year ended December 31, 2006, and other filings with the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HealthStream’s services are focused on the professionals who work within healthcare organizations, and include the delivery of education and training products and services (HealthStream Learning), as well as survey and research services (HealthStream Research). HealthStream Learning products and services are used by healthcare organizations to meet a broad range of their training and assessment needs, while HealthStream Research products and services provide our customers information about patients’ experiences, workforce challenges, physician relations, and community perceptions of their services. Across both our Learning and Research segments, HealthStream’s customers include over 2,200 healthcare organization facilities (predominately acute-care facilities) throughout the United States and some of the top medical device and pharmaceutical companies.</w:t>
      </w:r>
    </w:p>
    <w:p>
      <w:pPr>
        <w:spacing w:after="0" w:line="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provide HealthStream Learning products and services to over 1,500 healthcare facilities. The Company’s flagship learning product is the HLC, our proprietary, Internet-based learning platform. We deliver educational and training courseware to our customers through the HLC platform. HealthStream Learning products and services are focused on education and training initiatives designed to reach hospital-</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based healthcare professionals, as well as physicians and medical device and pharmaceutical device industry sales representatives. We offer a variety of online educational and training courseware and also provide traditional seminar and paper-based educational activities. We also deliver Internet-based medical device training within hospitals through our HospitalDirect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provide HealthStream Research products and services to over 1,100 healthcare facilities. These products include quality and satisfaction surveys, data analyses of survey results, and other research-based measurement tools focused on patients, employees, physicians, and members of the community. We offer several survey methodologies, including paper-based surveys, phone-based surveys, and web-based surveys. As a certified vendor designated by the Centers for Medicare &amp; Medicaid Services, we offer our customers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(Consumer Assessment of Health Plan Survey) Hospital Survey services.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first quarter of 2007, we launched HealthStream Research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and began reporting and measuring performance based on the delivery of learning services and delivery of research services. Accordingly, we are now disclosing segment performance under the Learning and Research segments.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and operational indicators for the third quarter of 2007 include:</w:t>
      </w:r>
    </w:p>
    <w:p>
      <w:pPr>
        <w:spacing w:after="0" w:line="117" w:lineRule="exact"/>
        <w:rPr>
          <w:sz w:val="20"/>
          <w:szCs w:val="20"/>
          <w:color w:val="auto"/>
        </w:rPr>
      </w:pPr>
    </w:p>
    <w:p>
      <w:pPr>
        <w:ind w:left="660" w:right="62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of $11.8 million in the third quarter of 2007, up 58% over the third quarter of 2006, including $3.0 million resulting from the TJO acquisition</w:t>
      </w:r>
    </w:p>
    <w:p>
      <w:pPr>
        <w:spacing w:after="0" w:line="67" w:lineRule="exact"/>
        <w:rPr>
          <w:rFonts w:ascii="Times New Roman" w:cs="Times New Roman" w:eastAsia="Times New Roman" w:hAnsi="Times New Roman"/>
          <w:sz w:val="18"/>
          <w:szCs w:val="18"/>
          <w:b w:val="1"/>
          <w:bCs w:val="1"/>
          <w:color w:val="auto"/>
        </w:rPr>
      </w:pPr>
    </w:p>
    <w:p>
      <w:pPr>
        <w:ind w:left="660" w:right="4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of $739,000, or $0.03 per diluted share, in the third quarter of 2007, up from $474,000, or $0.02 per diluted share, in the third quarter of 2006</w:t>
      </w:r>
    </w:p>
    <w:p>
      <w:pPr>
        <w:spacing w:after="0" w:line="67" w:lineRule="exact"/>
        <w:rPr>
          <w:rFonts w:ascii="Times New Roman" w:cs="Times New Roman" w:eastAsia="Times New Roman" w:hAnsi="Times New Roman"/>
          <w:sz w:val="18"/>
          <w:szCs w:val="18"/>
          <w:b w:val="1"/>
          <w:bCs w:val="1"/>
          <w:color w:val="auto"/>
        </w:rPr>
      </w:pPr>
    </w:p>
    <w:p>
      <w:pPr>
        <w:ind w:left="660" w:right="10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1,457,000 healthcare professional subscribers fully implemented on our Internet-based learning network at September 30, 2007, up from 1,334,000 at September 30, 2006</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101,000 new healthcare professional subscribers contracted to use the HLC during the third quarter of 2007</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Approximately 95 percent of our subscriber base has transitioned to the new version of our HLC platform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54" w:lineRule="exact"/>
        <w:rPr>
          <w:sz w:val="20"/>
          <w:szCs w:val="20"/>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costs and related capitalization</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for service interruptions</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Nonmonetary exchange of content rights and deferred service credits</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2006 filed with the Securities and Exchange Commission, which contains additional information regarding our accounting policies and other disclosures required by US GAAP. There have been no changes in our critical accounting policies and estimates from those reported in our Annual Report on Form 10-K for the year ended December 31, 2006, except for the required adoption of FIN 48 on January 1, 2007, as discussed in Note 3 of our Notes to Condensed Consolidated Financial Statements included in this quarterly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Jackson Organization, Research Consultants, Inc. </w:t>
      </w:r>
      <w:r>
        <w:rPr>
          <w:rFonts w:ascii="Times New Roman" w:cs="Times New Roman" w:eastAsia="Times New Roman" w:hAnsi="Times New Roman"/>
          <w:sz w:val="18"/>
          <w:szCs w:val="18"/>
          <w:color w:val="auto"/>
        </w:rPr>
        <w:t>On March 12, 2007, the Company acquired all of the issued and outstanding common stock of TJO.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TJO provides healthcare organizations with quality and satisfaction surveys, data analyses of survey results, and other research-based measurement tools focused on patients, employees, physicians, and other members of the community. Consideration paid to the seller of TJO included approximately $11.5 million in cash and 252,616 shares of our common stock. As of September 30, 2007, the Company had incurred direct, incremental expenses associated with the acquisition of TJO of approximately $673,000. Total cash paid of $12.2 million includes cash paid for TJO and direct expenses associated with the acquisition. Approximately $1.6 million of the cash consideration is being held in escrow and will be released upon the resolution of matters and occurrence of future events. During the quarter ended September 30, 2007, the TJO closing balance sheet was finalized and the working capital cash escrow of $200,000 was released, resulting in approximately $139,000 of the cash escrow being returned to the Company pursuant to the stock purchase agreement. All of the common stock shares issued in the acquisition are held in an escrow account until September 2008 and are subject to any claims for indemnification pursuant to the stock purchase agreement. TJO’s results of operations have been included in the Company’s results in the Research business unit from the date of acquisition.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our Learning business segment consist of the provision of services through our Internet-based HLC, authoring tools,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courseware subscriptions (add-on courseware), maintenance and support services for our installed learning management products, maintenance of content, live event development, online training and content development, online sales training courses (RepDirect™), live educational activities for nurses and other professionals conducted within healthcare organizations, continuing education activities at association meetings, and HospitalDirect. Revenues for our Research business segment consist of quality and satisfaction surveys, data analyses of survey results, and other research-based measurement tools focused on physicians, patients, employees, and other members of the community.</w:t>
      </w:r>
    </w:p>
    <w:p>
      <w:pPr>
        <w:spacing w:after="0" w:line="7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consists primarily of salaries and employee benefits, stock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perform phone and paper surveys, handle customer support calls or inquiries, manage the technology infrastructure for our hosted applications, manage content and survey services, coordinate content maintenance services, and provide training or implementation services.</w:t>
      </w:r>
    </w:p>
    <w:p>
      <w:pPr>
        <w:spacing w:after="0" w:line="7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primarily of salaries and employee benefits, stock based compensation, content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team, product managers, and other personnel associated with content and product development and product portfolio management.</w:t>
      </w:r>
    </w:p>
    <w:p>
      <w:pPr>
        <w:spacing w:after="0" w:line="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salaries, commissions and employee benefits, stock 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travel and lodging, advertising, trade shows, promotions, and related marketing costs. Annually, we host a national users’ group in Nashville known as “The Learning Summit,” and a separate conference for our Research customers, the costs of which are included in sales and marketing expenses. Personnel costs within sales and marketing include our sales and marketing team and strategic account management, as well as our account management group. Our account management personnel work to ensure that our products and services are utilized by our customers.</w:t>
      </w:r>
    </w:p>
    <w:p>
      <w:pPr>
        <w:spacing w:after="0" w:line="7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definite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amortization of content or license fees, and amortization of capitalized software feature enhancements.</w:t>
      </w:r>
    </w:p>
    <w:p>
      <w:pPr>
        <w:spacing w:after="0" w:line="5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consist primarily of salaries and employee benefits, stock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accreditation professionals.</w:t>
      </w:r>
    </w:p>
    <w:p>
      <w:pPr>
        <w:spacing w:after="0" w:line="72" w:lineRule="exact"/>
        <w:rPr>
          <w:sz w:val="20"/>
          <w:szCs w:val="20"/>
          <w:color w:val="auto"/>
        </w:rPr>
      </w:pPr>
    </w:p>
    <w:p>
      <w:pPr>
        <w:jc w:val="both"/>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primary component of other income is interest income related to interest earned on cash, cash equivalents and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securities. The primary component of other expense is interest expense related to capital leases, long term debt, and our revolving credit facility.</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2007 Compared to Three Months Ended September 30, 2006</w:t>
      </w:r>
    </w:p>
    <w:p>
      <w:pPr>
        <w:spacing w:after="0" w:line="11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approximately $4.3 million, or 57.9%, to $11.8 million for the three months ended September 30, 2007 from $7.5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2006. Revenues for 2007 consisted of $6.8 million, or 58% of total revenue for HealthStream Learning and</w:t>
      </w:r>
    </w:p>
    <w:p>
      <w:pPr>
        <w:spacing w:after="0" w:line="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$5.0 million, or 42% of total revenue for HealthStream Research. In 2006, revenues consisted of $5.8 million, or 78% of total revenue for HealthStream Learning and $1.7 million, or 22% of total revenue for HealthStream Research. HealthStream Learning revenue growth of $1.0 million over the prior year quarter included $728,000 from our Internet-based subscription products, which includes revenue increases from the HLC of $375,000, courseware subscriptions and online training services (RepDirect™) of $285,000, and HospitalDirect™ of $68,000. Revenues from these products increased 15.3% over the prior year quarter and approximated $5.5 million for the third quarter of 2007. The remaining revenue growth came from custom online courseware development services which increased $330,000, and implementation and consulting services which increased $181,000 over the prior year third quarter. These revenue increases were partially offset by a decline in revenues from our live event business of $160,000. HealthStream Research revenue growth resulted primarily from the TJO acquisition which generated approximately $3.0 million of revenues for the third quarter of 2007. TJO revenues during the three months ended September 30, 2006, prior to our acquisition of TJO, and not included in our results of operations for the three months ended September 30, 2006, approximated $2.9 million. Our organic Research business, excluding the impact of the acquisition of TJO, experienced a 17.0% revenue increase over the prior year quarter.</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revenues for the fourth quarter of 2007 to approximate $12.0 million, an increase of approximately 40 percent over the same quarter in the prior year. We anticipate revenues will approximate 60 percent from HealthStream Learning and 40 percent from HealthStream Research. We expect revenues from HealthStream Learning to increase from both the same quarter of the prior year as well as increase compared to the third quarter of 2007 resulting from continued growth in our subscriber base and courseware subscriptions as well as additional HLC implementation and consulting services during the fourth quarter. We also expect HealthStream Research revenues to grow over the fourth quarter of 2006 with a significant portion of the increase associated with the acquisition of TJO, but expect them to decline when compared to the third quarter of 2007, primarily due to slower new sales growth than anticipated, and the deferral of a significant customer survey which has been rescheduled to be performed during 2008.</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$2.0 million, or 82.3%, to $4.3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2007 from $2.4 million for the three months ended September 30, 2006. Cost of revenues as a percentage of revenues increased to 36.7% of revenues for the three months ended September 30, 2007 from 31.8% of revenues for the three months ended September 30, 2006. Cost of revenues for HealthStream Learning increased approximately $428,000 and approximated 34.1% and 32.7% of revenues for the three months ended September 30, 2007 and 2006, respectively. This expense increase is primarily related to increased royalties paid by us associated with increases in courseware and training subscriptions as well as incremental costs to support our customers in connection with their transition to our new HLC platform. Cost of revenues for HealthStream Research increased approximately $1.5 million and approximated 40.3% and 28.7% of revenues for the three months ended September 30, 2007 and 2006, respectively. The expense increase and increase as a percentage of revenue for HealthStream Research resulted primarily from the TJO acquisition.</w:t>
      </w:r>
    </w:p>
    <w:p>
      <w:pPr>
        <w:spacing w:after="0" w:line="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cost of revenues during the fourth quarter of 2007 to increase for both HealthStream Learning and HealthStream Research when compared to the same quarter in the prior year. Cost of revenues for HealthStream Learning is expected to increase as we continue to grow our courseware subscription revenues and provide HLC implementation and other project based services. Cost of revenues for HealthStream Research is expected to increase primarily as a result of the TJO acquisition.</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(excluding depreciation and amortization). </w:t>
      </w:r>
      <w:r>
        <w:rPr>
          <w:rFonts w:ascii="Times New Roman" w:cs="Times New Roman" w:eastAsia="Times New Roman" w:hAnsi="Times New Roman"/>
          <w:sz w:val="18"/>
          <w:szCs w:val="18"/>
          <w:color w:val="auto"/>
        </w:rPr>
        <w:t>Gross margin (which we define as revenues less cost of revenues divided by revenues) declined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63.3% of revenues for the three months ended September 30, 2007 from 68.2% of revenues for the three months ended September 30, 2006. The decline in gross margin resulted primarily from increased cost of revenues for both HealthStream Learning and HealthStream Research discussed above. Gross margins for HealthStream Learning were 65.9% and 67.3% for the three months ended September 30, 2007 and 2006, respectively. Gross margins for HealthStream Research were 59.7% and 71.3% for the three months ended September 30, 2007 and 2006, respectively. We expect gross margins to decline modestly during the fourth quarter of 2007 when compared to the fourth quarter of 2006 resulting from the expected changes in revenue mix discussed above and from the growth in HealthStream Research.</w:t>
      </w:r>
    </w:p>
    <w:p>
      <w:pPr>
        <w:spacing w:after="0" w:line="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Product Development. </w:t>
      </w:r>
      <w:r>
        <w:rPr>
          <w:rFonts w:ascii="Times New Roman" w:cs="Times New Roman" w:eastAsia="Times New Roman" w:hAnsi="Times New Roman"/>
          <w:sz w:val="17"/>
          <w:szCs w:val="17"/>
          <w:color w:val="auto"/>
        </w:rPr>
        <w:t>Product development expenses increased approximately $274,000, or 30.8%, to $1.2 million for the three months ended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2007 from $891,000 for the three months ended September 30, 2006. Product development as a percentage of revenues decreased to 9.9% for the three months ended September 30, 2007 from 11.9% for the three months ended September 30, 2006. Product development expenses for HealthStream Learning increased approximately $238,000, and approximated 14.6% and 13.1% of revenues for the three months ended September 30, 2007 and 2006, respectively. This increase is the result of additional personnel and contract labor associated with development and maintenance of our learning products as well as the addition of product portfolio management personnel. Product development expenses for HealthStream Research increased approximately $38,000 due to additional personnel and approximated 2.7% and 5.7% of revenues for the three months ended September 30, 2007 and 2006, respectively. We expect product development expenses for the fourth quarter of 2007 to increase compared to the prior year quarter, but remain comparable as a percentage of revenues.</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$646,000, or 39.2%, to $2.3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2007 from $1.6 million for the three months ended September 30, 2006. This increase is primarily associated with incremental personnel and related expenses resulting from the TJO acquisition, as well as incremental HealthStream Learning personnel and increased sales commissions. These expense increases were partially offset by lower marketing spending. Sales and marketing expenses approximated 19.4% and 22.0% of revenues for the three months ended September 30, 2007 and 2006, respectively.</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Sales and marketing expenses for HealthStream Learning increased $143,000 and approximated 22.3% and 23.7% of revenues for the three months ended September 30, 2007 and 2006, respectively. The increase in expenses is associated with additional sales personnel and commissions, while the decrease as a percentage revenue is due to the increase in revenue. Sales and marketing expenses for HealthStream Research increased $525,000 and approximated 15.0% and 13.4% of revenues for the three months ended September 30, 2007 and 2006, respectively. This increase is primarily associated with the TJO acquisition. We expect sales and marketing expenses for the fourth quarter of 2007 to increase over the prior year fourth quarter, but remain comparable as a percentage of revenues.</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$558,000, or 73.4%, to $1.3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2007 from $759,000 for the three months ended September 30, 2006. Depreciation, which is included in the unallocated corporate function, increased $185,000 resulting from new capital expenditures during the current year. The amortization increase of $372,000 resulted from TJO intangible asset amortization and amortization of capitalized software feature enhancements associated with the new HLC platform and other content assets. Amortization for HealthStream Learning increased $169,000, or 65.6%, and approximated 6.2% and 4.4% of revenues for the three months ended September 30, 2007 and 2006, respectively. This increase is primarily associated with amortization of capitalized software feature enhancements associated with the new HLC platform and other content assets. Amortization for HealthStream Research increased $203,000, or 159.8%, and approximated 6.6% and 7.6% of revenues for the three months ended September 30, 2007 and 2006, respectively. The expense increase is associated with the TJO acquisition, while the decrease as a percentage revenue is due to the increase in revenue.</w:t>
      </w:r>
    </w:p>
    <w:p>
      <w:pPr>
        <w:spacing w:after="0" w:line="83"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We expect depreciation and amortization to increase during the fourth quarter of 2007 when compared to the prior year fourth quarter. These increases will result from new capital expenditure depreciation, amortization of TJO intangible assets, and amortization of capitalized software feature enhancements.</w:t>
      </w:r>
    </w:p>
    <w:p>
      <w:pPr>
        <w:spacing w:after="0" w:line="2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w:t>
      </w:r>
      <w:r>
        <w:rPr>
          <w:rFonts w:ascii="Times New Roman" w:cs="Times New Roman" w:eastAsia="Times New Roman" w:hAnsi="Times New Roman"/>
          <w:sz w:val="18"/>
          <w:szCs w:val="18"/>
          <w:color w:val="auto"/>
        </w:rPr>
        <w:t>Other general and administrative expense increased approximately $457,000, or 30.3%, to $2.0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2007 from $1.5 million for the three months ended September 30, 2006. This increase is primarily due to the TJO acquisition. Other general and administrative expense as a percentage of revenues was 16.7% and 20.2% for the three months ended September 30, 2007 and 2006, respectively.</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Other general and administrative expense for HealthStream Learning decreased $46,000 compared to the prior year quarter, primarily due to lower personnel costs. Other general and administrative expense for HealthStream Research increased $526,000 over the prior year quarter, primarily from the TJO acquisition. The unallocated corporate portion of other general and administrative expense decreased $22,000 over the prior year quarter primarily associated with fewer corporate level personnel. We expect other general and administrative expense for the fourth quarter of 2007 to increase when compared to the fourth quarter of 2006, but remain comparable or decline slightly as a percentage of revenues.</w:t>
      </w:r>
    </w:p>
    <w:p>
      <w:pPr>
        <w:spacing w:after="0" w:line="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decreased approximately $139,000, or 84.0%, to $26,000 for the three months ended September 30,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$165,000 for the three months ended September 30, 2006. Interest income from cash and investments in marketable securities decreased $128,000 resulting from lower cash and investments balances during 2007. Interest expense increased $11,000 over the prior year quarter associated with the revolving credit facility and other long term debt.</w:t>
      </w:r>
    </w:p>
    <w:p>
      <w:pPr>
        <w:spacing w:after="0" w:line="7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for the three months ended September 30, 2007 is associated with federal alternative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Taxable income for 2007 is expected to be substantially offset by the utilization of our operating loss carryforwards.</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approximately $739,000, or $0.03 per diluted share, for the three months ended September 30, 2007 up from $474,000, or $0.02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diluted share, for the three months ended September 30, 2006. This improvement is primarily a result of the favorable impact from the TJO acquisition, but was somewhat offset by the other factors mentioned above. We expect net income for the fourth quarter of 2007 to range between $0.03 and $0.04 per diluted share. We expect full year 2007 net income to range between $0.08 and $0.09 per diluted share.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2007 Compared to Nine Months Ended September 30, 2006</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approximately $8.7 million, or 37.6%, to $32.0 million for the nine months ended September 30, 2007 from $23.2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2006. Revenues for 2007 consisted of $19.8 million, or 62.0% of total revenue for HealthStream Learning and</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$12.2 million, or 38.0% of total revenue for HealthStream Research. In 2006, revenues consisted of $18.4 million, or 79.4% of total revenue for HealthStream Learning and $4.8 million, or 20.6% of total revenue for HealthStream Research. HealthStream Learning revenue growth of $1.4 million over the prior year included $2.0 million from our Internet-based subscription products, which includes revenue increases from the HLC of $1.1 million, courseware subscriptions and online training services (RepDirect™) of $814,000, and HospitalDirect™ of $111,000. Revenues from these products increased 14.6% over the prior year and approximated $15.8 million for the nine months ended September 30, 2007. The remaining revenue growth came from custom online courseware development services which increased $352,000 and implementation and consulting services which increased $124,000 over the prior year. This growth was partially offset by a decline in revenues from our live event business of $856,000, primarily associated with a significant, biannual live event which occurred in 2006, as well as declines in other project-based services and maintenance and support fees from our installed learning management product. HealthStream Research revenue growth primarily resulted from the TJO acquisition, while our organic Research business experienced a change in revenue mix resulting in a modest revenue increase compared to the prior year.</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$3.5 million, or 43.1%, to $11.6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2007 from $8.1 million for the nine months ended September 30, 2006. Cost of revenues as a percentage of revenue increased modestly and approximated 36.3% and 34.9% of revenues for the nine months ended September 30, 2007 and 2006, respectively. Cost of revenues for HealthStream Learning increased $45,000 and approximated 34.2% and 36.5% of revenues for the nine months ended September 30, 2007 and 2006, respectively. The mix of expenses changed resulting in expense decreases from the live event business, primarily due to a significant biannual live event that occurred during the first half of 2006. This expense reduction was partially offset by increased labor costs to support customers in connection with their transition to our new HLC platform, as well as increased royalties paid by us associated with increased courseware and training subscription revenues. Cost of revenues for HealthStream Research increased $3.5 million and approximated 39.8% and 28.9% of revenues for the nine months ended September 30, 2007 and 2006, respectively. The primary expense increases resulted from the TJO acquisition and higher direct costs resulting from changes in revenue mix from the organic Research business.</w:t>
      </w:r>
    </w:p>
    <w:p>
      <w:pPr>
        <w:spacing w:after="0" w:line="7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(excluding depreciation and amortization). </w:t>
      </w:r>
      <w:r>
        <w:rPr>
          <w:rFonts w:ascii="Times New Roman" w:cs="Times New Roman" w:eastAsia="Times New Roman" w:hAnsi="Times New Roman"/>
          <w:sz w:val="18"/>
          <w:szCs w:val="18"/>
          <w:color w:val="auto"/>
        </w:rPr>
        <w:t>Gross margin (which we define as revenues less cost of revenues divided by revenues) was 63.7%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65.1% for the nine months ended September 30, 2007 and 2006, respectively. Gross margins for HealthStream Learning were 65.8% and 63.5% for the nine months ended September 30, 2007 and 2006, respectively. This improvement resulted from the change in revenue mix and related cost of revenues discussed above. Gross margins for HealthStream Research were 60.2% and 71.1% for the nine months ended September 30, 2007 and 2006, respectively. This decrease resulted from changes in revenue mix and the addition of TJO personnel and related direct costs. Gross margins for the TJO portion of HealthStream Research are lower than the organic portion of the Research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$727,000, or 27.8%, to $3.3 million for the nine months ended September 30,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2007 from $2.6 million for the nine months ended September 30, 2006. Product development expenses as a percentage of revenues was 10.5% and 11.3%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nine months ended September 30, 2007 and 2006, respectively. Product development expenses for HealthStream Learning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$635,000 and approximated 14.5% and 12.1% of revenues for the nine months ended September 30, 2007 and 2006, respectively. The increase resulted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personnel and contract labor associated with the development and maintenance of our learning products as well as the addition of product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personnel. Product development expenses for HealthStream Research increased $109,000 and approximated 3.2% and 5.8% of revenues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2007 and 2006, respectively, primarily due to additional product development personnel.</w:t>
      </w:r>
    </w:p>
    <w:p>
      <w:pPr>
        <w:spacing w:after="0" w:line="9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$1.5 million, or 29.0%, to $6.8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from $5.3 million for the nine months ended September 30, 2006. This increase is primarily associated with incremental personnel and related expenses resulting from the TJO acquisition, as well as additional HealthStream Learning personnel and sales commissions. These expense increases were partially offset by lower marketing spending, including lower expenses associated with our Annual Learning Summit. As a percentage of revenues, sales and marketing expenses decreased to 21.4% of revenues for the nine months ended September 30, 2007 from 22.9% of revenues for the nine months ended September 30, 2006, due to the increase in revenue.</w:t>
      </w:r>
    </w:p>
    <w:p>
      <w:pPr>
        <w:spacing w:after="0" w:line="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HealthStream Learning increased $370,000 and approximated 24.6% and 24.4% of revenues for the nine months ended September 30, 2007 and 2006, respectively. This expense increase resulted from incremental sales personnel and sales commissions. Sales and marketing expenses for HealthStream Research increased $1.2 million and approximated 15.5% and 13.6% of revenues for the nine months ended September 30, 2007 and 2006, respectively. A significant portion of this expense increase is associated with the TJO acquisition.</w:t>
      </w:r>
    </w:p>
    <w:p>
      <w:pPr>
        <w:spacing w:after="0" w:line="7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$1.3 million, or 62.8%, to $3.4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2007 from $2.1 million for the nine months ended September 30, 2006. Depreciation, which is included in the</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unallocated corporate function, increased $353,000 resulting from new capital expenditures and from assets acquired in the TJO acquisition. Amortization increased $947,000 resulting from capitalized software feature enhancements and TJO intangible asset amortization. Amortization for HealthStream Learning increased $501,000, or 77.3%, and approximated 5.8% and 3.5% of revenues for the nine months ended September 30, 2007 and 2006, respectively. This increase is primarily associated with amortization of capitalized software feature enhancements associated with the new HLC platform and other content assets. Amortization for HealthStream Research increased $448,000, or 117.4%, and approximated 6.8% and 8.0% of revenues for the nine months ended September 30, 2007 and 2006, respectively. The expense increase is associated with the TJO acquisition, while the decrease as a percentage revenue is due to the increase in revenue.</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w:t>
      </w:r>
      <w:r>
        <w:rPr>
          <w:rFonts w:ascii="Times New Roman" w:cs="Times New Roman" w:eastAsia="Times New Roman" w:hAnsi="Times New Roman"/>
          <w:sz w:val="18"/>
          <w:szCs w:val="18"/>
          <w:color w:val="auto"/>
        </w:rPr>
        <w:t>Other general and administrative expenses increased approximately $1.6 million, or 38.4%, to $5.7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2007 from $4.1 million for the nine months ended September 30, 2006. A significant portion of the increase resulted from the TJO acquisition, while other expense increases were associated with additional corporate personnel and contract labor. Other general and administrative expense as a percentage of revenues were 17.9% and 17.8% for the nine months ended September 30, 2007 and 2006, respectively. Other general and administrative expense for HealthStream Learning was comparable between periods. Other general and administrative expense for HealthStream Research increased $1.2 million over the same period of the prior year, primarily resulting from the TJO acquisition. Other general and administrative expense for the unallocated corporate functions increased $421,000 over the prior year associated with additional personnel and contract labor.</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decreased approximately $265,000, or 58.5%, to $188,000 for the nine months ended September 30,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$452,000 for the nine months ended September 30, 2006. Interest income from cash and investments in marketable securities decreased $250,000 resulting from lower cash and investments balances during 2007. Interest expense increased $14,000 over the prior year associated with the revolving credit facility and other long term debt.</w:t>
      </w:r>
    </w:p>
    <w:p>
      <w:pPr>
        <w:spacing w:after="0" w:line="7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for the nine months ended September 30, 2007 is associated with federal alternative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Taxable income for 2007 is expected to be substantially offset by the utilization of our operating loss carryforwards.</w:t>
      </w:r>
    </w:p>
    <w:p>
      <w:pPr>
        <w:spacing w:after="0" w:line="5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approximately $1.2 million for the nine months ended September 30, 2007 down from $1.4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2006. This decline is a result of the factors mentioned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largely through proceeds from our initial public offering, private placements of equity securities, loans from banks and related parties and, to an increasing extent, from revenues generated from the sale of our products and services.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$5.6 million during the nine months ended September 30, 2007 compared to $3.1 million during the nine months ended September 30, 2006. The improvement over the prior year primarily resulted from growth in our business, including the TJO acquisition, and related cash receipts from customers. The significant uses of cash for operating activities during 2007 and 2006 included personnel expenses and other direct expenses to support our business, payment of royalties to content partners, payment of year-end 2006 and 2005 bonuses to employees, and purchases of content. Our days sales outstanding (DSO, which we calculate by dividing the accounts receivable balance, excluding unbilled and other receivables, by average daily revenues for the period) approximated 65 days for the nine months ended September 30, 2007 compared to 52 days for the nine months ended September 30, 2006. The increase in DSO is reflective of delays in cash receipts from some HealthStream Learning customers. The decline in current assets since December 31, 2006 resulted primarily from the utilization of cash to fund the TJO acquisition, and the increase in current liabilities primarily relates to acquired deferred revenue balances from the TJO acquisition.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approximated $13.5 million during the nine months ended September 30, 2007 compared to $2.3 million during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2006. The increased use of cash during 2007 primarily resulted from the TJO acquisition, which consumed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million, and $3.2 million paid for capitalized software feature enhancements and property and equipment purchases, which were partially offset by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from the sale of investments in marketable securities. During the nine months ended September 30, 2006, our primary use of cash was for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feature enhancements and purchases of property and equipment, and was partially offset by proceeds from sales in excess of purchases of investments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approximately $56,000 for the nine months ended September 30, 2007, while $512,000 of cash was provided by financing activities during the nine months ended September 30, 2006. The primary uses of cash in 2007 related to payments of long term debt and capital lease obligations, and was partially offset by cash proceeds from stock option exercises and purchases under our Employee Stock Purchase Plan. The decrease compared to the prior year is a result of fewer exercises of stock options and additional debt payments.</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September 20, 2007, our Board of Directors authorized us to purchase up to $3,000,000 of our common stock over a one year period. No shares were repurchased during the quarter ended September 30, 2007.</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September 30, 2007, our primary source of liquidity was $2.8 million of cash and cash equivalents, restricted cash, and interest receivable. The Company also has $15.0 million of availability under our revolving credit facility, which matures in July 2009 and bears interest at a variable rate based on the 30 Day LIBOR Rate plus 150 basis points. We believe this loan agreement provides us additional ability to fund investments within our business, stock repurchases, or any potential future business acquisitions. There were no amounts outstanding under this revolving credit facility as of September 30, 2007.</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a result of the acquisition of TJO, our working capital has declined from positive levels at December 31, 2006, both due to use of cash and the addition of significant deferred revenue balances. We believe that our existing cash and cash equivalents, restricted cash, related interest receivable, as well as cash generated from operations, and available borrowings under our revolving credit facility will be sufficient to meet anticipated cash needs for working capital, new product development and capital expenditures, and stock repurchases for at least the next 12 months. As part of our growth strategy, we are actively reviewing possible acquisitions that complement our products and services. We anticipate that any potential future acquisitions would be effected through a combination of stock and cash consideration. We may need to raise additional capital through the issuance of equity or debt securities and/or borrowings under our revolving credit facility, or other facility, to finance any future acquisitions. The issuance of our stock as consideration for an acquisition would have a dilutive effect and could adversely affect our stock price. There can be no assurance that additional sources of financing will be available to us on acceptable terms, or at all, to consummate any acquisitions. Failure to generate sufficient cash flow from operations or raise additional capital when required in sufficient amounts and on terms acceptable to us could harm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that our capital expenditures for the remainder of 2007 will approximate $1.0 million, and will be associated with continued development of HLC platform enhancements as well as related hardware and software, product investments, including our new Competency product, and integration of TJO. We expect to fund these capital expenditures with existing cash balances, cash generated from operations, and if needed, from our revolving credit facility. We may also enter into lease agreements for some of these asset purchases.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strategic alliances have typically provided for payments to content partners based on revenues and development partners and other parties based on services rendered. We expect to continue similar arrangements in the future. We also have commitments for our live event services associated with securing hotel arrangements, which are typically fully funded from commercial support grants. During 2007, we entered into a loan agreement associated with a multi-year agreement for software licenses totaling approximately $2.1 million. Payments under this loan agreement are due monthly over a three year period. We also have capital lease obligations for computer hardware and operating lease commitments for our operating facilities in Nashville, TN, Franklin, TN, Laurel, MD and Denver, CO.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We do not have any foreign currency exchange rate risk or commodity price risk. As of September 30, 2007, our outstanding indebtedness includes a promissory note of approximately $1.9 million and approximately $190,000 of capital lease obligations. We may become subject to interest rate market risk associated with borrowings under our revolving credit facility, which bears interest at a variable rate based on the 30 Day LIBOR Rate plus 150 basis points, the combination of which was 6.62% at September 30, 2007. We are also exposed to market risk with respect to our cash balances. At September 30, 2007, the Company had cash and cash equivalents, restricted cash, and related interest receivable totaling approximately $2.8 million. Current rates of return approximate 5.0-5.5%. Assuming a 5.25% rate of return on $2.8 million, a hypothetical 10% decrease in interest rates would decrease interest income and decrease net income on an annualized basis by approximately $14,700.</w:t>
      </w:r>
    </w:p>
    <w:p>
      <w:pPr>
        <w:spacing w:after="0" w:line="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 As of September 30, 2007, we maintained no investments in marketable securities.</w:t>
      </w:r>
    </w:p>
    <w:p>
      <w:pPr>
        <w:spacing w:after="0" w:line="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4T.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September 20, 2007, the Company’s Board of Directors authorized the Company to purchase up to $3,000,000 of its common stock over a one year period. The table below sets forth activity under the stock repurchase plan for the quarter ended September 30, 2007: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(c)</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(a)</w:t>
            </w:r>
          </w:p>
        </w:tc>
        <w:tc>
          <w:tcPr>
            <w:tcW w:w="340" w:type="dxa"/>
            <w:vAlign w:val="bottom"/>
          </w:tcPr>
          <w:p>
            <w:pPr>
              <w:spacing w:after="0"/>
              <w:rPr>
                <w:sz w:val="12"/>
                <w:szCs w:val="12"/>
                <w:color w:val="auto"/>
              </w:rPr>
            </w:pP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(b)</w:t>
            </w: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Total number of shares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units) purchased as part of</w:t>
            </w:r>
          </w:p>
        </w:tc>
        <w:tc>
          <w:tcPr>
            <w:tcW w:w="2120" w:type="dxa"/>
            <w:vAlign w:val="bottom"/>
            <w:gridSpan w:val="4"/>
          </w:tcPr>
          <w:p>
            <w:pPr>
              <w:jc w:val="center"/>
              <w:ind w:left="39"/>
              <w:spacing w:after="0" w:line="149" w:lineRule="exact"/>
              <w:rPr>
                <w:sz w:val="20"/>
                <w:szCs w:val="20"/>
                <w:color w:val="auto"/>
              </w:rPr>
            </w:pPr>
            <w:r>
              <w:rPr>
                <w:rFonts w:ascii="Times New Roman" w:cs="Times New Roman" w:eastAsia="Times New Roman" w:hAnsi="Times New Roman"/>
                <w:sz w:val="14"/>
                <w:szCs w:val="14"/>
                <w:color w:val="auto"/>
              </w:rPr>
              <w:t>shares (or 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color w:val="auto"/>
              </w:rPr>
              <w:t>Period</w:t>
            </w:r>
          </w:p>
        </w:tc>
        <w:tc>
          <w:tcPr>
            <w:tcW w:w="30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Total number of shares</w:t>
            </w:r>
          </w:p>
        </w:tc>
        <w:tc>
          <w:tcPr>
            <w:tcW w:w="2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Average price paid per share</w:t>
            </w:r>
          </w:p>
        </w:tc>
        <w:tc>
          <w:tcPr>
            <w:tcW w:w="1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publicly announced plans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purchased under the plans 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units) purchased</w:t>
            </w: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(or unit)</w:t>
            </w:r>
          </w:p>
        </w:tc>
        <w:tc>
          <w:tcPr>
            <w:tcW w:w="3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programs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color w:val="auto"/>
              </w:rPr>
              <w:t>programs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Month #1 (July 1 – July 31) </w:t>
            </w:r>
            <w:r>
              <w:rPr>
                <w:rFonts w:ascii="Times New Roman" w:cs="Times New Roman" w:eastAsia="Times New Roman" w:hAnsi="Times New Roman"/>
                <w:sz w:val="15"/>
                <w:szCs w:val="15"/>
                <w:color w:val="auto"/>
              </w:rPr>
              <w:t>(1)</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Month #2 (August 1 – August 31) </w:t>
            </w:r>
            <w:r>
              <w:rPr>
                <w:rFonts w:ascii="Times New Roman" w:cs="Times New Roman" w:eastAsia="Times New Roman" w:hAnsi="Times New Roman"/>
                <w:sz w:val="15"/>
                <w:szCs w:val="15"/>
                <w:color w:val="auto"/>
              </w:rPr>
              <w:t>(1)</w:t>
            </w:r>
          </w:p>
        </w:tc>
        <w:tc>
          <w:tcPr>
            <w:tcW w:w="300" w:type="dxa"/>
            <w:vAlign w:val="bottom"/>
          </w:tcPr>
          <w:p>
            <w:pPr>
              <w:spacing w:after="0"/>
              <w:rPr>
                <w:sz w:val="18"/>
                <w:szCs w:val="18"/>
                <w:color w:val="auto"/>
              </w:rPr>
            </w:pPr>
          </w:p>
        </w:tc>
        <w:tc>
          <w:tcPr>
            <w:tcW w:w="1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 3 (September 1 – September 30)</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8"/>
          <w:szCs w:val="18"/>
          <w:color w:val="auto"/>
        </w:rPr>
        <w:t>The stock repurchase plan was not in place during this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Exhibits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31.1  – Certification of the Chief Executive Officer Pursuant to Section 302 of the Sarbanes-Oxley Act of 2002</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31.2  – Certification of the Principal Financial Officer Pursuant to Section 302 of the Sarbanes-Oxley Act of 2002</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32.1  – Certification Pursuant to 18 U.S.C. Section 1350, as Adopted Pursuant to Section 906 of the Sarbanes-Oxley Act of 2002</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32.2  – Certification Pursuant to 18 U.S.C. Section 1350, as Adopted Pursuant to Section 906 of the Sarbanes-Oxley Act of 2002</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E. N</w:t>
      </w:r>
      <w:r>
        <w:rPr>
          <w:rFonts w:ascii="Times New Roman" w:cs="Times New Roman" w:eastAsia="Times New Roman" w:hAnsi="Times New Roman"/>
          <w:sz w:val="12"/>
          <w:szCs w:val="12"/>
          <w:color w:val="auto"/>
        </w:rPr>
        <w:t>EWMAN</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Arthur E.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November 9, 2007</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Certification Pursuant to 18 U.S.C. Section 1350, as Adopted Pursuant to 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 Certification Pursuant to 18 U.S.C. Section 1350, as Adopted Pursuant to Section 906 of the Sarbanes-Oxley Act of 2002</w:t>
      </w:r>
    </w:p>
    <w:p>
      <w:pPr>
        <w:sectPr>
          <w:pgSz w:w="11900" w:h="16838" w:orient="portrait"/>
          <w:cols w:equalWidth="0" w:num="1">
            <w:col w:w="10219"/>
          </w:cols>
          <w:pgMar w:left="240" w:top="415" w:right="1440"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117" w:lineRule="exact"/>
        <w:rPr>
          <w:rFonts w:ascii="Times New Roman" w:cs="Times New Roman" w:eastAsia="Times New Roman" w:hAnsi="Times New Roman"/>
          <w:sz w:val="18"/>
          <w:szCs w:val="18"/>
          <w:color w:val="auto"/>
        </w:rPr>
      </w:pPr>
    </w:p>
    <w:p>
      <w:pPr>
        <w:ind w:right="38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4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ind w:right="60" w:firstLine="8"/>
        <w:spacing w:after="0" w:line="266" w:lineRule="auto"/>
        <w:tabs>
          <w:tab w:leader="none" w:pos="1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40" w:firstLine="8"/>
        <w:spacing w:after="0" w:line="282" w:lineRule="auto"/>
        <w:tabs>
          <w:tab w:leader="none" w:pos="1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firstLine="8"/>
        <w:spacing w:after="0" w:line="266" w:lineRule="auto"/>
        <w:tabs>
          <w:tab w:leader="none" w:pos="1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58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60" w:firstLine="8"/>
        <w:spacing w:after="0" w:line="28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2007</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2"/>
                <w:szCs w:val="12"/>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360"/>
          </w:cols>
          <w:pgMar w:left="240" w:top="958" w:right="299" w:bottom="1440" w:gutter="0" w:footer="0" w:header="0"/>
        </w:sectPr>
      </w:pPr>
    </w:p>
    <w:bookmarkStart w:id="25" w:name="page26"/>
    <w:bookmarkEnd w:id="25"/>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E. Newman, certify that:</w:t>
      </w:r>
    </w:p>
    <w:p>
      <w:pPr>
        <w:spacing w:after="0" w:line="117"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117" w:lineRule="exact"/>
        <w:rPr>
          <w:rFonts w:ascii="Times New Roman" w:cs="Times New Roman" w:eastAsia="Times New Roman" w:hAnsi="Times New Roman"/>
          <w:sz w:val="18"/>
          <w:szCs w:val="18"/>
          <w:color w:val="auto"/>
        </w:rPr>
      </w:pPr>
    </w:p>
    <w:p>
      <w:pPr>
        <w:ind w:right="38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ind w:right="60" w:firstLine="8"/>
        <w:spacing w:after="0" w:line="266"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40" w:firstLine="8"/>
        <w:spacing w:after="0" w:line="282" w:lineRule="auto"/>
        <w:tabs>
          <w:tab w:leader="none" w:pos="1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firstLine="8"/>
        <w:spacing w:after="0" w:line="266"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58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60" w:firstLine="8"/>
        <w:spacing w:after="0" w:line="282"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2007</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E. N</w:t>
            </w:r>
            <w:r>
              <w:rPr>
                <w:rFonts w:ascii="Times New Roman" w:cs="Times New Roman" w:eastAsia="Times New Roman" w:hAnsi="Times New Roman"/>
                <w:sz w:val="12"/>
                <w:szCs w:val="12"/>
                <w:color w:val="auto"/>
              </w:rPr>
              <w:t>EWMAN</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E. Newman</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360"/>
          </w:cols>
          <w:pgMar w:left="240" w:top="1440" w:right="299" w:bottom="1440" w:gutter="0" w:footer="0" w:header="0"/>
        </w:sectPr>
      </w:pPr>
    </w:p>
    <w:bookmarkStart w:id="26" w:name="page27"/>
    <w:bookmarkEnd w:id="26"/>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2007,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68"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2"/>
          <w:szCs w:val="12"/>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83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2007</w:t>
      </w:r>
    </w:p>
    <w:p>
      <w:pPr>
        <w:sectPr>
          <w:pgSz w:w="11900" w:h="16838" w:orient="portrait"/>
          <w:cols w:equalWidth="0" w:num="1">
            <w:col w:w="11340"/>
          </w:cols>
          <w:pgMar w:left="240" w:top="1440" w:right="31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2007, as filed with the Securities and Exchange Commission on the date hereof (the “Report”), Arthur E. Newman, Chief Financial Officer of the Company certifies, pursuant to 18 U.S.C. Section 1350, as adopted pursuant to Section 906 of the Sarbanes-Oxley Act of 2002, that:</w:t>
      </w:r>
    </w:p>
    <w:p>
      <w:pPr>
        <w:spacing w:after="0" w:line="68"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E. N</w:t>
      </w:r>
      <w:r>
        <w:rPr>
          <w:rFonts w:ascii="Times New Roman" w:cs="Times New Roman" w:eastAsia="Times New Roman" w:hAnsi="Times New Roman"/>
          <w:sz w:val="12"/>
          <w:szCs w:val="12"/>
          <w:color w:val="auto"/>
        </w:rPr>
        <w:t>EWMAN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E.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2007</w:t>
      </w:r>
    </w:p>
    <w:sectPr>
      <w:pgSz w:w="11900" w:h="16838" w:orient="portrait"/>
      <w:cols w:equalWidth="0" w:num="1">
        <w:col w:w="11340"/>
      </w:cols>
      <w:pgMar w:left="240" w:top="95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endash "/>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o"/>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2019-12-14T23:56:28Z</dcterms:created>
  <dcterms:modified xsi:type="dcterms:W3CDTF">2019-12-14T23:56:28Z</dcterms:modified>
</cp:coreProperties>
</file>