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September 30, 2024</w:t>
      </w:r>
    </w:p>
    <w:p>
      <w:pPr>
        <w:spacing w:after="0" w:line="225" w:lineRule="exact"/>
        <w:rPr>
          <w:sz w:val="24"/>
          <w:szCs w:val="24"/>
          <w:color w:val="auto"/>
        </w:rPr>
      </w:pPr>
    </w:p>
    <w:p>
      <w:pPr>
        <w:ind w:left="4380" w:right="4060" w:hanging="4372"/>
        <w:spacing w:after="0" w:line="512" w:lineRule="auto"/>
        <w:tabs>
          <w:tab w:leader="none" w:pos="368"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No.: 000-27701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0"/>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gridSpan w:val="8"/>
          </w:tcPr>
          <w:p>
            <w:pPr>
              <w:jc w:val="center"/>
              <w:ind w:left="65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21, 2024, there were 30,414,883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3"/>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4"/>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7720" w:type="dxa"/>
            <w:vAlign w:val="bottom"/>
            <w:gridSpan w:val="11"/>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2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September 30, 2024 and December 31, 2023</w:t>
            </w:r>
          </w:p>
        </w:tc>
        <w:tc>
          <w:tcPr>
            <w:tcW w:w="20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(Unaudited) – Three and Nine Months ended September 30, 2024 and 2023</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(Unaudited) – Three and Nine Months ended September 30,</w:t>
            </w:r>
          </w:p>
        </w:tc>
        <w:tc>
          <w:tcPr>
            <w:tcW w:w="2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 of Shareholders' Equity (Unaudited) – Three and Nine Months ended September 30, 2024</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r>
      <w:tr>
        <w:trPr>
          <w:trHeight w:val="196"/>
        </w:trPr>
        <w:tc>
          <w:tcPr>
            <w:tcW w:w="940" w:type="dxa"/>
            <w:vAlign w:val="bottom"/>
          </w:tcPr>
          <w:p>
            <w:pPr>
              <w:spacing w:after="0"/>
              <w:rPr>
                <w:sz w:val="17"/>
                <w:szCs w:val="17"/>
                <w:color w:val="auto"/>
              </w:rPr>
            </w:pPr>
          </w:p>
        </w:tc>
        <w:tc>
          <w:tcPr>
            <w:tcW w:w="9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Nine Months ended September 30, 2024 and 2023</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r>
      <w:tr>
        <w:trPr>
          <w:trHeight w:val="250"/>
        </w:trPr>
        <w:tc>
          <w:tcPr>
            <w:tcW w:w="940" w:type="dxa"/>
            <w:vAlign w:val="bottom"/>
          </w:tcPr>
          <w:p>
            <w:pPr>
              <w:spacing w:after="0"/>
              <w:rPr>
                <w:sz w:val="21"/>
                <w:szCs w:val="21"/>
                <w:color w:val="auto"/>
              </w:rPr>
            </w:pPr>
          </w:p>
        </w:tc>
        <w:tc>
          <w:tcPr>
            <w:tcW w:w="84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80" w:type="dxa"/>
            <w:vAlign w:val="bottom"/>
            <w:gridSpan w:val="4"/>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12</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gridSpan w:val="3"/>
          </w:tcPr>
          <w:p>
            <w:pPr>
              <w:spacing w:after="0"/>
              <w:rPr>
                <w:sz w:val="21"/>
                <w:szCs w:val="21"/>
                <w:color w:val="auto"/>
              </w:rPr>
            </w:pPr>
          </w:p>
        </w:tc>
        <w:tc>
          <w:tcPr>
            <w:tcW w:w="7540" w:type="dxa"/>
            <w:vAlign w:val="bottom"/>
            <w:gridSpan w:val="10"/>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3020" w:type="dxa"/>
            <w:vAlign w:val="bottom"/>
            <w:gridSpan w:val="5"/>
          </w:tcPr>
          <w:p>
            <w:pPr>
              <w:spacing w:after="0"/>
              <w:rPr>
                <w:sz w:val="21"/>
                <w:szCs w:val="21"/>
                <w:color w:val="auto"/>
              </w:rPr>
            </w:pPr>
          </w:p>
        </w:tc>
        <w:tc>
          <w:tcPr>
            <w:tcW w:w="496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Exhibits</w:t>
            </w:r>
          </w:p>
        </w:tc>
        <w:tc>
          <w:tcPr>
            <w:tcW w:w="720" w:type="dxa"/>
            <w:vAlign w:val="bottom"/>
            <w:gridSpan w:val="3"/>
          </w:tcPr>
          <w:p>
            <w:pPr>
              <w:spacing w:after="0"/>
              <w:rPr>
                <w:sz w:val="21"/>
                <w:szCs w:val="21"/>
                <w:color w:val="auto"/>
              </w:rPr>
            </w:pP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SIGNATURE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22</w:t>
            </w:r>
          </w:p>
        </w:tc>
      </w:tr>
      <w:tr>
        <w:trPr>
          <w:trHeight w:val="621"/>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$949 and $781 at September 30, 2024</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34,346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software maintenance and subscriptions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130,210</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$22,362 and $19,503 at September 30, 2024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13,005</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development, net of accumulated amortization of $144,894 and $127,009 at September</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2024 and December 31, 2023,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42,472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191,379</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Customer-related intangibles, net of accumulated amortization of $56,676 and $57,095 at September 30,</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54,742</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intangible assets, net of accumulated amortization of $18,420 and $16,603 at September 30, 2024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502,831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499,942</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110,572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118,361</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2,281</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30,415 and 30,298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251,428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249,075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r>
      <w:tr>
        <w:trPr>
          <w:trHeight w:val="209"/>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355,481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340,752</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499,942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60" w:type="dxa"/>
            <w:vAlign w:val="bottom"/>
            <w:gridSpan w:val="9"/>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(UNAUDITED)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73,095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70,339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208,482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71,010</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10,901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33,610</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34,324</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27,223</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30,550</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66,597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65,476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196,717</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11,765</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2,471</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10,623</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tcPr>
          <w:p>
            <w:pPr>
              <w:ind w:left="1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0.35</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30,409</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30,683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30,374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30,653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30,590</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30,769</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30,512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30,734</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1600" w:type="dxa"/>
            <w:vAlign w:val="bottom"/>
            <w:gridSpan w:val="2"/>
            <w:shd w:val="clear" w:color="auto" w:fill="CCEEFF"/>
          </w:tcPr>
          <w:p>
            <w:pPr>
              <w:ind w:left="1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0.028</w:t>
            </w: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0.025</w:t>
            </w: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0.084</w:t>
            </w: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0.075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1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10,623</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1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6,058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340,752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($0.028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96,746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344,854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4,168</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4,168</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($0.028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5,725</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($0.028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251,428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104,937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355,481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254,832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80,213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334,064</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1"/>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82,069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336,039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4,133</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85,435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340,619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3,867</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254,950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342,246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non-marketable equity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royalties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commissions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50,158</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(38,235)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non-marketable equity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(1,854)</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(47,217)</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(2,301)</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(4,766)</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HealthStream provides primarily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The Company also provides its solutions to nursing schools and nursing students.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As used in this Quarterly Report on Form 10-Q (“Form 10-Q”), “HealthStream,” “Company,” “we,” “us,” and “our” mean HealthStream, Inc. and its subsidiaries, unless the context indicates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months ended September 30, 2024 are not necessarily indicative of the results that may be expected for the year ending December 31, 2024.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2023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2023 (included in the Company's Annual Report on Form 10-K, filed with the Securities and Exchange Commission on February 26,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new guidance requires disclosures of significant reportable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chief operating decision maker and other segment items on an interim and annual basis. Entities with a single reportable segment will also be required to apply the disclosure requirements in ASU 2023-07 on an interim and annual basis. ASU 2023-07 will be effective for the Company for annual periods beginning after December 15, 2023 and interim periods within fiscal years beginning after December 15, 2024. The Company is currently evaluating the standard; however, it is not expected to have a material impact on the Company's financial statements.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 reconciliation, as well as disclosure of income taxes paid disaggregated by jurisdiction. ASU 2023-09 is effective for fiscal years beginning after December 15, 2024. The Company is currently evaluating the standard; however, it is not expected to have a material impact on the Company's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SALES COMMISSIONS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to be entitled in exchange for transferring those goods or services. Revenue is recognized based on the following five step model:</w:t>
      </w:r>
    </w:p>
    <w:p>
      <w:pPr>
        <w:spacing w:after="0" w:line="207" w:lineRule="exact"/>
        <w:rPr>
          <w:sz w:val="20"/>
          <w:szCs w:val="20"/>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69,918</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67,473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73,095</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70,339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208,482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recognized $0.2 million and $0.3 million in impairment losses on receivables and contract assets arising from the Company's contracts with customers, respectively. For the nine months ended September 30, 2024 and 2023, the Company recognized $2.0 million and $0.7 million in impairment losses on receivables and contract assets arising from the Company's contracts with customers,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recognized revenues of $45.0 million and $42.2 million, respectively, from amounts included in deferred revenue at the beginning of the respective periods. During the nine months ended September 30, 2024 and 2023, the Company recognized revenues of $79.4 million and $76.0 million, respectively, from amounts included in deferred revenue at the beginning of the respective periods. As of September 30, 2024, approximately $549 million of revenue is expected to be recognized from remaining performance obligations under contracts with customers. The Company expects to recognize revenue related to approximately 43% of these remaining performance obligations over the next 12 months, with the remaining amounts recognized thereafter.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employees are considered incremental and recoverable costs of obtaining a contract with a customer. The Company recorded amortization of deferred commissions of $3.1 million and $3.0 million for the three months ended September 30, 2024 and 2023, respectively, and $9.1 million and $8.5 million for the nine months ended September 30, 2024 and 2023, respectively, which is included in sales and marketing expenses in the accompanying Condensed Consolidated Statements of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September 30, 2024 and 2023, the Company recorded a provision for income taxes of $1.8 million and $1.6 million, respectively. During the nine months ended September 30, 2024 and 2023, the Company recorded a provision for income taxes of $4.2 million and $2.5 million, respectively.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effective tax rate was 22% and 19% for the nine months ended September 30, 2024 and 2023, respectively. The Company’s effective tax rate primarily reflects the statutory corporate income tax rate, the net effect of state taxes, foreign income taxes, the effect of various permanent tax differences, and recognition of discrete tax items. The Company recognizes excess tax benefits and tax deficiencies associated with stock-based awards as a component of its provision for income taxes. During the nine months ended September 30, 2024, the Company recorded discrete tax expense of $0.1 million, which consisted primarily of discrete tax expense of $0.2 million related to reserves for uncertain tax positions, partially offset by a $0.1 million discrete tax benefit associated with stock-based awards. During the nine months ended September 30, 2023, the Company recorded discrete tax benefits of $0.1 million, which consisted primarily of tax benefits associated with changes in state apportionment rules in Tennessee upon the enactment of the Tennessee Works Tax Act in the amount of $0.6 million, and stock-based awards in the amount of $0.1 million. This tax benefit for the nine months ended September 30, 2023 was partially offset by $0.3 million of discrete tax expense related to reserves for uncertain tax positions and $0.3 million of discrete tax expense associated with the Company merging VerityStream, Inc. ("VerityStream") into HealthStream.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Company's Board of Directors (“Board”) declared the following quarterly dividends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policy: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Dividend Declaration Date</w:t>
            </w: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Dividend Per Share</w:t>
            </w:r>
          </w:p>
        </w:tc>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100" w:type="dxa"/>
            <w:vAlign w:val="bottom"/>
          </w:tcPr>
          <w:p>
            <w:pPr>
              <w:spacing w:after="0"/>
              <w:rPr>
                <w:sz w:val="20"/>
                <w:szCs w:val="20"/>
                <w:color w:val="auto"/>
              </w:rPr>
            </w:pPr>
          </w:p>
        </w:tc>
      </w:tr>
      <w:tr>
        <w:trPr>
          <w:trHeight w:val="22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2024</w:t>
            </w:r>
          </w:p>
        </w:tc>
        <w:tc>
          <w:tcPr>
            <w:tcW w:w="3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February 19,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0.028</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11, 2024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849,000</w:t>
            </w: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22, 2024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0.028</w:t>
            </w:r>
          </w:p>
        </w:tc>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851,000</w:t>
            </w:r>
          </w:p>
        </w:tc>
      </w:tr>
      <w:tr>
        <w:trPr>
          <w:trHeight w:val="21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16, 2024</w:t>
            </w:r>
          </w:p>
        </w:tc>
        <w:tc>
          <w:tcPr>
            <w:tcW w:w="39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July 22, 2024</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0.028</w:t>
            </w:r>
          </w:p>
        </w:tc>
        <w:tc>
          <w:tcPr>
            <w:tcW w:w="1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August 5, 2024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dividends</w:t>
            </w:r>
          </w:p>
        </w:tc>
        <w:tc>
          <w:tcPr>
            <w:tcW w:w="3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0.084</w:t>
            </w:r>
          </w:p>
        </w:tc>
        <w:tc>
          <w:tcPr>
            <w:tcW w:w="14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2,551,000</w:t>
            </w:r>
          </w:p>
        </w:tc>
      </w:tr>
      <w:tr>
        <w:trPr>
          <w:trHeight w:val="20"/>
        </w:trPr>
        <w:tc>
          <w:tcPr>
            <w:tcW w:w="2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on October 21, 2024, the Board declared a quarterly cash dividend of $0.028 per share, payable on November 15, 2024 to holders of record on November 4,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stock awards outstanding under its 2016 Omnibus Incentive Plan and 2022 Omnibus Incentive Plan. The Company accounts for its stock-based compensation plans using the fair-value based method for costs related to share-based payments, including restricted share units (“RSUs”) and stock options. During the nine months ended September 30, 2024, the Company issued 110,573 RSUs subject to service-based time vesting, with a weighted average grant date fair value of $27.80 per share, measured based on the closing fair market value of the Company's stock on the date of the grant. During the nine months ended September 30, 2023, the Company issued 128,942 RSUs subject to service-based time vesting, with a weighted average grant date fair value of $23.61 per share, measured based on the closing fair market value of the Company’s stock on the date of grant.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6,100 performance-based RSUs, the vesting of which occurs over a five-year period in increments of 10%, 15%, 20%, 25%, and 30% and is contingent upon continued service and achieving certain performance criteria established by the compensation committee of the Board (the “Compensation Committee”) on an annual basis based on performance in 2024, 2025, 2026, 2027, and 2028, respectively. The performance criteria for the first-year tranche, or 610 of these performance-based RSUs, is based on 2024 adjusted EBITDA. The measurement date for these 610 performance-based RSUs was established during the nine months ended September 30, 2024 with a weighted average grant date fair value of $28.79 per share, measured based on the closing fair market value of the Company's stock on the date the performance criteria was established. The performance criteria for the remaining 5,490 performance-based RSUs has not yet been determined and will be established on an annual basis in 2025, 2026, 2027, and 2028, as applicable; therefore, the measurement date for these remaining 5,490 performance-based RSUs cannot be determined until the performance criteria have been established.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granted 138,000 performance-based RSUs, the vesting of which occurs over a five-year period in increments of 15%, 20%, 20%, 20%, and 25% and is contingent upon continued service and achieving certain performance criteria established by the compensation committee of the Board (the “Compensation Committee”) on an annual basis based on performance in 2023, 2024, 2025, 2026, and 2027, respectively. The performance criteria for the second-year tranche, or 27,600 of these performance-based RSUs, is based on 2024 adjusted EBITDA. The measurement date for these 27,600 performance-based RSUs was established during the nine months ended September 30, 2024 with a weighted average grant date fair value of $26.79 per share, measured based on the closing fair market value of the Company's stock on the date the performance criteria was established. The performance criteria for the remaining 89,700 performance-based RSUs has not yet been determined and will be established on an annual basis in 2025, 2026, and 2027, as applicable; therefore, the measurement date for these remaining 89,700 performance-based RSUs cannot be determined until the performance criteria have been established.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91,042 performance-based RSUs, the vesting of which occurs over a five-year period in increments of 15%, 20%, 20%, 20%, and 25% and is contingent upon continued service and achieving certain performance criteria established by the Compensation Committee on an annual basis based on performance in 2022, 2023, 2024, 2025, and 2026, respectively. The performance criteria and measurement date for the third-year tranche, or 18,211 of these performance-based RSUs, is based on 2024 adjusted EBITDA and was established during the nine months ended September 30, 2024 with a grant date fair value of $26.79 per share, measured based on the closing fair market value of the Company's stock on the date the performance criteria was established. The performance criteria for the remaining 40,967 performance-based RSUs has not yet been determined and will be established on an annual basis in 2025 and 2026, as applicable; therefore, the measurement date for these remaining 40,967 performance-based RSUs cannot be determined until the performance criteria have been established.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r>
      <w:tr>
        <w:trPr>
          <w:trHeight w:val="20"/>
        </w:trPr>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w:t>
            </w:r>
          </w:p>
        </w:tc>
      </w:tr>
      <w:tr>
        <w:trPr>
          <w:trHeight w:val="413"/>
        </w:trPr>
        <w:tc>
          <w:tcPr>
            <w:tcW w:w="49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177,000 and 340,000 for the three months ended September 30, 2024 and 2023, respectively, and 169,000 and 278,000 for the nine months ended September 30,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10,623</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30,653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30,734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5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37,404</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37,357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37,404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fair value based on quoted market prices or alternative pricing sources and models utilizing market observable inputs. As of September 30, 2024, the Company did not recognize any allowance for credit impairments on its available for sale securities. All investments in marketable securities are classified as current assets on the Condensed Consolidated Balance Sheets because the underlying securities mature within one year from the balance sheet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2023, the Company entered into an Amended and Restated Revolving Credit Agreement (“Revolving Credit Facility”), amending the Revolving Credit Facility dated as of November 24, 2014, as amended, with certain lenders party thereto from time to time, and Truist, as Administrative Agent for the lenders. Under the Revolving Credit Facility, the Company may 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October 6, 2026.</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Company’s election, the borrowings under the Revolving Credit Facility, other than the swingline loans, bear interest at either (1) a base rate defined as the highest of (a) the rate which the Administrative Agent announces from time to time as its prime lending rate, as in effect from time to time, or (b) the Federal Funds Rate, as in effect from time to time, plus one-half of one percent (0.50%) per annum (any changes in such rates to be effective as of the date of any change in such rate), plus in each case an applicable margin that varies with the company’s funded debt leverage ratio; or (2)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two (2)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is payable in full at maturity on October 6, 2026, and there are no scheduled principal payments prior to maturity. 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Amended and Restated Revolving Credit Agreement), and for stock repurchase and/or redemption transactions that the Company may authorize.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required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was in compliance with all covenants. There were no balances outstanding on the Revolving Credit Facility as of or during the three and nine months ended September 30,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Special Cautionary Notice Regarding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2023, appearing in our Annual Report on Form 10-K that was filed with the Securities and Exchange Commission (“SEC”) on February 26, 2024 (the “2023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set forth above and the risks set forth under the caption Part I, Item 1A. Risk Factors in our 2023 Form 10-K and other disclosures in our 2023 Form 10-K, earnings releases, and other filings with the SEC from time to time, as well as other cautionary statements contained elsewhere in this Form 10-Q, including our critical accounting policies and estimates as discussed in this Form 10-Q and our 2023 Form 10-K. We undertake no obligation to update or revise any forward-looking statements. You should read this Form 10-Q and the documents that we reference in this Form 10-Q and have filed as exhibits to this Form 10-Q completely and with the understanding that our actual future results may be materially different from what we currently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metrics for the third quarter of 2024 are set forth in the bullets below.</w:t>
      </w:r>
    </w:p>
    <w:p>
      <w:pPr>
        <w:spacing w:after="0" w:line="2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$73.1 million in the third quarter of 2024, up 3.9% from $70.3 million in the third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$6.5 million in the third quarter of 2024, up 33.6% from $4.9 million in the third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$5.7 million in the third quarter of 2024, up 48.0% from $3.9 million in the third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 of $0.19 per share (diluted) in the third quarter of 2024, up from $0.13 per share (diluted) in the third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$17.7 million in the third quarter of 2024, up 9.0% from $16.2 million in the third quarter of 2023</w:t>
      </w:r>
    </w:p>
    <w:p>
      <w:pPr>
        <w:spacing w:after="0" w:line="138" w:lineRule="exact"/>
        <w:rPr>
          <w:sz w:val="20"/>
          <w:szCs w:val="20"/>
          <w:color w:val="auto"/>
        </w:rPr>
      </w:pPr>
    </w:p>
    <w:p>
      <w:pPr>
        <w:ind w:left="220" w:hanging="212"/>
        <w:spacing w:after="0" w:line="200" w:lineRule="auto"/>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is a non-GAAP financial measure. A reconciliation of adjusted EBITDA to net income and disclosure regarding why we believe adjusted EBITDA provides useful information to investors is included later in this Form 10-Q.</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conditions in the U.S. continue to be challenging in various respects, including as the result of inflationary pressures, interest rate levels, which, despite recent declines, remain elevated, and uncertain geopolitical conditions. In this regard, we have experienced in certain recent periods, and believe that many of our customers have experienced, increased labor, supply chain, capital, and other expenditures associated with inflationary conditions. These conditions impacting the U.S. economy and our customers in the healthcare industry have adversely affected, and may continue to adversely impact, our business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COVID-19 pandemic continues to cause some level of uncertainty, the impact of the pandemic itself on public health and economic conditions has significantly lessened and normalized to the point of reaching an endemic stage. As our business is focused on providing solutions to healthcare organizations, we continue to closely monitor any developments related to COVID-19 or other public health related events and remain prepared to modify our operating approaches to address COVID 19-related developments or other public health related events as they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financial metrics in connection with managing our business.</w:t>
      </w:r>
    </w:p>
    <w:p>
      <w:pPr>
        <w:spacing w:after="0" w:line="223" w:lineRule="exact"/>
        <w:rPr>
          <w:sz w:val="20"/>
          <w:szCs w:val="20"/>
          <w:color w:val="auto"/>
        </w:rPr>
      </w:pPr>
    </w:p>
    <w:p>
      <w:pPr>
        <w:jc w:val="both"/>
        <w:ind w:left="420" w:hanging="210"/>
        <w:spacing w:after="0" w:line="25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and, for businesses acquired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adoption of ASU 2021-08 on January 1, 2022, reflects deferred revenue write-downs associated with fair value accounting for such acquired businesses. Revenues, net, were $73.1 million and $217.4 million for the three and nine months ended September 30, 2024, respectively, compared to $70.3 million and $208.5 million for the three and nine months ended September 30, 2023, respectively. Management utilizes revenue in connection with managing our business and believes that this metric provides useful information to investors as a key indicator of the growth and success of our products.</w:t>
      </w:r>
    </w:p>
    <w:p>
      <w:pPr>
        <w:spacing w:after="0" w:line="182" w:lineRule="exact"/>
        <w:rPr>
          <w:rFonts w:ascii="Times New Roman" w:cs="Times New Roman" w:eastAsia="Times New Roman" w:hAnsi="Times New Roman"/>
          <w:sz w:val="18"/>
          <w:szCs w:val="18"/>
          <w:color w:val="auto"/>
        </w:rPr>
      </w:pPr>
    </w:p>
    <w:p>
      <w:pPr>
        <w:jc w:val="both"/>
        <w:ind w:left="420" w:hanging="210"/>
        <w:spacing w:after="0" w:line="26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represents revenues, net, less all expenses. Net income was $5.7 million and $15.1 million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respectively, compared to $3.9 million and $10.6 million for the three and nine months ended September 30, 2023. Management utilizes net income in connection with managing our business, including with regard to our capital deployment strategies.</w:t>
      </w:r>
    </w:p>
    <w:p>
      <w:pPr>
        <w:spacing w:after="0" w:line="173" w:lineRule="exact"/>
        <w:rPr>
          <w:rFonts w:ascii="Times New Roman" w:cs="Times New Roman" w:eastAsia="Times New Roman" w:hAnsi="Times New Roman"/>
          <w:sz w:val="18"/>
          <w:szCs w:val="18"/>
          <w:color w:val="auto"/>
        </w:rPr>
      </w:pPr>
    </w:p>
    <w:p>
      <w:pPr>
        <w:jc w:val="both"/>
        <w:ind w:left="420" w:hanging="210"/>
        <w:spacing w:after="0" w:line="255"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on the achievement of adjusted EBITDA (as defined in applicable bonus and equity grant documentation) targets. Adjusted EBITDA was $17.7 million and $50.6 million for the three and nine months ended September 30, 2024, respectively, compared to $16.2 million and $45.3 million for the three and nine months ended September 30, 2023, respectively.</w:t>
      </w:r>
    </w:p>
    <w:p>
      <w:pPr>
        <w:spacing w:after="0" w:line="184" w:lineRule="exact"/>
        <w:rPr>
          <w:rFonts w:ascii="Times New Roman" w:cs="Times New Roman" w:eastAsia="Times New Roman" w:hAnsi="Times New Roman"/>
          <w:sz w:val="18"/>
          <w:szCs w:val="18"/>
          <w:color w:val="auto"/>
        </w:rPr>
      </w:pPr>
    </w:p>
    <w:p>
      <w:pPr>
        <w:jc w:val="both"/>
        <w:ind w:left="420" w:hanging="210"/>
        <w:spacing w:after="0" w:line="25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represent cash payments incurred for purchases of property and equipment and during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for projects to develop software and content. Capital expenditures were $6.8 million and $21.3 million for the three and nine months ended September 30, 2024, respectively, compared to $6.7 million and $21.4 million for the three and nine months ended September 30, 2023, respectively.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GAAP. These accounting principles require us to make certain estimates, judgments, and assumptions during the preparation of our Condensed Consolidated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Condensed Consolidated Financial Statements, as well as the reported amounts of revenues and expenses during the periods presented and related disclosures. To the extent there are material differences between these estimates, judgments, or assumptions and actual results, our Condensed Consolidated Financial Statements will be affected.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162" w:lineRule="exact"/>
        <w:rPr>
          <w:sz w:val="20"/>
          <w:szCs w:val="20"/>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2023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2023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$2.8 million, or 4%, to $73.1 million for the three months ended September 30, 2024 from $70.3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2023. Subscription revenues increased $2.5 million, or 4%, and professional services revenues increased by $0.3 million, or 11%, compared to the third quarter of 2023. The increase in professional services revenues is primarily due to a one-time payment as a result of a customer acquisition.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00" w:type="dxa"/>
            <w:vAlign w:val="bottom"/>
            <w:gridSpan w:val="7"/>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13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69,918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67,473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3,177</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73,095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70,339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$0.9 million, or 4%, to $24.5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from $23.6 million for the three months ended September 30, 2023. Cost of revenues as a percentage of revenues were 33% and 34% for the three months ended September 30, 2024 and 2023, respectively. The increase in expense is primarily associated with higher costs for software and cloud hosting as well as an increase in labor costs and royalties.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$1.2 million, or 11%, to $12.1 million for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$10.9 million for the three months ended September 30, 2023. Product development expenses as a percentage of revenues were 17% and 15% for the three months ended September 30, 2024 and 2023, respectively. The increase is primarily due to an increase in labor costs, partially offset by an increase in capitalized labor associated with software development activities.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$0.2 million, or 2%, to $11.5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from $11.3 million for the three months ended September 30, 2023. Sales and marketing expenses were 16% of revenues for both the three months ended September 30, 2024 and 2023. The increase in expense is primarily due to increases in commissions and software expense, which were partially offset by a decrease in labor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decreased $0.8 million, or 9%, to $8.5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2024, from $9.3 million for the three months ended September 30, 2023. Other general and administrative expenses were 12% and 13% of revenues for the three months ended September 30, 2024 and 2023, respectively. The decrease is primarily due to a $0.4 million recovery of sales taxes from prior software expense payments, partially offset by increased share-based compensation.</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$0.3 million, or 3%, to $10.1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from $10.4 million for the three months ended September 30, 2023. This decrease is primarily a result of a decrease in amortization associated with capitalized software resulting from the recovery of sales taxes from prior capitalized payments related to contract labor associated with software development activities.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$1.0 million for the three months ended September 30, 2024, compared to $0.6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2023. The increase is primarily the result of an increase in interest income earned on cash and investments during the three months ended September 30, 2024.</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$1.8 million for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$1.6 million for the three months ended September 30, 2023. The Company’s effective tax rate was 23% for the three months ended September 30, 2024, compared to 29% for the three months ended September 30, 2023. The Company’s effective tax rate primarily reflects the statutory corporate income tax rate, the net effect of state taxes, foreign income taxes, the effect of various permanent tax differences, and recognition of discrete tax items. During the three months ended September 30, 2024, the Company recorded discrete tax expense of $88,000, which consisted primarily of discrete tax expense related to reserves for uncertain tax positions. During the three months ended September 30, 2023, the Company recorded discrete tax expense of $0.5 million, which consisted primarily of tax expense in the amount of $0.3 million resulting from the impact of merging VerityStream into HealthStream and $0.1 million related to reserves for uncertain tax positions.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$5.7 million and $3.9 million for the three months ended September 30, 2024 and 2023, respectively. EPS was $0.19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and $0.13 per share (diluted) for the three months ended September 30, 2024 and 2023,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$17.7 million for the three months ended September 30, 2024, compared to $16.2 million for the three months ended September 30, 2023.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$8.9 million, or 4%, to $217.4 million for the nine months ended September 30, 2024 from $208.5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Subscription revenues increased $9.1 million, or 5%, but were partially offset by $0.2 million of declines from professional services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209,136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199,993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8,275</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8,489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217,411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208,482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$1.8 million, or 3%, to $72.8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from $71.0 million for the nine months ended September 30, 2023. Cost of revenues as a percentage of revenues were 33% and 34% the nine months ended September 30, 2024 and 2023, respectively. The increase in expense is primarily associated with higher software expenses and cloud hosting costs, partially offset by lower labor costs. Labor costs recognized during the nine months ended September 30, 2023 included severance costs incurred in connection with the Company's previously disclosed restructuring under a single platform strategy.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$2.6 million, or 8%, to $36.2 million for the nine months ended September 30,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$33.6 million for the nine months ended September 30, 2023. Product development expenses as a percentage of revenues were 17% and 16% for the nine months ended September 30, 2024 and 2023, respectively. The increase is primarily due to an increase in labor costs, partially offset by an increase in capitalized labor associated with software development activities.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$0.4 million, or 1%, to $34.7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from $34.3 million for the nine months ended September 30, 2023. Sales and marketing expenses were 16% of revenues for both the nine months ended September 30, 2024 and 2023. The increase in expense is primarily due to increases in general marketing expenses, commissions, and travel expenses, which were partially offset by a decrease in labor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decreased $0.9 million, or 3%, to $26.3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from $27.2 million for the nine months ended September 30, 2023. Other general and administrative expenses were 12% and 13% of revenues for the nine months ended September 30, 2024 and 2023, respectively. The decrease is primarily due to lower labor costs, professional service fees, and a $0.4 million recovery of sales taxes from prior software expense payments, which were partially offset by an increase in bad debt expense of $1.4 million, which was primarily associated with a single-customer bankruptcy.</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$0.2 million, or 1%, to $30.8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from $30.6 million for the nine months ended September 30, 2023. This increase is primarily a result of an increase in amortization associated with capitalized software.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$2.7 million for the nine months ended September 30, 2024, compared to $1.3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increase is primarily the result of an increase in interest income earned on cash and investments during the nine months ended September 30, 2024.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$4.2 million for the nine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$2.5 million for the nine months ended September 30, 2023. The Company’s effective tax rate was 22% for the nine months ended September 30, 2024, compared to 19% for the nine months ended September 30, 2023. The Company’s effective tax rate primarily reflects the statutory corporate income tax rate, the net effect of state taxes, foreign income taxes, the effect of various permanent tax differences, and recognition of discrete tax items. During the nine months ended September 30, 2024, the Company recorded discrete tax expense of $0.1 million, which consisted primarily of discrete tax expense of $0.2 million related to reserves for uncertain tax positions, partially offset by a $0.1 million discrete tax benefit associated with stock-based awards. During the nine months ended September 30, 2023, the Company recorded discrete tax benefits of $0.1 million, which consisted primarily of tax benefits in the amount of $0.6 million resulting from changes in state apportionment rules in Tennessee upon the enactment of the Tennessee Works Tax Act and stock-based awards in the amount of $0.1 million. This tax benefit was partially offset by $0.3 million of discrete tax expense related to reserves for uncertain tax positions and $0.3 million of discrete tax expenses related to the impact of merging VerityStream into HealthStream.</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$15.1 million and $10.6 million for the nine months ended September 30, 2024 and 2023, respectively. EPS was $0.50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(diluted) and $0.35 per share (diluted) for the nine months ended September 30, 2024 and 2023, respectively.</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was $50.6 million for the nine months ended September 30, 2024, compared to $45.3 million for the nine months ended September 30, 2023.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10-Q presents adjusted EBITDA, which is a non-GAAP financial measure used by management in analyzing our financial results and ongoing operational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In addition, as discussed below, for periods ended on or prior to December 31, 2023, adjusted EBITDA excludes the impact of deferred revenue write-downs associated with fair value accounting for acquired businesses. We believe that adjusted EBITDA is useful to investors to assess the Company’s ongoing operating performance and to compare the Company’s operating performance between periods. Additionally, certain short-term cash incentive bonuses and performance-based equity awards are based on the achievement of adjusted EBITDA (as defined in applicable bonus and equity grant documentation) targets.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In connection therewith, management determined that including an adjustment in the definition of adjusted EBITDA for the impact of the deferred revenue write-downs associated with fair value accounting for businesses acquired prior to the January 1, 2022 effective date of the Company's adoption of ASU 2021-08 (the “Pre-2022 Acquisitions”) provided useful information to investors because the deferred revenue write-down recognized in periods after any such Pre-2022 Acquisitions could, given the nature of this non-cash accounting impact, cause our GAAP financial results during such periods to not fully reflect our underlying operating performance. Following the adoption of ASU 2021-08, contracts acquired in an acquisition completed on or after January 1, 2022 have been measured as if the Company had originated the contract (rather than the contract being measured at fair value) such that, for such acquisitions, the Company no longer records deferred revenue write-downs associated with acquired businesses. With respect to periods ended on or prior to December 31, 2023, the Company has included an adjustment in the calculation of adjusted EBITDA for the impact of deferred revenue write-downs associated with the Pre-2022 Acquisitions consistent with this prior accounting standard, given the ongoing impact of such deferred revenue on the Company's financial results under GAAP over this time period. With respect to periods beginning on and after January 1, 2024, the Company no longer recognizes any deferred revenue write-downs associated with the Pre-2022 Acquisitions under GAAP, and accordingly such deferred revenue write-downs are not an adjustment in connection with the calculation of adjusted EBITDA for periods on and after January 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 analytical tool.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net income,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3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write-down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3,076</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non-marketable equity investments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17,702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16,245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45,322</w:t>
            </w:r>
          </w:p>
        </w:tc>
      </w:tr>
      <w:tr>
        <w:trPr>
          <w:trHeight w:val="413"/>
        </w:trPr>
        <w:tc>
          <w:tcPr>
            <w:tcW w:w="48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decreased by $3.7 million to $46.5 million during the nine months ended September 30, 2024, from $50.2 million during the nine months ended September 30, 2023. The decrease in net cash provided by operating activities is primarily due to a $3.6 million increase in income tax payments, while cash receipts increased modestly compared to the prior year. Our days sales outstanding (“DSO”) was 37 days for the third quarter of 2024 compared to 43 days for the third quarter of 2023.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$25.9 million for the nine months ended September 30, 2024, compared to $47.2 million for the nine months ended September 30, 2023. During the nine months ended September 30, 2024, the Company invested in marketable securities of $51.5 million, made payments for capitalized software development of $20.1 million, and purchased property and equipment of $1.2 million. These uses of cash were partially offset by $46.2 million in maturities of marketable securities and $0.8 million received upon the settlement and release of escrowed proceeds related to a prior sale of a non-marketable equity investment. During the nine months ended September 30, 2023, the Company spent $6.6 million for the acquisition of substantially all of the assets of Electronic Education Documentation System, LLC (“eeds”) (note: the eeds acquisition was consummated on December 31, 2022, but was funded in January 2023 such that the purchase price for eeds impacted net cash used in investing activities during the nine months ended September 30, 2023), invested in marketable securities of $38.2 million, made payments for capitalized software development of $19.6 million, and purchased property and equipment of $1.9 million. These uses of cash were partially offset by $19.0 million in maturities of marketable securities and $45,000 in proceeds from the sales of non-marketable equity investments.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was $3.5 million for the nine months ended September 30, 2024, compared to $4.8 million for the nine months ended September 30, 2023. The uses of cash for the nine months ended September 30, 2024 included $2.6 million for the payment of cash dividends and $0.9 million for the payment of employee payroll taxes in relation to the vesting of restricted share units. The uses of cash for the nine months ended September 30, 2023 included $2.3 million for the payment of cash dividends, $1.6 million for repurchases of common stock (note: share repurchases totaled $2.1 million during the nine months ended September 30, 2023, with $1.6 million paid in cash and $0.5 million included in accrued expenses in the Company's Condensed Consolidated Balance Sheet as of September 30, 2023), and $0.8 million for the payment of employee payroll taxes in relation to the vesting of restricted share units.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balance sheet reflects working capital of $35.1 million at September 30, 2024, compared to $11.8 million at December 31, 2023. The increase in working capital is primarily a result of an increase in cash and cash equivalents. The Company’s primary source of liquidity as of September 30, 2024 was $57.5 million of cash and cash equivalents and $37.4 million of marketable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$50.0 million revolving credit facility. There currently are no outstanding borrowings under the revolving credit facility. The revolving credit facility expires on October 6, 2026, unless earlier renewed or amended. For additional information regarding our revolving credit facility, see Note 8 to the Condensed Consolidated Financial Statements included herein.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announced a share repurchase program approved by the Company's Board under which the Company was authorized to purchase up to $10.0 million of the Company's outstanding shares of common stock. The share repurchase program expired according to its terms on March 31, 2024, and no repurchases occurred during the three months ended March 31, 2024. During the term of this program, the Company repurchased a total of 404,188 shares under this program at an aggregate fair value of $8.9 million, based on an average price per share of $22.07 (excluding the cost of broker commissions). We may elect in the future to adopt a new share repurchase program.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20, 2023, we announced that our Board approved a quarterly dividend policy. Under this dividend policy, our Board declared, and the Company paid, quarterly cash dividends on our common stock at the rate of $0.025 per share during the year ended December 31, 2023. On February 19, 2024, our Board approved a quarterly dividend under this dividend policy at a rate of $0.028 per share, which was paid on March 22, 2024 to the holders of record of our common stock on March 11, 2024. On April 22, 2024, the Board approved a quarterly cash dividend of $0.028 per share, which was paid on May 17, 2024 to holders of record of our common stock on May 6, 2024. On July 22, 2024, the Board approved a quarterly cash dividend of $0.028 per share, which was paid on August 16, 2024 to holders of record of our common stock on August 5, 2024. On October 21, 2024, the Board approved a quarterly cash dividend of $0.028 per share, which will be payable on November 15, 2024 to holders of record of our common stock on November 4,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dividend payments, any repurchases of shares we may elect to make under any future share repurchase program, and capital expenditures for at least the next 12 months and for the foreseeable future thereafter.</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new revolving credit facility would be dependent on the covenant calculations at the time of borrowing. As of September 30, 2024,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commodity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$94.9 million at September 30, 2024. Assuming a hypothetical 10% decrease in interest rates for invested balances, interest income from cash and investments would decrease on an annualized basis by $0.4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third quarter of 2024 that has materially affected, or that is reasonably likely to materially affect, HealthStream’s internal control over financial reporting.</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the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Without limiting the generality of the foregoing, the Company did not have any share repurchase program in effect and did not purchase any shares of common stock of the Company during the three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three months ended September 30, 2024, no director or officer of the Company adopted or terminated any “Rule 10b5-1 trading arrangement,” or any “non-Rule 10b-5 trading arrangement,” as such terms are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17"/>
                <w:szCs w:val="17"/>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ind w:left="1040" w:hanging="103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has been formatted in Inline</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October 24, 2024</w:t>
            </w:r>
          </w:p>
        </w:tc>
        <w:tc>
          <w:tcPr>
            <w:tcW w:w="784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By:   /s/ Scott A. Roberts</w:t>
            </w:r>
          </w:p>
        </w:tc>
      </w:tr>
      <w:tr>
        <w:trPr>
          <w:trHeight w:val="191"/>
        </w:trPr>
        <w:tc>
          <w:tcPr>
            <w:tcW w:w="34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4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400" w:type="dxa"/>
            <w:vAlign w:val="bottom"/>
          </w:tcPr>
          <w:p>
            <w:pPr>
              <w:spacing w:after="0"/>
              <w:rPr>
                <w:sz w:val="24"/>
                <w:szCs w:val="24"/>
                <w:color w:val="auto"/>
              </w:rPr>
            </w:pPr>
          </w:p>
        </w:tc>
        <w:tc>
          <w:tcPr>
            <w:tcW w:w="31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22</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696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4280" w:type="dxa"/>
            <w:vAlign w:val="bottom"/>
          </w:tcPr>
          <w:p>
            <w:pPr>
              <w:spacing w:after="0"/>
              <w:rPr>
                <w:sz w:val="16"/>
                <w:szCs w:val="16"/>
                <w:color w:val="auto"/>
              </w:rPr>
            </w:pPr>
          </w:p>
        </w:tc>
        <w:tc>
          <w:tcPr>
            <w:tcW w:w="6960" w:type="dxa"/>
            <w:vAlign w:val="bottom"/>
          </w:tcPr>
          <w:p>
            <w:pPr>
              <w:ind w:left="258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4280" w:type="dxa"/>
            <w:vAlign w:val="bottom"/>
          </w:tcPr>
          <w:p>
            <w:pPr>
              <w:spacing w:after="0"/>
              <w:rPr>
                <w:sz w:val="20"/>
                <w:szCs w:val="20"/>
                <w:color w:val="auto"/>
              </w:rPr>
            </w:pPr>
          </w:p>
        </w:tc>
        <w:tc>
          <w:tcPr>
            <w:tcW w:w="69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698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4260" w:type="dxa"/>
            <w:vAlign w:val="bottom"/>
          </w:tcPr>
          <w:p>
            <w:pPr>
              <w:spacing w:after="0"/>
              <w:rPr>
                <w:sz w:val="16"/>
                <w:szCs w:val="16"/>
                <w:color w:val="auto"/>
              </w:rPr>
            </w:pPr>
          </w:p>
        </w:tc>
        <w:tc>
          <w:tcPr>
            <w:tcW w:w="6980" w:type="dxa"/>
            <w:vAlign w:val="bottom"/>
          </w:tcPr>
          <w:p>
            <w:pPr>
              <w:ind w:left="2560"/>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4260" w:type="dxa"/>
            <w:vAlign w:val="bottom"/>
          </w:tcPr>
          <w:p>
            <w:pPr>
              <w:spacing w:after="0"/>
              <w:rPr>
                <w:sz w:val="20"/>
                <w:szCs w:val="20"/>
                <w:color w:val="auto"/>
              </w:rPr>
            </w:pPr>
          </w:p>
        </w:tc>
        <w:tc>
          <w:tcPr>
            <w:tcW w:w="6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2024,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2024</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2024,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2024-10-24T15:59:45Z</dcterms:created>
  <dcterms:modified xsi:type="dcterms:W3CDTF">2024-10-24T15:59:45Z</dcterms:modified>
</cp:coreProperties>
</file>