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September 30, 2022</w:t>
      </w:r>
    </w:p>
    <w:p>
      <w:pPr>
        <w:spacing w:after="0" w:line="225" w:lineRule="exact"/>
        <w:rPr>
          <w:sz w:val="24"/>
          <w:szCs w:val="24"/>
          <w:color w:val="auto"/>
        </w:rPr>
      </w:pPr>
    </w:p>
    <w:p>
      <w:pPr>
        <w:ind w:left="4380" w:right="4060" w:hanging="4372"/>
        <w:spacing w:after="0" w:line="547" w:lineRule="auto"/>
        <w:tabs>
          <w:tab w:leader="none" w:pos="368"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000-27701</w:t>
      </w: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17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00" w:type="dxa"/>
            <w:vAlign w:val="bottom"/>
            <w:gridSpan w:val="8"/>
          </w:tcPr>
          <w:p>
            <w:pPr>
              <w:jc w:val="center"/>
              <w:ind w:left="650"/>
              <w:spacing w:after="0"/>
              <w:rPr>
                <w:sz w:val="20"/>
                <w:szCs w:val="20"/>
                <w:color w:val="auto"/>
              </w:rPr>
            </w:pPr>
            <w:r>
              <w:rPr>
                <w:rFonts w:ascii="Arial" w:cs="Arial" w:eastAsia="Arial" w:hAnsi="Arial"/>
                <w:sz w:val="18"/>
                <w:szCs w:val="18"/>
                <w:b w:val="1"/>
                <w:bCs w:val="1"/>
                <w:color w:val="auto"/>
                <w:w w:val="90"/>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900" w:type="dxa"/>
            <w:vAlign w:val="bottom"/>
            <w:gridSpan w:val="8"/>
          </w:tcPr>
          <w:p>
            <w:pPr>
              <w:jc w:val="center"/>
              <w:ind w:left="650"/>
              <w:spacing w:after="0"/>
              <w:rPr>
                <w:sz w:val="20"/>
                <w:szCs w:val="20"/>
                <w:color w:val="auto"/>
              </w:rPr>
            </w:pPr>
            <w:r>
              <w:rPr>
                <w:rFonts w:ascii="Arial" w:cs="Arial" w:eastAsia="Arial" w:hAnsi="Arial"/>
                <w:sz w:val="18"/>
                <w:szCs w:val="18"/>
                <w:b w:val="1"/>
                <w:bCs w:val="1"/>
                <w:color w:val="auto"/>
                <w:w w:val="91"/>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414"/>
        </w:trPr>
        <w:tc>
          <w:tcPr>
            <w:tcW w:w="4900" w:type="dxa"/>
            <w:vAlign w:val="bottom"/>
            <w:gridSpan w:val="8"/>
          </w:tcPr>
          <w:p>
            <w:pPr>
              <w:jc w:val="center"/>
              <w:ind w:left="650"/>
              <w:spacing w:after="0"/>
              <w:rPr>
                <w:sz w:val="20"/>
                <w:szCs w:val="20"/>
                <w:color w:val="auto"/>
              </w:rPr>
            </w:pPr>
            <w:r>
              <w:rPr>
                <w:rFonts w:ascii="Arial" w:cs="Arial" w:eastAsia="Arial" w:hAnsi="Arial"/>
                <w:sz w:val="18"/>
                <w:szCs w:val="18"/>
                <w:b w:val="1"/>
                <w:bCs w:val="1"/>
                <w:color w:val="auto"/>
                <w:w w:val="89"/>
              </w:rPr>
              <w:t>500 11th Avenue North, Suite 1000,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900" w:type="dxa"/>
            <w:vAlign w:val="bottom"/>
            <w:gridSpan w:val="8"/>
          </w:tcPr>
          <w:p>
            <w:pPr>
              <w:jc w:val="center"/>
              <w:ind w:left="650"/>
              <w:spacing w:after="0" w:line="194" w:lineRule="exact"/>
              <w:rPr>
                <w:sz w:val="20"/>
                <w:szCs w:val="20"/>
                <w:color w:val="auto"/>
              </w:rPr>
            </w:pPr>
            <w:r>
              <w:rPr>
                <w:rFonts w:ascii="Arial" w:cs="Arial" w:eastAsia="Arial" w:hAnsi="Arial"/>
                <w:sz w:val="18"/>
                <w:szCs w:val="18"/>
                <w:b w:val="1"/>
                <w:bCs w:val="1"/>
                <w:color w:val="auto"/>
                <w:w w:val="85"/>
              </w:rPr>
              <w:t>Nashville, Tennessee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37203</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8"/>
          </w:tcPr>
          <w:p>
            <w:pPr>
              <w:jc w:val="center"/>
              <w:ind w:left="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8"/>
          </w:tcPr>
          <w:p>
            <w:pPr>
              <w:jc w:val="center"/>
              <w:ind w:left="2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900" w:type="dxa"/>
            <w:vAlign w:val="bottom"/>
            <w:gridSpan w:val="8"/>
          </w:tcPr>
          <w:p>
            <w:pPr>
              <w:jc w:val="center"/>
              <w:ind w:right="1140"/>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Arial" w:cs="Arial" w:eastAsia="Arial" w:hAnsi="Arial"/>
                <w:sz w:val="18"/>
                <w:szCs w:val="18"/>
                <w:color w:val="auto"/>
                <w:w w:val="97"/>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740" w:type="dxa"/>
            <w:vAlign w:val="bottom"/>
            <w:gridSpan w:val="7"/>
          </w:tcPr>
          <w:p>
            <w:pPr>
              <w:jc w:val="center"/>
              <w:spacing w:after="0"/>
              <w:rPr>
                <w:sz w:val="20"/>
                <w:szCs w:val="20"/>
                <w:color w:val="auto"/>
              </w:rPr>
            </w:pPr>
            <w:r>
              <w:rPr>
                <w:rFonts w:ascii="Arial" w:cs="Arial" w:eastAsia="Arial" w:hAnsi="Arial"/>
                <w:sz w:val="18"/>
                <w:szCs w:val="18"/>
                <w:color w:val="auto"/>
                <w:w w:val="90"/>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24, 2022, there were 30,573,066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18"/>
          </w:tcPr>
          <w:p>
            <w:pPr>
              <w:spacing w:after="0"/>
              <w:rPr>
                <w:sz w:val="20"/>
                <w:szCs w:val="20"/>
                <w:color w:val="auto"/>
              </w:rPr>
            </w:pPr>
            <w:r>
              <w:rPr>
                <w:rFonts w:ascii="Arial" w:cs="Arial" w:eastAsia="Arial" w:hAnsi="Arial"/>
                <w:sz w:val="18"/>
                <w:szCs w:val="18"/>
                <w:color w:val="0000EE"/>
              </w:rPr>
              <w:t>Table of Contents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6"/>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line="207" w:lineRule="exact"/>
              <w:rPr>
                <w:sz w:val="20"/>
                <w:szCs w:val="20"/>
                <w:color w:val="auto"/>
              </w:rPr>
            </w:pPr>
            <w:r>
              <w:rPr>
                <w:rFonts w:ascii="Arial" w:cs="Arial" w:eastAsia="Arial" w:hAnsi="Arial"/>
                <w:sz w:val="18"/>
                <w:szCs w:val="18"/>
                <w:b w:val="1"/>
                <w:bCs w:val="1"/>
                <w:color w:val="auto"/>
                <w:w w:val="94"/>
              </w:rPr>
              <w:t>Index to Form 10</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rPr>
                <w:sz w:val="20"/>
                <w:szCs w:val="20"/>
                <w:color w:val="auto"/>
              </w:rPr>
            </w:pPr>
            <w:r>
              <w:rPr>
                <w:rFonts w:ascii="Arial" w:cs="Arial" w:eastAsia="Arial" w:hAnsi="Arial"/>
                <w:sz w:val="18"/>
                <w:szCs w:val="18"/>
                <w:b w:val="1"/>
                <w:bCs w:val="1"/>
                <w:color w:val="auto"/>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34"/>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Arial" w:cs="Arial" w:eastAsia="Arial" w:hAnsi="Arial"/>
                <w:sz w:val="18"/>
                <w:szCs w:val="18"/>
                <w:color w:val="auto"/>
              </w:rPr>
              <w:t>Part I.</w:t>
            </w:r>
          </w:p>
        </w:tc>
        <w:tc>
          <w:tcPr>
            <w:tcW w:w="15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3"/>
              </w:rPr>
              <w:t>Financial Information</w:t>
            </w:r>
          </w:p>
        </w:tc>
        <w:tc>
          <w:tcPr>
            <w:tcW w:w="7720" w:type="dxa"/>
            <w:vAlign w:val="bottom"/>
            <w:gridSpan w:val="10"/>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1</w:t>
            </w:r>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sz w:val="20"/>
                <w:szCs w:val="20"/>
                <w:color w:val="auto"/>
              </w:rPr>
            </w:pPr>
            <w:r>
              <w:rPr>
                <w:rFonts w:ascii="Arial" w:cs="Arial" w:eastAsia="Arial" w:hAnsi="Arial"/>
                <w:sz w:val="18"/>
                <w:szCs w:val="18"/>
                <w:color w:val="0000EE"/>
              </w:rPr>
              <w:t>Financial Statements</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72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8"/>
              </w:rPr>
              <w:t>Condensed Consolidated Balance Sheets (Unaudited) – September 30, 2022 and December 31, 2021</w:t>
            </w:r>
          </w:p>
        </w:tc>
        <w:tc>
          <w:tcPr>
            <w:tcW w:w="206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w w:val="93"/>
              </w:rPr>
              <w:t>Condensed Consolidated Statements of Income (Unaudited) – Three and Nine Months ended September 30, 2022 and 2021</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2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2"/>
              </w:rPr>
              <w:t>Condensed Consolidated Statements of Comprehensive Income (Unaudited) – Three and Nine Months ended September 30,</w:t>
            </w:r>
          </w:p>
        </w:tc>
        <w:tc>
          <w:tcPr>
            <w:tcW w:w="2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3</w:t>
            </w:r>
          </w:p>
        </w:tc>
        <w:tc>
          <w:tcPr>
            <w:tcW w:w="2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000EE"/>
              </w:rPr>
              <w:t>2022 and 2021</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w w:val="91"/>
              </w:rPr>
              <w:t>Condensed Consolidated Statement of Shareholders' Equity (Unaudited) – Three and Nine Months ended September 30, 2022</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4</w:t>
            </w:r>
          </w:p>
        </w:tc>
      </w:tr>
      <w:tr>
        <w:trPr>
          <w:trHeight w:val="196"/>
        </w:trPr>
        <w:tc>
          <w:tcPr>
            <w:tcW w:w="940" w:type="dxa"/>
            <w:vAlign w:val="bottom"/>
          </w:tcPr>
          <w:p>
            <w:pPr>
              <w:spacing w:after="0"/>
              <w:rPr>
                <w:sz w:val="17"/>
                <w:szCs w:val="17"/>
                <w:color w:val="auto"/>
              </w:rPr>
            </w:pPr>
          </w:p>
        </w:tc>
        <w:tc>
          <w:tcPr>
            <w:tcW w:w="926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and 2021</w:t>
            </w:r>
          </w:p>
        </w:tc>
        <w:tc>
          <w:tcPr>
            <w:tcW w:w="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w w:val="98"/>
              </w:rPr>
              <w:t>Condensed Consolidated Statements of Cash Flows (Unaudited) – Nine Months ended September 30, 2022 and 2021</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5</w:t>
            </w:r>
          </w:p>
        </w:tc>
      </w:tr>
      <w:tr>
        <w:trPr>
          <w:trHeight w:val="250"/>
        </w:trPr>
        <w:tc>
          <w:tcPr>
            <w:tcW w:w="940" w:type="dxa"/>
            <w:vAlign w:val="bottom"/>
          </w:tcPr>
          <w:p>
            <w:pPr>
              <w:spacing w:after="0"/>
              <w:rPr>
                <w:sz w:val="21"/>
                <w:szCs w:val="21"/>
                <w:color w:val="auto"/>
              </w:rPr>
            </w:pPr>
          </w:p>
        </w:tc>
        <w:tc>
          <w:tcPr>
            <w:tcW w:w="842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880" w:type="dxa"/>
            <w:vAlign w:val="bottom"/>
            <w:gridSpan w:val="4"/>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79"/>
              </w:rPr>
              <w:t>6</w:t>
            </w:r>
          </w:p>
        </w:tc>
        <w:tc>
          <w:tcPr>
            <w:tcW w:w="20" w:type="dxa"/>
            <w:vAlign w:val="bottom"/>
          </w:tcPr>
          <w:p>
            <w:pPr>
              <w:spacing w:after="0"/>
              <w:rPr>
                <w:sz w:val="21"/>
                <w:szCs w:val="2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2.</w:t>
            </w:r>
          </w:p>
        </w:tc>
        <w:tc>
          <w:tcPr>
            <w:tcW w:w="6440" w:type="dxa"/>
            <w:vAlign w:val="bottom"/>
            <w:gridSpan w:val="11"/>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11</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3.</w:t>
            </w:r>
          </w:p>
        </w:tc>
        <w:tc>
          <w:tcPr>
            <w:tcW w:w="6440" w:type="dxa"/>
            <w:vAlign w:val="bottom"/>
            <w:gridSpan w:val="11"/>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sz w:val="20"/>
                <w:szCs w:val="20"/>
                <w:color w:val="auto"/>
              </w:rPr>
            </w:pPr>
            <w:r>
              <w:rPr>
                <w:rFonts w:ascii="Arial" w:cs="Arial" w:eastAsia="Arial" w:hAnsi="Arial"/>
                <w:sz w:val="18"/>
                <w:szCs w:val="18"/>
                <w:color w:val="0000EE"/>
              </w:rPr>
              <w:t>Controls and Procedures</w:t>
            </w:r>
          </w:p>
        </w:tc>
        <w:tc>
          <w:tcPr>
            <w:tcW w:w="5000" w:type="dxa"/>
            <w:vAlign w:val="bottom"/>
            <w:gridSpan w:val="8"/>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5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Part II.</w:t>
            </w:r>
          </w:p>
        </w:tc>
        <w:tc>
          <w:tcPr>
            <w:tcW w:w="1320" w:type="dxa"/>
            <w:vAlign w:val="bottom"/>
            <w:gridSpan w:val="5"/>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gridSpan w:val="3"/>
          </w:tcPr>
          <w:p>
            <w:pPr>
              <w:spacing w:after="0"/>
              <w:rPr>
                <w:sz w:val="21"/>
                <w:szCs w:val="21"/>
                <w:color w:val="auto"/>
              </w:rPr>
            </w:pPr>
          </w:p>
        </w:tc>
        <w:tc>
          <w:tcPr>
            <w:tcW w:w="7540" w:type="dxa"/>
            <w:vAlign w:val="bottom"/>
            <w:gridSpan w:val="9"/>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sz w:val="20"/>
                <w:szCs w:val="20"/>
                <w:color w:val="auto"/>
              </w:rPr>
            </w:pPr>
            <w:r>
              <w:rPr>
                <w:rFonts w:ascii="Arial" w:cs="Arial" w:eastAsia="Arial" w:hAnsi="Arial"/>
                <w:sz w:val="18"/>
                <w:szCs w:val="18"/>
                <w:color w:val="0000EE"/>
              </w:rPr>
              <w:t>Risk Factors</w:t>
            </w:r>
          </w:p>
        </w:tc>
        <w:tc>
          <w:tcPr>
            <w:tcW w:w="7980" w:type="dxa"/>
            <w:vAlign w:val="bottom"/>
            <w:gridSpan w:val="12"/>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sz w:val="20"/>
                <w:szCs w:val="20"/>
                <w:color w:val="auto"/>
              </w:rPr>
            </w:pPr>
            <w:r>
              <w:rPr>
                <w:rFonts w:ascii="Arial" w:cs="Arial" w:eastAsia="Arial" w:hAnsi="Arial"/>
                <w:sz w:val="18"/>
                <w:szCs w:val="18"/>
                <w:color w:val="0000EE"/>
                <w:w w:val="88"/>
              </w:rPr>
              <w:t>Exhibits</w:t>
            </w:r>
          </w:p>
        </w:tc>
        <w:tc>
          <w:tcPr>
            <w:tcW w:w="300" w:type="dxa"/>
            <w:vAlign w:val="bottom"/>
          </w:tcPr>
          <w:p>
            <w:pPr>
              <w:spacing w:after="0"/>
              <w:rPr>
                <w:sz w:val="21"/>
                <w:szCs w:val="21"/>
                <w:color w:val="auto"/>
              </w:rPr>
            </w:pPr>
          </w:p>
        </w:tc>
        <w:tc>
          <w:tcPr>
            <w:tcW w:w="8400" w:type="dxa"/>
            <w:vAlign w:val="bottom"/>
            <w:gridSpan w:val="14"/>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rPr>
              <w:t>SIGNATURE</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EE"/>
              </w:rPr>
              <w:t>22</w:t>
            </w:r>
          </w:p>
        </w:tc>
      </w:tr>
      <w:tr>
        <w:trPr>
          <w:trHeight w:val="622"/>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6"/>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r>
      <w:tr>
        <w:trPr>
          <w:trHeight w:val="199"/>
        </w:trPr>
        <w:tc>
          <w:tcPr>
            <w:tcW w:w="8000" w:type="dxa"/>
            <w:vAlign w:val="bottom"/>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48,257</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46,905</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3,587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5,041</w:t>
            </w:r>
          </w:p>
        </w:tc>
      </w:tr>
      <w:tr>
        <w:trPr>
          <w:trHeight w:val="19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 of allowance for doubtful accounts of $661 and $853 at September 30, 2022 and</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December 31, 2021,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30,308</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Accounts receivable - unbilled</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6,243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4,612</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royalties, net of amortization</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9,155</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Other prepaid expenses and other current assets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10,824</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104,351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106,845</w:t>
            </w:r>
          </w:p>
        </w:tc>
      </w:tr>
      <w:tr>
        <w:trPr>
          <w:trHeight w:val="203"/>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w w:val="93"/>
              </w:rPr>
              <w:t>Property and equipment, net of accumulated depreciation of $21,262 and $17,999 at September 30, 2022 and December</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31, 2021,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17,950</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w w:val="93"/>
              </w:rPr>
              <w:t>Capitalized software development, net of accumulated amortization of $100,024 and $86,097 at September 30, 2022 and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December 31, 2021, respectively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32,412</w:t>
            </w:r>
          </w:p>
        </w:tc>
      </w:tr>
      <w:tr>
        <w:trPr>
          <w:trHeight w:val="206"/>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 net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25,168</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188,367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182,501</w:t>
            </w:r>
          </w:p>
        </w:tc>
      </w:tr>
      <w:tr>
        <w:trPr>
          <w:trHeight w:val="19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w w:val="98"/>
              </w:rPr>
              <w:t>Customer-related intangibles, net of accumulated amortization of $52,204 and $45,615 at September 30, 2022 and</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2021,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68,803</w:t>
            </w:r>
          </w:p>
        </w:tc>
      </w:tr>
      <w:tr>
        <w:trPr>
          <w:trHeight w:val="193"/>
        </w:trPr>
        <w:tc>
          <w:tcPr>
            <w:tcW w:w="8000" w:type="dxa"/>
            <w:vAlign w:val="bottom"/>
          </w:tcPr>
          <w:p>
            <w:pPr>
              <w:spacing w:after="0"/>
              <w:rPr>
                <w:sz w:val="20"/>
                <w:szCs w:val="20"/>
                <w:color w:val="auto"/>
              </w:rPr>
            </w:pPr>
            <w:r>
              <w:rPr>
                <w:rFonts w:ascii="Arial" w:cs="Arial" w:eastAsia="Arial" w:hAnsi="Arial"/>
                <w:sz w:val="16"/>
                <w:szCs w:val="16"/>
                <w:color w:val="auto"/>
                <w:w w:val="93"/>
              </w:rPr>
              <w:t>Other intangible assets, net of accumulated amortization of $21,054 and $16,752 at September 30, 2022 and December</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ind w:left="180"/>
              <w:spacing w:after="0"/>
              <w:rPr>
                <w:sz w:val="20"/>
                <w:szCs w:val="20"/>
                <w:color w:val="auto"/>
              </w:rPr>
            </w:pPr>
            <w:r>
              <w:rPr>
                <w:rFonts w:ascii="Arial" w:cs="Arial" w:eastAsia="Arial" w:hAnsi="Arial"/>
                <w:sz w:val="16"/>
                <w:szCs w:val="16"/>
                <w:color w:val="auto"/>
              </w:rPr>
              <w:t>31, 2021, respectively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18,950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20,402</w:t>
            </w:r>
          </w:p>
        </w:tc>
      </w:tr>
      <w:tr>
        <w:trPr>
          <w:trHeight w:val="205"/>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601</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Deferred commissions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26,377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24,012</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Non-marketable equity investments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7,043</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481,197</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486,753</w:t>
            </w:r>
          </w:p>
        </w:tc>
      </w:tr>
      <w:tr>
        <w:trPr>
          <w:trHeight w:val="183"/>
        </w:trPr>
        <w:tc>
          <w:tcPr>
            <w:tcW w:w="80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ind w:left="218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22,196</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21,497</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Accrued royalties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5,037</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77,585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73,816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105,390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100,350</w:t>
            </w:r>
          </w:p>
        </w:tc>
      </w:tr>
      <w:tr>
        <w:trPr>
          <w:trHeight w:val="203"/>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18,761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18,146</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noncurrent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1,583</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Operating lease liability, noncurrent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26,178</w:t>
            </w:r>
          </w:p>
        </w:tc>
      </w:tr>
      <w:tr>
        <w:trPr>
          <w:trHeight w:val="203"/>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Other long term liabilities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1,477</w:t>
            </w: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Common stock, no par value, 75,000 shares authorized; 30,573 and 31,327 shares issued and outstanding at</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September 30, 2022 and December 31, 2021, respectively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270,791</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77,764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68,122</w:t>
            </w:r>
          </w:p>
        </w:tc>
      </w:tr>
      <w:tr>
        <w:trPr>
          <w:trHeight w:val="20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 income</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w:t>
            </w:r>
          </w:p>
        </w:tc>
      </w:tr>
      <w:tr>
        <w:trPr>
          <w:trHeight w:val="196"/>
        </w:trPr>
        <w:tc>
          <w:tcPr>
            <w:tcW w:w="8000" w:type="dxa"/>
            <w:vAlign w:val="bottom"/>
            <w:tcBorders>
              <w:top w:val="single" w:sz="8" w:color="CCEEFF"/>
            </w:tcBorders>
          </w:tcPr>
          <w:p>
            <w:pPr>
              <w:ind w:left="66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330,282</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339,019</w:t>
            </w:r>
          </w:p>
        </w:tc>
        <w:tc>
          <w:tcPr>
            <w:tcW w:w="100" w:type="dxa"/>
            <w:vAlign w:val="bottom"/>
            <w:tcBorders>
              <w:top w:val="single" w:sz="8" w:color="CCEEFF"/>
            </w:tcBorders>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481,197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486,753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rPr>
              <w:t>HEALTHSTREAM,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60" w:type="dxa"/>
            <w:vAlign w:val="bottom"/>
            <w:gridSpan w:val="9"/>
          </w:tcPr>
          <w:p>
            <w:pPr>
              <w:jc w:val="center"/>
              <w:ind w:left="950"/>
              <w:spacing w:after="0"/>
              <w:rPr>
                <w:sz w:val="20"/>
                <w:szCs w:val="20"/>
                <w:color w:val="auto"/>
              </w:rPr>
            </w:pPr>
            <w:r>
              <w:rPr>
                <w:rFonts w:ascii="Arial" w:cs="Arial" w:eastAsia="Arial" w:hAnsi="Arial"/>
                <w:sz w:val="18"/>
                <w:szCs w:val="18"/>
                <w:b w:val="1"/>
                <w:bCs w:val="1"/>
                <w:color w:val="auto"/>
              </w:rPr>
              <w:t>CONDENSED CONSOLIDATED STATEMENTS OF INCOME (UNAUDITED)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080" w:type="dxa"/>
            <w:vAlign w:val="bottom"/>
            <w:gridSpan w:val="5"/>
          </w:tcPr>
          <w:p>
            <w:pPr>
              <w:jc w:val="center"/>
              <w:ind w:left="25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64,091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198,290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192,374</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Cost of revenues (excluding depreciation and amortization)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68,053</w:t>
            </w:r>
          </w:p>
        </w:tc>
      </w:tr>
      <w:tr>
        <w:trPr>
          <w:trHeight w:val="216"/>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Product development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11,476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32,470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30,205</w:t>
            </w: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28,713</w:t>
            </w:r>
          </w:p>
        </w:tc>
      </w:tr>
      <w:tr>
        <w:trPr>
          <w:trHeight w:val="216"/>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27,856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29,445</w:t>
            </w:r>
          </w:p>
        </w:tc>
      </w:tr>
      <w:tr>
        <w:trPr>
          <w:trHeight w:val="21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27,443</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ind w:left="660"/>
              <w:spacing w:after="0"/>
              <w:rPr>
                <w:sz w:val="20"/>
                <w:szCs w:val="20"/>
                <w:color w:val="auto"/>
              </w:rPr>
            </w:pPr>
            <w:r>
              <w:rPr>
                <w:rFonts w:ascii="Arial" w:cs="Arial" w:eastAsia="Arial" w:hAnsi="Arial"/>
                <w:sz w:val="18"/>
                <w:szCs w:val="18"/>
                <w:color w:val="auto"/>
              </w:rPr>
              <w:t>Total operating costs and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62,306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188,918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183,859</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8,515</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2,945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12,317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8,265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3,666</w:t>
            </w:r>
          </w:p>
        </w:tc>
        <w:tc>
          <w:tcPr>
            <w:tcW w:w="2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6,232</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1600" w:type="dxa"/>
            <w:vAlign w:val="bottom"/>
            <w:gridSpan w:val="2"/>
          </w:tcPr>
          <w:p>
            <w:pPr>
              <w:ind w:left="136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0.12</w:t>
            </w:r>
          </w:p>
        </w:tc>
        <w:tc>
          <w:tcPr>
            <w:tcW w:w="26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0.05</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0.31</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0.20</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31,558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30,672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31,538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30,662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31,684</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30,717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31,609</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rPr>
              <w:t>HEALTHSTREAM,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ind w:right="60"/>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1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(In thousands)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24"/>
                <w:szCs w:val="24"/>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1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 of taxes:</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4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0"/>
        </w:trPr>
        <w:tc>
          <w:tcPr>
            <w:tcW w:w="12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8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1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2"/>
          </w:tcPr>
          <w:p>
            <w:pPr>
              <w:jc w:val="center"/>
              <w:ind w:right="60"/>
              <w:spacing w:after="0"/>
              <w:rPr>
                <w:sz w:val="20"/>
                <w:szCs w:val="20"/>
                <w:color w:val="auto"/>
              </w:rPr>
            </w:pPr>
            <w:r>
              <w:rPr>
                <w:rFonts w:ascii="Arial" w:cs="Arial" w:eastAsia="Arial" w:hAnsi="Arial"/>
                <w:sz w:val="18"/>
                <w:szCs w:val="18"/>
                <w:b w:val="1"/>
                <w:bCs w:val="1"/>
                <w:color w:val="auto"/>
                <w:w w:val="99"/>
              </w:rPr>
              <w:t>CONDENSED CONSOLIDATED STATEMENTS OF SHAREHOLDERS' EQUITY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w w:val="90"/>
              </w:rPr>
              <w:t>Nine Months Ended September 30, 2022</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left="25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270,791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68,122</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339,019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2,893</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withheld for employee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(19,889)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(19,889)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71,015</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322,572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3,083</w:t>
            </w:r>
          </w:p>
        </w:tc>
        <w:tc>
          <w:tcPr>
            <w:tcW w:w="840" w:type="dxa"/>
            <w:vAlign w:val="bottom"/>
          </w:tcPr>
          <w:p>
            <w:pPr>
              <w:spacing w:after="0"/>
              <w:rPr>
                <w:sz w:val="17"/>
                <w:szCs w:val="17"/>
                <w:color w:val="auto"/>
              </w:rPr>
            </w:pPr>
          </w:p>
        </w:tc>
        <w:tc>
          <w:tcPr>
            <w:tcW w:w="5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(780)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Issuance of common stock in acquisition</w:t>
            </w: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4,084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withheld for employee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June 30, 2022</w:t>
            </w:r>
          </w:p>
        </w:tc>
        <w:tc>
          <w:tcPr>
            <w:tcW w:w="1140" w:type="dxa"/>
            <w:vAlign w:val="bottom"/>
          </w:tcPr>
          <w:p>
            <w:pPr>
              <w:jc w:val="right"/>
              <w:spacing w:after="0"/>
              <w:rPr>
                <w:sz w:val="20"/>
                <w:szCs w:val="20"/>
                <w:color w:val="auto"/>
              </w:rPr>
            </w:pPr>
            <w:r>
              <w:rPr>
                <w:rFonts w:ascii="Arial" w:cs="Arial" w:eastAsia="Arial" w:hAnsi="Arial"/>
                <w:sz w:val="18"/>
                <w:szCs w:val="18"/>
                <w:color w:val="auto"/>
              </w:rPr>
              <w:t>30,570</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253,036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74,098</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(402)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326,732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Common stock issued under stock plans, net of shares withheld for employee taxes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at September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3,666</w:t>
            </w:r>
          </w:p>
        </w:tc>
        <w:tc>
          <w:tcPr>
            <w:tcW w:w="400" w:type="dxa"/>
            <w:vAlign w:val="bottom"/>
          </w:tcPr>
          <w:p>
            <w:pPr>
              <w:spacing w:after="0"/>
              <w:rPr>
                <w:sz w:val="17"/>
                <w:szCs w:val="17"/>
                <w:color w:val="auto"/>
              </w:rPr>
            </w:pPr>
          </w:p>
        </w:tc>
        <w:tc>
          <w:tcPr>
            <w:tcW w:w="10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3,666</w:t>
            </w:r>
          </w:p>
        </w:tc>
      </w:tr>
      <w:tr>
        <w:trPr>
          <w:trHeight w:val="216"/>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(1,014)</w:t>
            </w: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r>
      <w:tr>
        <w:trPr>
          <w:trHeight w:val="418"/>
        </w:trPr>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30,573</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253,934</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77,764</w:t>
            </w: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330,282</w:t>
            </w:r>
          </w:p>
        </w:tc>
        <w:tc>
          <w:tcPr>
            <w:tcW w:w="60" w:type="dxa"/>
            <w:vAlign w:val="bottom"/>
          </w:tcPr>
          <w:p>
            <w:pPr>
              <w:spacing w:after="0"/>
              <w:rPr>
                <w:sz w:val="18"/>
                <w:szCs w:val="18"/>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-574040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-161925</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rPr>
              <w:t>Common Stock</w:t>
            </w:r>
          </w:p>
        </w:tc>
        <w:tc>
          <w:tcPr>
            <w:tcW w:w="1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2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6"/>
        </w:trPr>
        <w:tc>
          <w:tcPr>
            <w:tcW w:w="2460" w:type="dxa"/>
            <w:vAlign w:val="bottom"/>
            <w:tcBorders>
              <w:bottom w:val="single" w:sz="8" w:color="auto"/>
            </w:tcBorders>
            <w:gridSpan w:val="2"/>
            <w:vMerge w:val="continue"/>
          </w:tcPr>
          <w:p>
            <w:pPr>
              <w:spacing w:after="0"/>
              <w:rPr>
                <w:sz w:val="19"/>
                <w:szCs w:val="19"/>
                <w:color w:val="auto"/>
              </w:rPr>
            </w:pPr>
          </w:p>
        </w:tc>
        <w:tc>
          <w:tcPr>
            <w:tcW w:w="1340" w:type="dxa"/>
            <w:vAlign w:val="bottom"/>
          </w:tcPr>
          <w:p>
            <w:pPr>
              <w:ind w:left="420"/>
              <w:spacing w:after="0"/>
              <w:rPr>
                <w:sz w:val="20"/>
                <w:szCs w:val="20"/>
                <w:color w:val="auto"/>
              </w:rPr>
            </w:pPr>
            <w:r>
              <w:rPr>
                <w:rFonts w:ascii="Arial" w:cs="Arial" w:eastAsia="Arial" w:hAnsi="Arial"/>
                <w:sz w:val="18"/>
                <w:szCs w:val="18"/>
                <w:b w:val="1"/>
                <w:bCs w:val="1"/>
                <w:color w:val="auto"/>
              </w:rPr>
              <w:t>Retained</w:t>
            </w:r>
          </w:p>
        </w:tc>
        <w:tc>
          <w:tcPr>
            <w:tcW w:w="150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10"/>
        </w:trPr>
        <w:tc>
          <w:tcPr>
            <w:tcW w:w="1220" w:type="dxa"/>
            <w:vAlign w:val="bottom"/>
          </w:tcPr>
          <w:p>
            <w:pPr>
              <w:ind w:left="320"/>
              <w:spacing w:after="0"/>
              <w:rPr>
                <w:sz w:val="20"/>
                <w:szCs w:val="20"/>
                <w:color w:val="auto"/>
              </w:rPr>
            </w:pPr>
            <w:r>
              <w:rPr>
                <w:rFonts w:ascii="Arial" w:cs="Arial" w:eastAsia="Arial" w:hAnsi="Arial"/>
                <w:sz w:val="18"/>
                <w:szCs w:val="18"/>
                <w:b w:val="1"/>
                <w:bCs w:val="1"/>
                <w:color w:val="auto"/>
              </w:rPr>
              <w:t>Shares</w:t>
            </w:r>
          </w:p>
        </w:tc>
        <w:tc>
          <w:tcPr>
            <w:tcW w:w="1240" w:type="dxa"/>
            <w:vAlign w:val="bottom"/>
          </w:tcPr>
          <w:p>
            <w:pPr>
              <w:ind w:left="380"/>
              <w:spacing w:after="0"/>
              <w:rPr>
                <w:sz w:val="20"/>
                <w:szCs w:val="20"/>
                <w:color w:val="auto"/>
              </w:rPr>
            </w:pPr>
            <w:r>
              <w:rPr>
                <w:rFonts w:ascii="Arial" w:cs="Arial" w:eastAsia="Arial" w:hAnsi="Arial"/>
                <w:sz w:val="18"/>
                <w:szCs w:val="18"/>
                <w:b w:val="1"/>
                <w:bCs w:val="1"/>
                <w:color w:val="auto"/>
              </w:rPr>
              <w:t>Amount</w:t>
            </w:r>
          </w:p>
        </w:tc>
        <w:tc>
          <w:tcPr>
            <w:tcW w:w="1340" w:type="dxa"/>
            <w:vAlign w:val="bottom"/>
          </w:tcPr>
          <w:p>
            <w:pPr>
              <w:ind w:left="420"/>
              <w:spacing w:after="0"/>
              <w:rPr>
                <w:sz w:val="20"/>
                <w:szCs w:val="20"/>
                <w:color w:val="auto"/>
              </w:rPr>
            </w:pPr>
            <w:r>
              <w:rPr>
                <w:rFonts w:ascii="Arial" w:cs="Arial" w:eastAsia="Arial" w:hAnsi="Arial"/>
                <w:sz w:val="18"/>
                <w:szCs w:val="18"/>
                <w:b w:val="1"/>
                <w:bCs w:val="1"/>
                <w:color w:val="auto"/>
              </w:rPr>
              <w:t>Earnings</w:t>
            </w:r>
          </w:p>
        </w:tc>
        <w:tc>
          <w:tcPr>
            <w:tcW w:w="150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Income</w:t>
            </w:r>
          </w:p>
        </w:tc>
        <w:tc>
          <w:tcPr>
            <w:tcW w:w="12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3900" w:space="720"/>
            <w:col w:w="662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Balance at December 31, 2020</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31,493</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271,784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62,277</w:t>
            </w:r>
          </w:p>
        </w:tc>
        <w:tc>
          <w:tcPr>
            <w:tcW w:w="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334,062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2,291</w:t>
            </w:r>
          </w:p>
        </w:tc>
        <w:tc>
          <w:tcPr>
            <w:tcW w:w="4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3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withheld for employee taxes</w:t>
            </w: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31,553</w:t>
            </w:r>
          </w:p>
        </w:tc>
        <w:tc>
          <w:tcPr>
            <w:tcW w:w="2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272,001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64,569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336,805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2,441</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620" w:type="dxa"/>
            <w:vAlign w:val="bottom"/>
          </w:tcPr>
          <w:p>
            <w:pPr>
              <w:spacing w:after="0"/>
              <w:rPr>
                <w:sz w:val="20"/>
                <w:szCs w:val="20"/>
                <w:color w:val="auto"/>
              </w:rPr>
            </w:pPr>
            <w:r>
              <w:rPr>
                <w:rFonts w:ascii="Arial" w:cs="Arial" w:eastAsia="Arial" w:hAnsi="Arial"/>
                <w:sz w:val="18"/>
                <w:szCs w:val="18"/>
                <w:color w:val="auto"/>
              </w:rPr>
              <w:t>withheld for employee taxes</w:t>
            </w: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272,783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67,010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340,379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1,500</w:t>
            </w:r>
          </w:p>
        </w:tc>
        <w:tc>
          <w:tcPr>
            <w:tcW w:w="480" w:type="dxa"/>
            <w:vAlign w:val="bottom"/>
          </w:tcPr>
          <w:p>
            <w:pPr>
              <w:spacing w:after="0"/>
              <w:rPr>
                <w:sz w:val="17"/>
                <w:szCs w:val="17"/>
                <w:color w:val="auto"/>
              </w:rPr>
            </w:pPr>
          </w:p>
        </w:tc>
        <w:tc>
          <w:tcPr>
            <w:tcW w:w="9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862</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withheld for employee taxes</w:t>
            </w: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31,562</w:t>
            </w:r>
          </w:p>
        </w:tc>
        <w:tc>
          <w:tcPr>
            <w:tcW w:w="2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273,573</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68,510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342,198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108" w:right="3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HEALTHSTREAM,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9,642</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6,232</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28,334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27,443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Amortization of deferred commissions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7,826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6,900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fixed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on non-marketable equity investments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paid time off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non-marketable equity investments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(3,596)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and unbilled receivables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royalties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commissions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(10,192)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(9,854)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(3,062)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royalties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(6,223)</w:t>
            </w: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36,436</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Business combinations, net of cash acquired</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(4,009)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(5,601)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(5,223)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to acquire equity method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(17,392)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(16,577)</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fixed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sale of non-marketable equity investments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3,494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(2,602)</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(18,027)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(16,952)</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cash dividends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(23,655)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36,566</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nine months ended September 30, 2022 are not necessarily indicative of the results that may be expected for the year ending December 31, 2022.</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 at December 31, 2021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2021 (included in the Company's Annual Report on Form 10-K, filed with the Securities and Exchange Commission on February 28,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October 2021, the Financial Accounting Standards Board issued Accounting Standards Update ("ASU") 2021-08</w:t>
      </w:r>
      <w:r>
        <w:rPr>
          <w:rFonts w:ascii="Arial" w:cs="Arial" w:eastAsia="Arial" w:hAnsi="Arial"/>
          <w:sz w:val="16"/>
          <w:szCs w:val="16"/>
          <w:i w:val="1"/>
          <w:iCs w:val="1"/>
          <w:color w:val="auto"/>
        </w:rPr>
        <w:t>, Business Combinations (Topic 805):</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Contract Assets and Contract Liabilities from Contracts with Customers. </w:t>
      </w:r>
      <w:r>
        <w:rPr>
          <w:rFonts w:ascii="Arial" w:cs="Arial" w:eastAsia="Arial" w:hAnsi="Arial"/>
          <w:sz w:val="16"/>
          <w:szCs w:val="16"/>
          <w:color w:val="auto"/>
        </w:rPr>
        <w:t>The new guidance requires contract assets and contract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in a business combination to be recognized and measured by the acquirer on the acquisition date in accordance with Accounting Standards Codification ("ASC") 606</w:t>
      </w:r>
      <w:r>
        <w:rPr>
          <w:rFonts w:ascii="Arial" w:cs="Arial" w:eastAsia="Arial" w:hAnsi="Arial"/>
          <w:sz w:val="16"/>
          <w:szCs w:val="16"/>
          <w:i w:val="1"/>
          <w:iCs w:val="1"/>
          <w:color w:val="auto"/>
        </w:rPr>
        <w:t>, Revenue from Contracts with Customers</w:t>
      </w:r>
      <w:r>
        <w:rPr>
          <w:rFonts w:ascii="Arial" w:cs="Arial" w:eastAsia="Arial" w:hAnsi="Arial"/>
          <w:sz w:val="16"/>
          <w:szCs w:val="16"/>
          <w:color w:val="auto"/>
        </w:rPr>
        <w:t>, as if it had originated the contracts. This approach differs from the previous requirement to measure contract assets and contract liabilities acquired in a business combination at fair value. The standard is effective for the first interim period within annual reporting periods beginning after December 15, 2022 and early adoption is permitted. The Company early adopted this ASU on January 1, 2022, and the impact of the new standard is dependent on the magnitude of future acquisitions but has not had a material impact to date. The standard does not impact contract assets or liabilities from business combinations that occurred prior to the adoption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225" w:lineRule="exact"/>
        <w:rPr>
          <w:sz w:val="20"/>
          <w:szCs w:val="20"/>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revenues disaggregated by revenue source (in thousands). Sales taxes are excluded from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Three Months Ended September 30, 2022</w:t>
            </w:r>
          </w:p>
        </w:tc>
        <w:tc>
          <w:tcPr>
            <w:tcW w:w="120" w:type="dxa"/>
            <w:vAlign w:val="bottom"/>
          </w:tcPr>
          <w:p>
            <w:pPr>
              <w:spacing w:after="0"/>
              <w:rPr>
                <w:sz w:val="20"/>
                <w:szCs w:val="20"/>
                <w:color w:val="auto"/>
              </w:rPr>
            </w:pPr>
          </w:p>
        </w:tc>
        <w:tc>
          <w:tcPr>
            <w:tcW w:w="37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 30, 2022</w:t>
            </w:r>
          </w:p>
        </w:tc>
      </w:tr>
      <w:tr>
        <w:trPr>
          <w:trHeight w:val="191"/>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Workforce</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Provider</w:t>
            </w: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Workforce</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Provider</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Segments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Solutions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Solutions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Consolidated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Solutions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Solutions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100" w:type="dxa"/>
            <w:vAlign w:val="bottom"/>
          </w:tcPr>
          <w:p>
            <w:pPr>
              <w:spacing w:after="0"/>
              <w:rPr>
                <w:sz w:val="20"/>
                <w:szCs w:val="20"/>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153,871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188,613</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1,502</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4,705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4,972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9,677</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13,222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158,576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39,714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198,290</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Three Months Ended September 30, 2021</w:t>
            </w:r>
          </w:p>
        </w:tc>
        <w:tc>
          <w:tcPr>
            <w:tcW w:w="120" w:type="dxa"/>
            <w:vAlign w:val="bottom"/>
          </w:tcPr>
          <w:p>
            <w:pPr>
              <w:spacing w:after="0"/>
              <w:rPr>
                <w:sz w:val="20"/>
                <w:szCs w:val="20"/>
                <w:color w:val="auto"/>
              </w:rPr>
            </w:pPr>
          </w:p>
        </w:tc>
        <w:tc>
          <w:tcPr>
            <w:tcW w:w="37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 30, 2021</w:t>
            </w:r>
          </w:p>
        </w:tc>
      </w:tr>
      <w:tr>
        <w:trPr>
          <w:trHeight w:val="191"/>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Workforce</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3"/>
              </w:rPr>
              <w:t>Provider</w:t>
            </w:r>
          </w:p>
        </w:tc>
        <w:tc>
          <w:tcPr>
            <w:tcW w:w="3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Workforce</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Provider</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Segments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Solutions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Solutions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Consolidated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Solutions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Solutions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100" w:type="dxa"/>
            <w:vAlign w:val="bottom"/>
          </w:tcPr>
          <w:p>
            <w:pPr>
              <w:spacing w:after="0"/>
              <w:rPr>
                <w:sz w:val="20"/>
                <w:szCs w:val="20"/>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10,973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32,475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182,714</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1,963</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3,389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4,320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5,340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9,660</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12,936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192,374</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2022 and 2021, the Company recognized a reduction of $44,000 and a charge of $96,000 in impairment losses on receivables and contract assets arising from the Company's contracts with customers, respectively. For the nine months ended September 30, 2022 and 2021, the Company recognized $0.4 million and $0.1 million in impairment losses on receivables and contract assets arising from the Company’s contracts with customers, respectively.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revenue represents contract liabilities that are recorded when cash payments are received or are due in advance of our satisfaction of performance obligations. During the three months ended September 30, 2022 and 2021, we recognized revenues of approximately $39.9 million and $39.4 million, respectively, from amounts included in deferred revenue at the beginning of the respective periods. During the nine months ended September 30, 2022 and 2021, we recognized $67.9 million and $59.3 million of revenue from amounts included in deferred revenues at the beginning of the respective periods. As of September 30, 2022, approximately $473 million of revenue is expected to be recognized from remaining performance obligations under contracts with customers. We expect to recognize revenue related to approximately 44% of these remaining performance obligations over the next 12 months, with the remaining amounts recognized thereafter.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Under ASC 606, costs to acquire contracts with customers, such as the initial sales commission payment and associated payroll taxes, are capitalized in the period a customer contract is entered into and are amortized consistent with the transfer of the goods or services to the customer over the expected period of benefit. Capitalized contract costs are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approximately $2.8 million and $2.4 million for the three months ended September 30, 2022 and 2021, and $7.8 million and $6.9 million for the nine months ended September 30, 2022 and 2021, respectively, which is included in sales and marketing expenses in the accompanying Condensed Consolidated Statements of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computes its interim period provision for income taxes by applying the estimated annual effective tax rate to year-to-date pretax income or loss and adjusts the provision for discrete tax items recorded in the period. During the three months ended September 30, 2022 and 2021, the Company recorded a provision for income taxes of approximately $1.3 million and $0.2 million, respectively. During the nine months ended September 30, 2022 and 2021, the Company recorded a provision for income taxes of $2.7 million and $2.0 million, respectively. The Company’s effective tax rate was 22% and 25% for the nine months ended September 30, 2022 and 2021, respectively. The Company’s effective tax rate primarily reflects the statutory corporate income tax rate, the net effect of state taxes, foreign income taxes, and the effect of various permanent tax differences. The Company recognizes excess tax benefits and tax deficiencies associated with stock-based awards as a component of its provision for income taxes. During the nine months ended September 30, 2022, the Company recorded discrete tax benefits of $16,000, which consisted primarily of a $0.3 million tax benefit associated with a nontaxable gain of $0.9 million recognized from the change in fair value of our previously held minority interest in CloudCME, LLC as well as a $0.1 million tax benefit for changes in estimated tax credits. This tax benefit was partially offset by $0.3 million of tax expense related to uncertain tax positions and $0.1 million of excess tax deficiencies associated with stock-based awards. During the nine months ended September 30, 2021, the Company recorded discrete tax expense of $0.2 million related to purchase accounting adjustments, the impact of a state tax rate changes enacted during the period, and changes in estimated tax credits.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stock awards outstanding under its 2016 Omnibus Incentive Plan and 2022 Omnibus Incentive Plan. The 2022 Omnibus Incentive Plan was approved at the annual meeting of shareholders held on May 26, 2022. The Company accounts for its stock-based compensation plans using the fair-value based method for costs related to share-based payments, including restricted share units (“RSUs”) and stock options. During the nine months ended September 30, 2022, the Company issued 140,473 RSUs subject to service-based time vesting, with a weighted average grant date fair value of $20.31 per share, measured based on the closing fair market value of the Company's stock on the date of the grant. During the nine months ended September 30, 2021, the Company issued 129,906 RSUs subject to service-based time vesting with a weighted average grant date fair value of $23.44 per share, measured based on the closing fair market value of the Company’s stock on the date of grant.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2018</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granted 70,000 performance-based RSUs, the vesting of which occurs over a five-year period and is contingent upon continued service and achieving certain performance criteria established by the Compensation Committee on an annual basis. The performance criteria and measurement date for the final 21,000 performance-based RSUs is based on 2022 adjusted EBITDA and was established during the nine months ended September 30, 2022 with a grant date fair value of $20.32 per share, measured based on the closing fair market value of the Company's stock on the date the performance criteria was established.</w:t>
      </w:r>
    </w:p>
    <w:p>
      <w:pPr>
        <w:sectPr>
          <w:pgSz w:w="11900" w:h="16838" w:orient="portrait"/>
          <w:cols w:equalWidth="0" w:num="1">
            <w:col w:w="11240"/>
          </w:cols>
          <w:pgMar w:left="320" w:top="125" w:right="339" w:bottom="1041"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41"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nine months ended September 30, 2022, the Company issued 91,042 performance-based RSUs, the vesting of which occurs over a five-year period and is contingent upon continued service and achieving certain performance criteria established by the Compensation Committee on an annual basis in increments of 15%, 20%, 20%, 20%, and 25% based on performance in 2022, 2023, 2024, 2025, and 2026, respectively. The performance criteria for the first-year tranche, or 13,654 of these performance-based RSUs, is based on 2022 adjusted EBITDA. The measurement date for these 13,654 performance-based RSUs was established during the nine months ended September 30, 2022 with a weighted average grant date fair value of $20.29 per share, measured based on the closing fair market value of the Company's stock on the date the performance criteria was established or, in the case of the portion of such performance-based RSUs which were granted contingent upon the approval of the 2022 Omnibus Incentive Plan by the Company's shareholders, the date the 2022 Omnibus Incentive Plan was approved by shareholders of the Company. The performance criteria for the remaining 77,388 performance-based RSUs has not yet been determined and will be established on an annual basis in 2023, 2024, 2025, and 2026, as applicable; therefore, the measurement date for these remaining 77,388 performance-based RSUs cannot be determined until the performance criteria have been established.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in the Condensed Consolidated Statements of Income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Product development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1,632</w:t>
            </w:r>
          </w:p>
        </w:tc>
      </w:tr>
      <w:tr>
        <w:trPr>
          <w:trHeight w:val="20"/>
        </w:trPr>
        <w:tc>
          <w:tcPr>
            <w:tcW w:w="5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918</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30, 2021</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Board of Directors authorized a share repurchase program to repurchase up to $20.0 million of the Company's outstanding shares of common stock. This share repurchase program concluded on March 8, 2022</w:t>
      </w:r>
      <w:r>
        <w:rPr>
          <w:rFonts w:ascii="Arial" w:cs="Arial" w:eastAsia="Arial" w:hAnsi="Arial"/>
          <w:sz w:val="17"/>
          <w:szCs w:val="17"/>
          <w:i w:val="1"/>
          <w:iCs w:val="1"/>
          <w:color w:val="auto"/>
        </w:rPr>
        <w:t>,</w:t>
      </w:r>
      <w:r>
        <w:rPr>
          <w:rFonts w:ascii="Arial" w:cs="Arial" w:eastAsia="Arial" w:hAnsi="Arial"/>
          <w:sz w:val="17"/>
          <w:szCs w:val="17"/>
          <w:color w:val="auto"/>
        </w:rPr>
        <w:t xml:space="preserve"> when the maximum dollar amount authorized under the program was expended. Under this program, the Company repurchased a total of 853,023 shares through open market purchases at an aggregate value of $20.0 million, reflecting an average price per share of $23.45 (excluding the cost of broker commissions). During the nine months ended September 30,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repurchased 649,739 shares pursuant to this share repurchase program at an aggregate fair value of $14.9 million, based on an average price per share of $22.92 (excluding the cost of broker commissions).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14, 2022, the Company's Board of Directors approved an expansion of the Company's share repurchase program by authorizing the repurchase of up to an additional $10.0 million of the Company's outstanding shares of common stock. The share repurchase expansion program is scheduled to terminate on the earlier of March 13, 2023, or when the maximum dollar amount has been expended. During the nine months ended September 30, 2022, the Company repurchased 402,050 shares at an aggregate fair value of $8.1 million, reflecting an average price per share of $20.19 (excluding the cost of broker commissions). No repurchases occurred during the three months ended September 30,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205,000 and 26,000 for the three months ended September 30, 2022 and 2021, respectively, and 217,000 and 95,000 for the nine months ended September 30,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6,232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30,570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31,558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30,672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31,538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dilutive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Weighted-average diluted shares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31,684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30,717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31,609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0.12</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0.05</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0.31</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0.20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784"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84"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U.S. government debt securities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r>
      <w:tr>
        <w:trPr>
          <w:trHeight w:val="20"/>
        </w:trPr>
        <w:tc>
          <w:tcPr>
            <w:tcW w:w="59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3,589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3,587</w:t>
            </w:r>
          </w:p>
        </w:tc>
      </w:tr>
      <w:tr>
        <w:trPr>
          <w:trHeight w:val="20"/>
        </w:trPr>
        <w:tc>
          <w:tcPr>
            <w:tcW w:w="5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5,043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5,041</w:t>
            </w:r>
          </w:p>
        </w:tc>
      </w:tr>
      <w:tr>
        <w:trPr>
          <w:trHeight w:val="20"/>
        </w:trPr>
        <w:tc>
          <w:tcPr>
            <w:tcW w:w="5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amounts reported in the Condensed Consolidated Balance Sheets approximate the fair value based on quoted market prices or alternative pricing sources and models utilizing market observable inputs. As of September 30, 2022, the Company did not recognize any allowance for credit impairments on its available for sale debt securities. All investments in marketable securities are classified as current assets on the Condensed Consolidated Balance Sheets because the underlying securities mature within one year from the balance sheet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COMBINATION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18, 2022</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acquired the remaining ownership interest (representing approximately 82% of the outstanding equity interests) of CloudCME, LLC ("CloudCME"), a Nashville-based healthcare technology company offering a SaaS-based application for managing all aspects of continuing education (CME/CE) within a healthcare organization, for approximately $4.0 million in cash and $4.1 million in shares of HealthStream's common stock issued through a private placement at closing. The Company previously held a minority interest in CloudCME of approximately 18%. Of the purchase price paid at closing, $0.3 million is being held in escrow for a period of time following the closing to serve as a source of recovery for certain potential indemnification claims by the Company.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Net assets acquired were $9.6 million. Based on the fair value of assets acquired and liabilities assumed, including intangible assets of $3.8 million, goodwill of $6.8 million was established. The results of operations for CloudCME are included in the Company’s Consolidated Financial Statements from the date of acquisition and are included in the Workforce Solutions segment.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training, certification, assessment, development, and scheduling products and services (Workforce Solutions) and provider credentialing, privileging, call center, and enrollment products and services (Provider Solutions).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information systems, administrative and executive personnel, depreciation, a portion of amortization, and certain other expenses, which are not currently allocated in measuring segment performance. The following is the Company’s business segment information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Revenues,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54,063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51,155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158,576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154,559</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13,222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12,936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39,714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37,815</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67,285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64,091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192,374</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6,195</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Unallocated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(23,661)</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660"/>
              <w:spacing w:after="0"/>
              <w:rPr>
                <w:sz w:val="20"/>
                <w:szCs w:val="20"/>
                <w:color w:val="auto"/>
              </w:rPr>
            </w:pPr>
            <w:r>
              <w:rPr>
                <w:rFonts w:ascii="Arial" w:cs="Arial" w:eastAsia="Arial" w:hAnsi="Arial"/>
                <w:sz w:val="18"/>
                <w:szCs w:val="18"/>
                <w:color w:val="auto"/>
              </w:rPr>
              <w:t>Total operating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2,382</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8,515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Segment assets *</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260,779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258,864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131,720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137,008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Unallocated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481,197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486,753</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220" w:hanging="212"/>
        <w:spacing w:after="0" w:line="273"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Segment assets include accounts and unbilled receivables, prepaid royalties, prepaid and other current assets, other assets, capitalized software development, deferred commissions, certain property and equipment, goodwill, and intangible assets. Cash and cash equivalents, marketable securities, non-marketable equity investments, and certain ROU assets are not allocated to individual segments and are included within Unallocated. A significant portion of property and equipment assets are included within Unallocated.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28, 2020, the Company entered into a Third Amendment to Revolving Credit Agreement ("Revolving Credit Facility"), amending the Revolving Credit Facility dated as of November 24, 2014 with Truist Bank, successor by merger to SunTrust Bank ("Truist"), extending the maturity date to October 28, 2023. Under the Revolving Credit Facility, the Company may borrow up to $65.0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Company’s election, the borrowings under the Revolving Credit Facility bear interest at either (1) a rate per annum equal to the highest of Truist’s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October 28, 2023,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2022, the Company was in compliance with all covenants. There were no balances outstanding on the Revolving Credit Facility as of or during the three and nine months ended September 30, 2022.</w:t>
      </w:r>
    </w:p>
    <w:p>
      <w:pPr>
        <w:sectPr>
          <w:pgSz w:w="11900" w:h="16838" w:orient="portrait"/>
          <w:cols w:equalWidth="0" w:num="1">
            <w:col w:w="11240"/>
          </w:cols>
          <w:pgMar w:left="320" w:top="125" w:right="339" w:bottom="453"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53"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Special Cautionary Notice Regarding Forward</w:t>
      </w:r>
      <w:r>
        <w:rPr>
          <w:rFonts w:ascii="MS PGothic" w:cs="MS PGothic" w:eastAsia="MS PGothic" w:hAnsi="MS PGothic"/>
          <w:sz w:val="18"/>
          <w:szCs w:val="18"/>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2021, appearing in our Annual Report on Form 10-K that was filed with the Securities and Exchange Commission (“SEC”) on February 28, 2022 (the “2021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set forth above and the risks set forth under the caption Part I, Item 1A. Risk Factors in our 2021 Form 10-K and other disclosures in our 2021 Form 10-K, earnings releases and other filings with the SEC from time to time, as well as other cautionary statements contained elsewhere in this report, including our critical accounting policies and estimates as discussed in this report and our 2021 Form 10-K. We undertake no obligation to update or revise any forward-looking statements.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HealthStream provides primarily SaaS based applications for healthcare organizations—all designed to improve business and clinical outcomes by supporting the people who deliver patient care.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in the process of more completely unifying the Company under a single platform strategy that will serve as the foundation for the entire enterprise. By enabling our applications through a common technology platform known as hStream, we believe that stand-alone applications, which already provide a powerful value proposition, will begin to leverage each other to more efficiently and effectively empower our customers to manage their organizations and improve their outcomes. As we continue to achieve this goal of orienting multiple applications in relation to a single technology platform, distinctions between our current reporting segments of Workforce Solutions and Provider Solutions may become less applicable, or even obsolete, in terms of how we operate and report on the Company's business. At the current time, what we characterize and report on as Workforce Solutions products are used by healthcare organizations to meet a broad range of their clinical development, learning and performance, certification, scheduling, safety and compliance, and competency assessment needs. Provider Solutions products are used by healthcare organizations for provider credentialing, privileging, and enrollment needs. HealthStream’s primary customers include healthcare organizations and other participants in the healthcare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financial metrics for the third quarter of 2022 are set forth in the bullets below.</w:t>
      </w:r>
    </w:p>
    <w:p>
      <w:pPr>
        <w:spacing w:after="0" w:line="22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of $67.3 million in the third quarter of 2022, up 5% from $64.1 million in the third quarter of 2021.</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of $2.4 million in the third quarter of 2022, up 33% from $1.8 million in the third quarter of 2021.</w:t>
      </w:r>
    </w:p>
    <w:p>
      <w:pPr>
        <w:spacing w:after="0" w:line="225" w:lineRule="exact"/>
        <w:rPr>
          <w:rFonts w:ascii="Arial" w:cs="Arial" w:eastAsia="Arial" w:hAnsi="Arial"/>
          <w:sz w:val="18"/>
          <w:szCs w:val="18"/>
          <w:color w:val="auto"/>
        </w:rPr>
      </w:pPr>
    </w:p>
    <w:p>
      <w:pPr>
        <w:ind w:left="220" w:hanging="212"/>
        <w:spacing w:after="0" w:line="308" w:lineRule="auto"/>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income of $3.7 million in the third quarter of 2022, up 144% from $1.5 million in the third quarter of 2021. Net income was positively impacted in the amount of $2.1 million by the gain on the sale of a non-marketable equity investment recognized in the third quarter of 2022.</w:t>
      </w:r>
    </w:p>
    <w:p>
      <w:pPr>
        <w:spacing w:after="0" w:line="146" w:lineRule="exact"/>
        <w:rPr>
          <w:rFonts w:ascii="Arial" w:cs="Arial" w:eastAsia="Arial" w:hAnsi="Arial"/>
          <w:sz w:val="17"/>
          <w:szCs w:val="17"/>
          <w:color w:val="auto"/>
        </w:rPr>
      </w:pPr>
    </w:p>
    <w:p>
      <w:pPr>
        <w:jc w:val="both"/>
        <w:ind w:left="220" w:hanging="212"/>
        <w:spacing w:after="0" w:line="263"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per share (“EPS”) of $0.12 per share (diluted) in the third quarter of 2022 compared to $0.05 per share (diluted) in the third quarter of 2021. EPS was positively impacted in the amount of $0.07 per share (diluted) by the gain on the sale of a non-marketable equity investment recognized in the third quarter of 2022.</w:t>
      </w:r>
    </w:p>
    <w:p>
      <w:pPr>
        <w:spacing w:after="0" w:line="183"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of $12.7 million in the third quarter of 2022, up 2% from $12.5 million in the third quarter of 2021.</w:t>
      </w:r>
    </w:p>
    <w:p>
      <w:pPr>
        <w:spacing w:after="0" w:line="138" w:lineRule="exact"/>
        <w:rPr>
          <w:sz w:val="20"/>
          <w:szCs w:val="20"/>
          <w:color w:val="auto"/>
        </w:rPr>
      </w:pPr>
    </w:p>
    <w:p>
      <w:pPr>
        <w:ind w:left="220" w:hanging="212"/>
        <w:spacing w:after="0" w:line="198" w:lineRule="auto"/>
        <w:tabs>
          <w:tab w:leader="none" w:pos="22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and Other Recent Developments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the COVID-19 pandemic persists and remains a cause of uncertainty and potential volatility, public health conditions related to the pandemic have generally stabilized at the current time in the United States, and the impact of the pandemic on general economic conditions in the United States appears to have decreased. As the inflow of COVID patients with respect to healthcare organizations has become more manageable, certain areas of our business, such as our compliance and learning solutions, have begun to return to and, in some cases, even eclipse pre-pandemic norms. However, other parts of our business have continued to be negatively impacted by the ongoing impacts of the pandemic as well as current economic conditions. One of the more pronounced after-effects for our healthcare customers involves staffing challenges, including labor shortages and increased labor and staffing costs. In some instances, we believe that the pressures associated with these challenges continue to result in delayed sales for certain of our products, particularly those that are more elective in nature. However, we have begun to observe an increase in sales engagement with customers through both in-person and virtual meetings when compared to the height of the pandemic. Ultimately, we believe that our product offerings are well-positioned to help our healthcare customers successfully manage issues associated with onboarding, training, developing, engaging, and retaining employees—nurses in particular—and we remain dedicated to helping our customers overcome the challenges associated with the pandemic and ongoing economic conditions.</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height of the pandemic, including in 2021, we experienced delayed and reduced bookings and renewals due to the pandemic. Given that we sell multiple year subscriptions to our solutions, the revenue impact of lost or delayed sales in a given period generally does not manifest until future periods, just as the revenue we recognize in a given period is generally the result of sales from a prior period. We believe that the delay in bookings from the height of the pandemic negatively impacted our revenue growth in the first three quarters of 2022, and, to a lesser extent, will continue to negatively impact our revenue throughout the remainder of the year. However, we also have experienced increased bookings during the nine months ended September 30, 2022, in comparison to the prior year period, which we expect to have a positive impact on revenue during the remainder of 2022.</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U.S. economy has been experiencing various challenges, including recessionary concerns, ongoing inflation, significant disruptions to global supply networks, and challenging labor market conditions. In this regard, we have recently experienced and believe that many of our customers have experienced increased labor, supply chain, capital, and other expenditures associated with current inflationary pressures. These conditions impacting the U.S. economy and our customers in the healthcare industry have adversely affected, and may continue to adversely impact, our business and results of operations. However, as discussed above, we also believe that our product offerings are well positioned to help customers mitigate some of the negative impacts otherwise associated with current labor challenges as we continue to fulfill our vision to improve the quality of healthcare by developing the people who deliver care.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utilizes the following financial and non-financial metrics in connection with managing our business.</w:t>
      </w:r>
    </w:p>
    <w:p>
      <w:pPr>
        <w:spacing w:after="0" w:line="225" w:lineRule="exact"/>
        <w:rPr>
          <w:sz w:val="20"/>
          <w:szCs w:val="20"/>
          <w:color w:val="auto"/>
        </w:rPr>
      </w:pPr>
    </w:p>
    <w:p>
      <w:pPr>
        <w:jc w:val="both"/>
        <w:ind w:left="420" w:hanging="210"/>
        <w:spacing w:after="0" w:line="255"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Revenues, net</w:t>
      </w:r>
      <w:r>
        <w:rPr>
          <w:rFonts w:ascii="Arial" w:cs="Arial" w:eastAsia="Arial" w:hAnsi="Arial"/>
          <w:sz w:val="18"/>
          <w:szCs w:val="18"/>
          <w:color w:val="auto"/>
        </w:rPr>
        <w:t>. Revenues, net, reflect income generated by the sales of goods and services related to our operations and, for businesses acquired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adoption of ASU 2021-08 on January 1, 2022, reflects deferred revenue write-downs associated with fair value accounting for such acquired businesses. Revenues, net, were $67.3 million and $198.3 million for the three and nine months ended September 30, 2022, respectively, compared to $64.1 million and $192.4 million for the three and nine months ended September 30, 2021, respectively. Management utilizes revenue in connection with managing our business and believes that this metric provides useful information to investors as a key indicator of the growth and success of our products.</w:t>
      </w:r>
    </w:p>
    <w:p>
      <w:pPr>
        <w:spacing w:after="0" w:line="192" w:lineRule="exact"/>
        <w:rPr>
          <w:rFonts w:ascii="Arial" w:cs="Arial" w:eastAsia="Arial" w:hAnsi="Arial"/>
          <w:sz w:val="18"/>
          <w:szCs w:val="18"/>
          <w:color w:val="auto"/>
        </w:rPr>
      </w:pPr>
    </w:p>
    <w:p>
      <w:pPr>
        <w:jc w:val="both"/>
        <w:ind w:left="420" w:hanging="210"/>
        <w:spacing w:after="0" w:line="25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Operating Income</w:t>
      </w:r>
      <w:r>
        <w:rPr>
          <w:rFonts w:ascii="Arial" w:cs="Arial" w:eastAsia="Arial" w:hAnsi="Arial"/>
          <w:sz w:val="18"/>
          <w:szCs w:val="18"/>
          <w:color w:val="auto"/>
        </w:rPr>
        <w:t>. Operating income represents the amount of profit realized from our operations and is calculated as the difference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net and operating costs and expenses. Operating income was $2.4 million and $9.4 million for the three and nine months ended September 30, 2022, respectively, compared to $1.8 million and $8.5 million for the three and nine months ended September 30, 2021, respectively. Management utilizes operating income in connection with managing our business and believes that this metric provides useful information to investors as a key indicator of profitability.</w:t>
      </w:r>
    </w:p>
    <w:p>
      <w:pPr>
        <w:spacing w:after="0" w:line="187" w:lineRule="exact"/>
        <w:rPr>
          <w:rFonts w:ascii="Arial" w:cs="Arial" w:eastAsia="Arial" w:hAnsi="Arial"/>
          <w:sz w:val="18"/>
          <w:szCs w:val="18"/>
          <w:color w:val="auto"/>
        </w:rPr>
      </w:pPr>
    </w:p>
    <w:p>
      <w:pPr>
        <w:jc w:val="both"/>
        <w:ind w:left="420" w:hanging="210"/>
        <w:spacing w:after="0" w:line="25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Adjusted EBITDA, calculated as set forth below under “Reconciliation of Non-GAAP Financial Measures,” is utilized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connection with managing our business and provides useful information to investors because adjusted EBITDA reflects net income adjusted for certain GAAP accounting, non-cash and non-operating items, as more specifically set forth below, which may not fully reflect the underlying operating performance of our business. We also believe that adjusted EBITDA is useful to investors to assess the Company’s ongoing operations. Additionally, short-term cash incentive bonuses and certain performance-based equity award grants are based on the achievement of adjusted EBITDA (as defined in applicable bonus and equity grant documentation) targets. Adjusted EBITDA was $12.7 million and $39.8 million for the three and nine months ended September 30, 2022, respectively, compared to $12.5 million and $40.6 million for the three and nine months ended September 30, 2021, respectively.</w:t>
      </w:r>
    </w:p>
    <w:p>
      <w:pPr>
        <w:spacing w:after="0" w:line="191" w:lineRule="exact"/>
        <w:rPr>
          <w:rFonts w:ascii="Arial" w:cs="Arial" w:eastAsia="Arial" w:hAnsi="Arial"/>
          <w:sz w:val="18"/>
          <w:szCs w:val="18"/>
          <w:color w:val="auto"/>
        </w:rPr>
      </w:pPr>
    </w:p>
    <w:p>
      <w:pPr>
        <w:jc w:val="both"/>
        <w:ind w:left="420" w:hanging="210"/>
        <w:spacing w:after="0" w:line="296"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hStream Subscriptions</w:t>
      </w:r>
      <w:r>
        <w:rPr>
          <w:rFonts w:ascii="Arial" w:cs="Arial" w:eastAsia="Arial" w:hAnsi="Arial"/>
          <w:sz w:val="16"/>
          <w:szCs w:val="16"/>
          <w:color w:val="auto"/>
        </w:rPr>
        <w:t>. hStream subscriptions are determined as the number of subscriptions under contract for hStream, our emerging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that enables healthcare organizations and their respective workforces to easily connect to and gain value from the growing HealthStream ecosystem of applications, tools, and content. Management utilizes hStream subscriptions in connection with managing our business and believes that this metric provides useful information to investors as a measure of our progress in growing the value of our customer base. At September 30, 2022, we had approximately 5.35 million contracted subscriptions to hStream, compared to 4.92 million as of September 30, 2021.</w:t>
      </w:r>
    </w:p>
    <w:p>
      <w:pPr>
        <w:sectPr>
          <w:pgSz w:w="11900" w:h="16838" w:orient="portrait"/>
          <w:cols w:equalWidth="0" w:num="1">
            <w:col w:w="11240"/>
          </w:cols>
          <w:pgMar w:left="320" w:top="12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and related disclosures.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170" w:lineRule="exact"/>
        <w:rPr>
          <w:sz w:val="20"/>
          <w:szCs w:val="20"/>
          <w:color w:val="auto"/>
        </w:rPr>
      </w:pPr>
    </w:p>
    <w:p>
      <w:pPr>
        <w:ind w:left="420" w:hanging="210"/>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rFonts w:ascii="Arial" w:cs="Arial" w:eastAsia="Arial" w:hAnsi="Arial"/>
          <w:sz w:val="18"/>
          <w:szCs w:val="18"/>
          <w:color w:val="auto"/>
        </w:rPr>
      </w:pPr>
    </w:p>
    <w:p>
      <w:pPr>
        <w:ind w:left="420" w:hanging="210"/>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2021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2021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$3.2 million, or 5%, to $67.3 million for the three months ended September 30, 2022 from $64.1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w w:val="95"/>
              </w:rPr>
              <w:t>A comparison of revenues by business segment is as follows (in thousands):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191"/>
        </w:trPr>
        <w:tc>
          <w:tcPr>
            <w:tcW w:w="5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Revenues by Business Segment:</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54,063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51,155</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13,222</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12,936</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5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67,285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64,091</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Revenues</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Workforce Solutions</w:t>
            </w:r>
          </w:p>
        </w:tc>
        <w:tc>
          <w:tcPr>
            <w:tcW w:w="3860" w:type="dxa"/>
            <w:vAlign w:val="bottom"/>
          </w:tcPr>
          <w:p>
            <w:pPr>
              <w:jc w:val="right"/>
              <w:ind w:right="610"/>
              <w:spacing w:after="0"/>
              <w:rPr>
                <w:sz w:val="20"/>
                <w:szCs w:val="20"/>
                <w:color w:val="auto"/>
              </w:rPr>
            </w:pPr>
            <w:r>
              <w:rPr>
                <w:rFonts w:ascii="Arial" w:cs="Arial" w:eastAsia="Arial" w:hAnsi="Arial"/>
                <w:sz w:val="18"/>
                <w:szCs w:val="18"/>
                <w:color w:val="auto"/>
              </w:rPr>
              <w:t>80%</w:t>
            </w:r>
          </w:p>
        </w:tc>
        <w:tc>
          <w:tcPr>
            <w:tcW w:w="2740" w:type="dxa"/>
            <w:vAlign w:val="bottom"/>
          </w:tcPr>
          <w:p>
            <w:pPr>
              <w:jc w:val="right"/>
              <w:ind w:right="1630"/>
              <w:spacing w:after="0"/>
              <w:rPr>
                <w:sz w:val="20"/>
                <w:szCs w:val="20"/>
                <w:color w:val="auto"/>
              </w:rPr>
            </w:pPr>
            <w:r>
              <w:rPr>
                <w:rFonts w:ascii="Arial" w:cs="Arial" w:eastAsia="Arial" w:hAnsi="Arial"/>
                <w:sz w:val="18"/>
                <w:szCs w:val="18"/>
                <w:color w:val="auto"/>
              </w:rPr>
              <w:t>80%</w:t>
            </w: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Provider Solutions</w:t>
            </w:r>
          </w:p>
        </w:tc>
        <w:tc>
          <w:tcPr>
            <w:tcW w:w="3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w:t>
            </w:r>
          </w:p>
        </w:tc>
        <w:tc>
          <w:tcPr>
            <w:tcW w:w="27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for Workforce Solutions increased $2.9 million, or 6%, to $54.1 million for the three months ended September 30, 2022, from $51.2 million for the three months ended September 30, 2021. The Workforce Solutions segment experienced growth in several product categories, including contributions from recent acquisitions, but was partially offset by declines from the legacy resuscitation business of $0.4 million.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Provider Solutions increased $0.3 million, or 2%, to $13.2 million for the three months ended September 30, 2022, from $12.9 million for the three months ended September 30, 2021. Revenue growth was primarily attributable to new subscription revenues but was partially offset by a $0.5 million decrease in professional services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$0.8 million, or 3%, to $23.4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from $22.6 million for the three months ended September 30, 2021. Cost of revenues as a percentage of revenues was 35% for both the three months ended September 30, 2022 and 2021.</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revenues for Workforce Solutions increased $0.2 million to $18.6 million for the three months ended September 30, 2022, compared to the prior year period and approximated 34% and 36% of revenues for Workforce Solutions for the three months ended September 30, 2022 and 2021, respectively. The increase is primarily attributable to increases in personnel, partially related to recent acquisitions, and cloud hosting costs. Cost of revenues for Provider Solutions increased $0.6 million to $4.8 million for the three months ended September 30, 2022, compared to the prior year period and approximated 36% and 33% of Provider Solutions revenues for the three months ended September 30, 2022 and 2021, respectively. The increase in amount is primarily associated with an increase in personnel, cloud hosting, and software costs.</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$1.2 million, or 11%, to $11.5 million for the three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from $10.3 million for the three months ended September 30, 2021. Product development expenses as a percentage of revenues were 17% and 16% for the three months ended September 30, 2022 and 2021, respectively.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development expenses for Workforce Solutions increased $0.9 million to $9.7 million for the three months ended September 30, 2022, compared to the prior year period and approximated 18% and 17% of revenues for Workforce Solutions for the three months ended September 30, 2022 and 2021, respectively. Personnel expenses and contract labor costs increased over the prior year, but were partially offset by an increase in labor capitalized for internally developed software. Product development expenses for Provider Solutions increased $0.3 million to $1.8 million for the three months ended September 30, 2022, compared to the prior year period and approximated 14% and 12% of revenues for Provider Solutions for the three months ended September 30, 2022 and 2021, respectively. The increase in product development expenses is primarily due to an increase in personnel costs compared to the prior year period.</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$1.2 million, or 11%, to $11.4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from $10.2 million for the three months ended September 30, 2021. Sales and marketing expenses were 17% and 16% of revenues for the three months ended September 30, 2022 and 2021, respectively.</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Sales and marketing expenses for Workforce Solutions increased $1.0 million to $9.2 million for the three months ended September 30, 2022, compared to the prior year period and approximated 17% and 16% of revenues for Workforce Solutions for the three months ended September 30, 2022 and 2021, respectively. The increase is primarily due to increases in personnel and related expenses, sales commissions, and travel expense. The increase was partially offset by a decrease in marketing expense compared to the prior year period. Sales and marketing expenses for Provider Solutions increased $0.2 million to $1.9 million for the three months ended September 30, 2022, compared to the prior year period and approximated 15% and 13% of revenues for Provider Solutions for the three months ended September 30, 2022 and 2021, respectively. The increase is primarily due to increased tradeshow expense, sales commissions, and travel expense. The unallocated corporate portion of sales and marketing expenses decreased $56,000 to $0.3 million for the three months ended September 30, 2022, compared to the prior year period, primarily due to a reduction in personnel costs and marketing expenses.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decreased $0.9 million, or 9%, to $9.1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2022, from $10.0 million for the three months ended September 30, 2021. Other general and administrative expenses were 14% and 16% of revenues for the three months ended September 30, 2022 and 2021, respectively.</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Other general and administrative expenses for Workforce Solutions decreased $0.9 million to $2.0 million for the three months ended September 30, 2022, compared to the prior year period and approximated 4% and 6% of Workforce Solutions revenues for the three months ended September 30, 2022 and 2021, respectively. The decrease is primarily due to reductions in facilities costs associated with closing certain leased satellite offices, a reduction in contract labor, and lower transition service costs associated with prior acquisitions, including with regard to the end of our transition services agreement with Change Healthcare, which related to our acquisition of the Scheduling and Capacity Management business. Other general and administrative expenses for Provider Solutions increased $21,000 to $1.0 million for the three months ended September 30, 2022, compared to the prior year period and approximated 8% of Provider Solutions revenues for both the three months ended September 30, 2022 and 2021. The unallocated corporate portion of other general and administrative expenses decreased $29,000 to $6.0 million for the three months ended September 30, 2022, compared to the prior year period.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$0.5 million, or 5%, to $9.6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from $9.1 million for the three months ended September 30, 2021. This increase is primarily a result of an increase in amortization associated with capitalized software but was partially offset by lower depreciation expense.</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Other Income (Loss), Net</w:t>
      </w:r>
      <w:r>
        <w:rPr>
          <w:rFonts w:ascii="Arial" w:cs="Arial" w:eastAsia="Arial" w:hAnsi="Arial"/>
          <w:sz w:val="18"/>
          <w:szCs w:val="18"/>
          <w:color w:val="auto"/>
        </w:rPr>
        <w:t>. Other income (loss), net was income of $2.5 million for the three months ended September 30, 2022, compared to a loss</w:t>
      </w:r>
      <w:r>
        <w:rPr>
          <w:rFonts w:ascii="Arial" w:cs="Arial" w:eastAsia="Arial" w:hAnsi="Arial"/>
          <w:sz w:val="18"/>
          <w:szCs w:val="18"/>
          <w:i w:val="1"/>
          <w:iCs w:val="1"/>
          <w:color w:val="auto"/>
        </w:rPr>
        <w:t xml:space="preserve"> </w:t>
      </w:r>
      <w:r>
        <w:rPr>
          <w:rFonts w:ascii="Arial" w:cs="Arial" w:eastAsia="Arial" w:hAnsi="Arial"/>
          <w:sz w:val="18"/>
          <w:szCs w:val="18"/>
          <w:color w:val="auto"/>
        </w:rPr>
        <w:t>of $99,000 for the three months ended September 30, 2021. The increase is primarily the result of a $2.7 million gain recorded during the three months ended September 30, 2022, upon the sale of a non-marketable equity investment.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$1.3 million for the three months ended September 30,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the three months ended September 30, 2022. The Company’s effective tax rate was 26% for the three months ended September 30, 2022, compared to 11% for the three months ended September 30, 2021. The Company’s effective tax rate primarily reflects the statutory corporate income tax rate, the net effect of state taxes, foreign income taxes, the effect of various permanent tax differences, and recognition of discrete tax items. During the three months ended September 30, 2022, the Company recorded discrete tax expense of $0.1 million, which consisted primarily of $0.2 million tax expense related to uncertain tax positions. The discrete tax expense was partially offset by a $0.1 million tax benefit for changes in estimated tax credits. During the three months ended September 30, 2021, the Company recorded discrete tax expense of $69,000 primarily related to changes in estimated tax credits.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was $3.7 million and $1.5 million for the three months ended September 30, 2022 and 2021, respectively. Earnings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(EPS) was $0.12 per share (diluted) and $0.05 per share (diluted) for the three months ended September 30, 2022 and 2021, respectively. Net income and EPS were positively influenced by the gain from the sale of the non-marketable equity investment mentioned above, which had a positive impact on net income equal to $2.1 million and positive impact on EPS equal to $0.07 per share (diluted) during the three months ended September 30, 2022.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was $12.7 million for the three months ended September 30, 2022, compared to $12.5 million for the three months ended September 30, 2021. See “Reconciliation of Non-GAAP Financial Measures” below for our reconciliation of adjusted EBITDA to the most directly comparable measures under US GAAP and disclosure regarding why we believe adjusted EBITDA provides useful information to investors.</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Compared to Nine Months Ended September 30, 2021</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$5.9 million, or 3%, to $198.3 million for the nine months ended September 30,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$192.4 million for the nine months ended September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w w:val="95"/>
              </w:rPr>
              <w:t>A comparison of revenues by business segment is as follows (in thousands):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191"/>
        </w:trPr>
        <w:tc>
          <w:tcPr>
            <w:tcW w:w="5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Revenues by Business Segment:</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Pr>
          <w:p>
            <w:pPr>
              <w:spacing w:after="0"/>
              <w:rPr>
                <w:sz w:val="20"/>
                <w:szCs w:val="20"/>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Solutions</w:t>
            </w:r>
          </w:p>
        </w:tc>
        <w:tc>
          <w:tcPr>
            <w:tcW w:w="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158,576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154,559</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Provider Solutions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39,714</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37,815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5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 net</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198,290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192,374</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Revenues</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8"/>
                <w:szCs w:val="18"/>
                <w:color w:val="auto"/>
              </w:rPr>
              <w:t>Workforce Solutions</w:t>
            </w:r>
          </w:p>
        </w:tc>
        <w:tc>
          <w:tcPr>
            <w:tcW w:w="3860" w:type="dxa"/>
            <w:vAlign w:val="bottom"/>
          </w:tcPr>
          <w:p>
            <w:pPr>
              <w:jc w:val="right"/>
              <w:ind w:right="610"/>
              <w:spacing w:after="0"/>
              <w:rPr>
                <w:sz w:val="20"/>
                <w:szCs w:val="20"/>
                <w:color w:val="auto"/>
              </w:rPr>
            </w:pPr>
            <w:r>
              <w:rPr>
                <w:rFonts w:ascii="Arial" w:cs="Arial" w:eastAsia="Arial" w:hAnsi="Arial"/>
                <w:sz w:val="18"/>
                <w:szCs w:val="18"/>
                <w:color w:val="auto"/>
              </w:rPr>
              <w:t>80%</w:t>
            </w:r>
          </w:p>
        </w:tc>
        <w:tc>
          <w:tcPr>
            <w:tcW w:w="2740" w:type="dxa"/>
            <w:vAlign w:val="bottom"/>
          </w:tcPr>
          <w:p>
            <w:pPr>
              <w:jc w:val="right"/>
              <w:ind w:right="1630"/>
              <w:spacing w:after="0"/>
              <w:rPr>
                <w:sz w:val="20"/>
                <w:szCs w:val="20"/>
                <w:color w:val="auto"/>
              </w:rPr>
            </w:pPr>
            <w:r>
              <w:rPr>
                <w:rFonts w:ascii="Arial" w:cs="Arial" w:eastAsia="Arial" w:hAnsi="Arial"/>
                <w:sz w:val="18"/>
                <w:szCs w:val="18"/>
                <w:color w:val="auto"/>
              </w:rPr>
              <w:t>80%</w:t>
            </w: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Provider Solutions</w:t>
            </w:r>
          </w:p>
        </w:tc>
        <w:tc>
          <w:tcPr>
            <w:tcW w:w="3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20%</w:t>
            </w:r>
          </w:p>
        </w:tc>
        <w:tc>
          <w:tcPr>
            <w:tcW w:w="27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Workforce Solutions increased $4.0 million, or 3%, over the first nine months of 2021. Contributions from recent acquisitions and growth in other workforce solutions more than offset the expected decline in revenues from legacy resuscitation products of $3.1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Provider Solutions increased $1.9 million, or 5%, over the first nine months of 2021. Revenue growth was primarily attributable to new subscription revenues but was partially offset by lower revenues from professional services.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decreased $0.5 million, or 1%, to $67.6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from $68.1 million for the nine months ended September 30, 2021. Cost of revenues as a percentage of revenues was 34% and 35% for the nine months ended September 30, 2022 and 2021, respectively.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revenues for Workforce Solutions decreased $2.1 million to $53.9 million and approximated 34% and 36% of revenues for Workforce Solutions for the nine months ended September 30, 2022 and 2021, respectively. The decrease in amount is primarily attributable to a lower royalties payable by us related to legacy resuscitation products, consistent with the reduction in these revenues, but was partially offset by higher cloud hosting costs and expenses associated with recent acquisitions. Cost of revenues for Provider Solutions increased $1.6 million to $13.7 million and approximated 35% and 32% of Provider Solutions revenues for the nine months ended September 30, 2022 and 2021, respectively. The increase in amount is primarily associated with an increase in personnel costs, cloud hosting, and software costs during the nine months ended September 30, 2022.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$2.3 million, or 8%, to $32.5 million for the nine months ended September 30,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$30.2 million for the nine months ended September 30, 2021. Product development expenses as a percentage of revenues were 16% of revenues for both the nine months ended September 30, 2022 and 2021.</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development expenses for Workforce Solutions increased $1.6 million to $27.3 million and approximated 17% of revenues for Workforce Solutions for both the nine months ended September 30, 2022 and 2021. The increase is primarily associated with an increase in personnel costs, partially related to recent acquisitions, and contract labor, which was partially offset by an increase in labor capitalized for internally developed software. Additionally, the nine months ended September 30, 2021 included a non-recurring, non-cash benefit related to the reduction of paid time off ("PTO") expense as a result of modifications to the Company's PTO policy. Product development expenses for Provider Solutions increased $0.7 million to $5.2 million and approximated 13% and 12% of revenues for Provider Solutions for the nine months ended September 30, 2022 and 2021, respectively. The increase is primarily due to an increase in personnel costs.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$4.0 million, or 14%, to $32.7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from $28.7 million for the nine months ended September 30, 2021. Sales and marketing expenses were 16% and 15% of revenues for the nine months ended September 30, 2022 and 2021, respectively.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and marketing expenses for Workforce Solutions increased $3.6 million to $26.4 million and approximated 17% and 15% of revenues for Workforce Solutions for the nine months ended September 30, 2022 and 2021, respectively. The increase is primarily associated with increases in personnel and related costs, sales commissions, travel, and software costs. Sales and marketing expenses for Provider Solutions increased $0.6 million to $5.5 million and approximated 14% and 13% of revenues for Provider Solutions for the nine months ended September 30, 2022 and 2021, respectively. The increase in amount is a result of increased sales commissions, marketing expenses, and travel expenses. The unallocated portion of sales and marketing expenses decreased $0.2 million to $0.8 million compared to the prior year period primarily due to a decrease in personnel costs and marketing expenses.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decreased $1.5 million, or 5%, to $27.9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2022 from $29.4 million for the nine months ended September 30, 2021. Other general and administrative expenses as a percentage of revenues were 14% and 15% of revenues for the nine months ended September 30, 2022 and 2021, respectively.</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Other general and administrative expenses for Workforce Solutions decreased $2.3 million to $6.6 million and approximated 4% and 6% of revenues for Workforce Solutions for the nine months ended September 30, 2022 and 2021, respectively. The decrease is primarily due to reductions in facilities costs associated with closing certain leased satellite offices, lower transition service costs associated with prior acquisitions, including with regard to the end of our transition services agreement with Change Healthcare, which related to our acquisition of the Scheduling and Capacity Management business, and a decrease in contract labor. Other general and administrative expenses for Provider Solutions increased $0.2 million to $2.9 million and approximated 7% of revenues for Provider Solutions for both the nine months ended September 30, 2022 and 2021. The increase in amount is primarily due to increased personnel costs. The unallocated corporate portion of other general and administrative expenses increased $0.6 million to $18.3 million compared to the first nine months of 2021 primarily due to increased employee recruitment expenses as well as software expenses over the prior year period.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$0.9 million, or 3%, to $28.3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from $27.4 million for the nine months ended September 30, 2021. This increase is primarily a result of an increase in amortization associated with capitalized software but was partially offset by lower depreciation expense.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Other Income (Loss), Net</w:t>
      </w:r>
      <w:r>
        <w:rPr>
          <w:rFonts w:ascii="Arial" w:cs="Arial" w:eastAsia="Arial" w:hAnsi="Arial"/>
          <w:sz w:val="18"/>
          <w:szCs w:val="18"/>
          <w:color w:val="auto"/>
        </w:rPr>
        <w:t>. Other income (loss), net was income of $2.9 million for the nine months ended September 30, 2022, compared to a loss</w:t>
      </w:r>
      <w:r>
        <w:rPr>
          <w:rFonts w:ascii="Arial" w:cs="Arial" w:eastAsia="Arial" w:hAnsi="Arial"/>
          <w:sz w:val="18"/>
          <w:szCs w:val="18"/>
          <w:i w:val="1"/>
          <w:iCs w:val="1"/>
          <w:color w:val="auto"/>
        </w:rPr>
        <w:t xml:space="preserve"> </w:t>
      </w:r>
      <w:r>
        <w:rPr>
          <w:rFonts w:ascii="Arial" w:cs="Arial" w:eastAsia="Arial" w:hAnsi="Arial"/>
          <w:sz w:val="18"/>
          <w:szCs w:val="18"/>
          <w:color w:val="auto"/>
        </w:rPr>
        <w:t>of $0.3 million for the nine months ended September 30, 2021. The increase is primarily a result of the $2.7 million gain recorded upon the sale of a non-marketable equity investment during the nine months ended September 30, 2022 as well as the $0.9 million gain recorded due to the change in fair value of our previously held minority interest in CloudCME that was remeasured upon acquiring the remaining ownership interest of CloudCME during the nine months ended September 30, 2022.</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$2.7 million and $2.0 million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2022 and 2021, respectively. The Company’s effective tax rate was 22% for the nine months ended September 30, 2022, compared to 25% for the nine months ended September 30, 2021. The Company’s effective tax rate primarily reflects the statutory corporate income tax rate, the net effect of state taxes, foreign income taxes, the effect of various permanent tax differences, and recognition of discrete tax items. During the nine months ended September 30, 2022, the Company recorded discrete tax benefits of $16,000, which consisted primarily of a $0.3 million tax benefit associated with a nontaxable gain of $0.9 million recognized from the change in fair value of our previously held minority interest in CloudCME as well as a $0.1 million tax benefit for changes in estimated tax credits. This tax benefit was partially offset by $0.3 million of tax expense related to uncertain tax positions and $0.1 million of excess tax deficiencies associated with stock-based awards. During the nine months ended September 30, 2021, the Company recorded discrete tax expense of $0.2 million primarily related to purchase accounting adjustments, the impact of a state tax rate changes enacted during the period, and changes in estimated tax credits.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was approximately $9.6 million and $6.2 million for the nine months ended September 30, 2022 and 2021, respectively.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(EPS) was $0.31 per share (diluted) and $0.20 per share (diluted) for the nine months ended September 30, 2022 and 2021, respectively. Net income and EPS were positively influenced by the gains from previously held investments mentioned above.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decreased $0.8 million to $39.8 million for the nine months ended September 30, 2022, compared to $40.6 million for the nine months ended September 30, 2021. This decrease resulted from the factors mentioned above. See “Reconciliation of Non-GAAP Financial Measures” below for our reconciliation of Adjusted EBITDA to the most directly comparable measure under US GAAP.</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Quarterly Report on Form 10-Q presents adjusted EBITDA, which is a non-GAAP financial measure used by management in analyzing our financial results and ongoing operational performance.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better assess the Company’s financial results, management believes that net income excluding the impact of the deferred revenue write-downs associated with fair value accounting for acquired businesses (as discussed in greater detail below) and before interest, income taxes, stock-based compensation, depreciation and amortization, changes in fair value of, including gains (losses) on the sale of, non-marketable equity investments, and the de-recognition of non-cash expense resulting from the paid time off expense reduction in the first quarter of 2021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also believe that adjusted EBITDA is useful to many investors to assess the Company’s ongoing operating performance and to compare the Company’s operating performance between periods. Additionally, short-term cash incentive bonuses and certain performance-based equity awards are based on the achievement of adjusted EBITDA (as defined in applicable bonus and equity grant documentation) targets.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noted above, the definition of adjusted EBITDA includes an adjustment for the impact of the deferred revenue write-downs associated with fair value accounting for acquired businesses.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When the Company was required to record a write-down of deferred revenue, it resulted in lower recognized revenue, operating income, and net income in subsequent periods. Revenue for any such acquired business was deferred and was typically recognized over a one-to-two year period following the completion of any particular acquisition, so our GAAP revenues for this one-to-two year period would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businesses acquired prior to the January 1, 2022 effective date of the Company's adoption of ASU 2021-08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 Following the adoption of ASU 2021-08, contracts acquired in an acquisition completed on or after January 1, 2022 will be measured as if the Company had originated the contract (rather than the contract being measured at fair value) such that, for such acquisitions, the Company will no longer record deferred revenue write-downs associated with acquired businesses (for acquisitions completed prior to January 1, 2022, the Company will continue to record deferred revenue write-downs associated with fair value accounting for periods on and after January 1, 2022 consistent with past practice). At the current time, the Company intends to continue to include an adjustment in the definition of adjusted EBITDA for the impact of deferred revenue write-downs from business acquired prior to January 1, 2022 given the ongoing impact of such deferred revenue on our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and should not be considered as a measure of financial performance under GAAP. Because adjusted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EBITDA is not a measurement determined in accordance with GAAP, adjusted EBITDA is susceptible to varying calculations. Accordingly, adjusted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EBITDA, as presented, may not be comparable to other similarly titled measures of other companies and has limitations as analytical tools.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the most directly comparable GAAP measure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3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Deferred revenue write-down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Change in fair value of non-marketable equity investments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Non-cash paid time off expense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Adjusted EBITDA</w:t>
            </w:r>
          </w:p>
        </w:tc>
        <w:tc>
          <w:tcPr>
            <w:tcW w:w="13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12,737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12,502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39,831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40,649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provided by operating activities increased by $6.7 million to $43.1 million during the nine months ended September 30, 2022, from $36.4 million during the nine months ended September 30, 2021. This increase was primarily due to higher cash collections and lower royalties paid by us compared to the prior year period, which was partially offset by increased labor costs. Our days sales outstanding ("DSO") was 38 days for the third quarter of 2022 compared to 40 days for the third quarter of 2021.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cash used in investing activities was $18.0 million for the nine months ended September 30, 2022, compared to $17.0 million for the nine months ended September 30, 2021. During the nine months ended September 30, 2022, the Company spent $3.9 million to acquire the remaining ownership interest in CloudCME on a net cash basis and spent $62,000 related to post-closing adjustments for prior acquisitions for a net cash outflow of $4.0 million for business combinations, invested in marketable securities of $5.6 million, made payments for capitalized software development of $17.4 million, and purchased property and equipment of $1.6 million. These uses of cash were partially offset by $7.0 million in maturities of marketable securities and $3.5 million in proceeds from the sales of non-marketable equity investments. During the nine months ended September 30, 2021, the Company spent $2.0 million to acquire ComplyALIGN and on a net cash basis received $1.3 million of proceeds upon settling post-closing adjustments related to ANSOS and ShiftWizard acquisitions for a net cash outflow of $0.7 million for business combinations, invested in marketable securities of $5.2 million, made payments for capitalized software development of $16.6 million, purchased property and equipment of $2.6 million, and invested $1.8 million in non-marketable equity investments. These uses of cash were partially offset by $9.9 million in maturities of marketable securities.</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used in financing activities was approximately $23.7 million for the nine months ended September 30, 2022, compared to $0.5 million for the nine months ended September 30, 2021. The uses of cash for the nine months ended September 30, 2022 included $23.1 million for repurchases of common stock and $0.5 million for the payment of employee payroll taxes in relation to the vesting of restricted share units. The uses of cash for the nine months ended September 30, 2021 primarily included $0.5 million for the payment of employee payroll taxes in relation to the vesting of restricted share units.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balance sheet reflects negative working capital of $1.0 million at September 30, 2022, compared to positive working capital of $6.5 million at December 31, 2021. The decrease in working capital is primarily a result of the use of cash to fund the acquisition of CloudCME, repurchases of common stock and an increase in deferred revenue. The Company’s primary source of liquidity as of September 30, 2022 was $48.3 million of cash and cash equivalents and $3.6 million of marketable securities. The Company also has a $65.0 million revolving credit facility, all of which was available for additional borrowing at September 30, 2022. The revolving credit facility expires on October 28, 2023, unless earlier renewed or amended.</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30, 2021, the Company's Board of Directors authorized a share repurchase program to repurchase up to $20.0 million of the Company's outstanding shares of common stock. The share repurchase program concluded on March 8, 2022, when the maximum dollar amount authorized under the program was expended. Under this program, the Company repurchased a total of 853,023 shares in open market purchases at an aggregate value of $20.0 million, reflecting an average price per share of $23.45 (excluding the cost of broker commissions). During the nine months ended September 30, 2022, the Company repurchased 649,739 shares pursuant to this share repurchase program at an aggregate fair value of $14.9 million, based on an average price per share of $22.92 (excluding the cost of broker commissions).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2022, the Company's Board of Directors approved an expansion of the Company's share repurchase program by authorizing the repurchase of up to an additional $10.0 million of the Company's outstanding shares of common stock. The share repurchase program is scheduled to terminate on the earlier of March 13, 2023, or when the maximum dollar amount has been expended. During the nine months ended September 30, 2022, the Company repurchased 402,050 shares pursuant to this share repurchase program at an aggregate fair value of $8.1 million, based on an average price per share of $20.19 (excluding the cost of broker commissions).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and for the foreseeable future thereafter.</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September 30, 2022,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ectPr>
          <w:pgSz w:w="11900" w:h="16838" w:orient="portrait"/>
          <w:cols w:equalWidth="0" w:num="1">
            <w:col w:w="11240"/>
          </w:cols>
          <w:pgMar w:left="320" w:top="125" w:right="339"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exposed to market risk from changes in interest rates, foreign currency risk, and investment risk. We do not have any commodity price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2022,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$51.8 million at September 30, 2022. Assuming a hypothetical 10% decrease in interest rates for invested balances, interest income from cash and investments would decrease on an annualized basis by approximately $66,000.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third quarter of 2022 that has materially affected, or that is reasonably likely to materially affect, HealthStream’s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previously disclosed in the 2021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14, 2022, the Company announced an expansion of the share repurchase program authorized by the Company’s Board of Directors under which the Company may purchase up to an additional $10.0 million of its common stock. Pursuant to this authorization, repurchases may be made in the open market, including under a Rule 105b-1 plan, through privately negotiated transactions, or otherwise. Under this program, during the first nine months of 2022 the Company repurchased 402,050 shares at an aggregate fair value of $8.1 million, reflecting an average price per share of $20.19 (excluding the cost of broker commissions).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is scheduled to terminate on the earlier of March 13, 2023 or when the maximum dollar amount has been expended.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activity under the stock repurchase plan for the three months ended September 30, 2022.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 Maximum</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 Total number of</w:t>
            </w: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approximate dollar</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(or units)</w:t>
            </w: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value) of shares (or</w:t>
            </w:r>
          </w:p>
        </w:tc>
      </w:tr>
      <w:tr>
        <w:trPr>
          <w:trHeight w:val="216"/>
        </w:trPr>
        <w:tc>
          <w:tcPr>
            <w:tcW w:w="3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 Total number of</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as part of</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units) that may yet be</w:t>
            </w:r>
          </w:p>
        </w:tc>
      </w:tr>
      <w:tr>
        <w:trPr>
          <w:trHeight w:val="216"/>
        </w:trPr>
        <w:tc>
          <w:tcPr>
            <w:tcW w:w="3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220" w:type="dxa"/>
            <w:vAlign w:val="bottom"/>
          </w:tcPr>
          <w:p>
            <w:pPr>
              <w:spacing w:after="0"/>
              <w:rPr>
                <w:sz w:val="18"/>
                <w:szCs w:val="18"/>
                <w:color w:val="auto"/>
              </w:rPr>
            </w:pPr>
          </w:p>
        </w:tc>
        <w:tc>
          <w:tcPr>
            <w:tcW w:w="19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(b) Average price paid</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publicly announced</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purchased</w:t>
            </w:r>
          </w:p>
        </w:tc>
        <w:tc>
          <w:tcPr>
            <w:tcW w:w="220" w:type="dxa"/>
            <w:vAlign w:val="bottom"/>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per share (or unit)(1)</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plans or programs</w:t>
            </w:r>
          </w:p>
        </w:tc>
        <w:tc>
          <w:tcPr>
            <w:tcW w:w="100" w:type="dxa"/>
            <w:vAlign w:val="bottom"/>
          </w:tcPr>
          <w:p>
            <w:pPr>
              <w:spacing w:after="0"/>
              <w:rPr>
                <w:sz w:val="20"/>
                <w:szCs w:val="20"/>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Month #1 (July 1 - July 31)</w:t>
            </w:r>
          </w:p>
        </w:tc>
        <w:tc>
          <w:tcPr>
            <w:tcW w:w="170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1,880,642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Month #2 (August 1 - August 31)</w:t>
            </w:r>
          </w:p>
        </w:tc>
        <w:tc>
          <w:tcPr>
            <w:tcW w:w="1700" w:type="dxa"/>
            <w:vAlign w:val="bottom"/>
          </w:tcPr>
          <w:p>
            <w:pPr>
              <w:ind w:left="1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1,880,642</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5"/>
              </w:rPr>
              <w:t>Month #3 (September 1 - September 30)</w:t>
            </w:r>
          </w:p>
        </w:tc>
        <w:tc>
          <w:tcPr>
            <w:tcW w:w="170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1,880,642</w:t>
            </w:r>
          </w:p>
        </w:tc>
      </w:tr>
      <w:tr>
        <w:trPr>
          <w:trHeight w:val="20"/>
        </w:trPr>
        <w:tc>
          <w:tcPr>
            <w:tcW w:w="31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ind w:left="1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1,880,642</w:t>
            </w:r>
          </w:p>
        </w:tc>
      </w:tr>
      <w:tr>
        <w:trPr>
          <w:trHeight w:val="20"/>
        </w:trPr>
        <w:tc>
          <w:tcPr>
            <w:tcW w:w="3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2900" w:hanging="5330"/>
        <w:spacing w:after="0" w:line="417" w:lineRule="auto"/>
        <w:tabs>
          <w:tab w:leader="none" w:pos="446"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The weighted average price paid per share of common stock does not include the cost of broker commissions.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Exhibits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17"/>
                <w:szCs w:val="17"/>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0000EE"/>
              </w:rPr>
              <w:t>Certification of the Chief Executive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sz w:val="20"/>
                <w:szCs w:val="20"/>
                <w:color w:val="auto"/>
              </w:rPr>
            </w:pPr>
            <w:r>
              <w:rPr>
                <w:rFonts w:ascii="Arial" w:cs="Arial" w:eastAsia="Arial" w:hAnsi="Arial"/>
                <w:sz w:val="18"/>
                <w:szCs w:val="18"/>
                <w:color w:val="0000EE"/>
              </w:rPr>
              <w:t>Certification of the Principal Financial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sz w:val="20"/>
                <w:szCs w:val="20"/>
                <w:color w:val="auto"/>
              </w:rPr>
            </w:pPr>
            <w:r>
              <w:rPr>
                <w:rFonts w:ascii="Arial" w:cs="Arial" w:eastAsia="Arial" w:hAnsi="Arial"/>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INS</w:t>
            </w:r>
          </w:p>
        </w:tc>
        <w:tc>
          <w:tcPr>
            <w:tcW w:w="10180" w:type="dxa"/>
            <w:vAlign w:val="bottom"/>
            <w:gridSpan w:val="4"/>
          </w:tcPr>
          <w:p>
            <w:pPr>
              <w:spacing w:after="0"/>
              <w:rPr>
                <w:sz w:val="20"/>
                <w:szCs w:val="20"/>
                <w:color w:val="auto"/>
              </w:rPr>
            </w:pPr>
            <w:r>
              <w:rPr>
                <w:rFonts w:ascii="Arial" w:cs="Arial" w:eastAsia="Arial" w:hAnsi="Arial"/>
                <w:sz w:val="18"/>
                <w:szCs w:val="18"/>
                <w:color w:val="auto"/>
                <w:w w:val="91"/>
              </w:rPr>
              <w:t>Inline XBRL Instance Document – The instant document does not appear in the Interactive Data File because its XBRL tags are embedded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8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101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CAL</w:t>
            </w:r>
          </w:p>
        </w:tc>
        <w:tc>
          <w:tcPr>
            <w:tcW w:w="101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DEF</w:t>
            </w:r>
          </w:p>
        </w:tc>
        <w:tc>
          <w:tcPr>
            <w:tcW w:w="101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LAB</w:t>
            </w:r>
          </w:p>
        </w:tc>
        <w:tc>
          <w:tcPr>
            <w:tcW w:w="101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101.1</w:t>
            </w:r>
          </w:p>
        </w:tc>
        <w:tc>
          <w:tcPr>
            <w:tcW w:w="600" w:type="dxa"/>
            <w:vAlign w:val="bottom"/>
          </w:tcPr>
          <w:p>
            <w:pPr>
              <w:ind w:left="20"/>
              <w:spacing w:after="0"/>
              <w:rPr>
                <w:sz w:val="20"/>
                <w:szCs w:val="20"/>
                <w:color w:val="auto"/>
              </w:rPr>
            </w:pPr>
            <w:r>
              <w:rPr>
                <w:rFonts w:ascii="Arial" w:cs="Arial" w:eastAsia="Arial" w:hAnsi="Arial"/>
                <w:sz w:val="18"/>
                <w:szCs w:val="18"/>
                <w:color w:val="auto"/>
              </w:rPr>
              <w:t>PRE</w:t>
            </w:r>
          </w:p>
        </w:tc>
        <w:tc>
          <w:tcPr>
            <w:tcW w:w="1018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ind w:left="1040" w:hanging="1032"/>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September 30, 2022, has been formatted in Inline</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XBRL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2380"/>
              <w:spacing w:after="0"/>
              <w:rPr>
                <w:sz w:val="20"/>
                <w:szCs w:val="20"/>
                <w:color w:val="auto"/>
              </w:rPr>
            </w:pPr>
            <w:r>
              <w:rPr>
                <w:rFonts w:ascii="Arial" w:cs="Arial" w:eastAsia="Arial" w:hAnsi="Arial"/>
                <w:sz w:val="18"/>
                <w:szCs w:val="18"/>
                <w:color w:val="auto"/>
              </w:rPr>
              <w:t>HEALTHSTREAM,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October 27, 2022</w:t>
            </w:r>
          </w:p>
        </w:tc>
        <w:tc>
          <w:tcPr>
            <w:tcW w:w="7600" w:type="dxa"/>
            <w:vAlign w:val="bottom"/>
            <w:gridSpan w:val="2"/>
          </w:tcPr>
          <w:p>
            <w:pPr>
              <w:ind w:left="2380"/>
              <w:spacing w:after="0"/>
              <w:rPr>
                <w:sz w:val="20"/>
                <w:szCs w:val="20"/>
                <w:color w:val="auto"/>
              </w:rPr>
            </w:pPr>
            <w:r>
              <w:rPr>
                <w:rFonts w:ascii="Arial" w:cs="Arial" w:eastAsia="Arial" w:hAnsi="Arial"/>
                <w:sz w:val="18"/>
                <w:szCs w:val="18"/>
                <w:color w:val="auto"/>
              </w:rPr>
              <w:t>By:   /s/ Scott A. Roberts</w:t>
            </w:r>
          </w:p>
        </w:tc>
      </w:tr>
      <w:tr>
        <w:trPr>
          <w:trHeight w:val="195"/>
        </w:trPr>
        <w:tc>
          <w:tcPr>
            <w:tcW w:w="36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36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0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6"/>
        <w:spacing w:after="0" w:line="308" w:lineRule="auto"/>
        <w:tabs>
          <w:tab w:leader="none" w:pos="7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6"/>
        <w:spacing w:after="0" w:line="263" w:lineRule="auto"/>
        <w:tabs>
          <w:tab w:leader="none" w:pos="71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6"/>
        <w:spacing w:after="0" w:line="277" w:lineRule="auto"/>
        <w:tabs>
          <w:tab w:leader="none" w:pos="69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October 27, 2022</w:t>
            </w:r>
          </w:p>
        </w:tc>
        <w:tc>
          <w:tcPr>
            <w:tcW w:w="6960" w:type="dxa"/>
            <w:vAlign w:val="bottom"/>
            <w:tcBorders>
              <w:bottom w:val="single" w:sz="8" w:color="auto"/>
            </w:tcBorders>
          </w:tcPr>
          <w:p>
            <w:pPr>
              <w:ind w:left="258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4280" w:type="dxa"/>
            <w:vAlign w:val="bottom"/>
          </w:tcPr>
          <w:p>
            <w:pPr>
              <w:spacing w:after="0"/>
              <w:rPr>
                <w:sz w:val="16"/>
                <w:szCs w:val="16"/>
                <w:color w:val="auto"/>
              </w:rPr>
            </w:pPr>
          </w:p>
        </w:tc>
        <w:tc>
          <w:tcPr>
            <w:tcW w:w="6960" w:type="dxa"/>
            <w:vAlign w:val="bottom"/>
          </w:tcPr>
          <w:p>
            <w:pPr>
              <w:ind w:left="2580"/>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4280" w:type="dxa"/>
            <w:vAlign w:val="bottom"/>
          </w:tcPr>
          <w:p>
            <w:pPr>
              <w:spacing w:after="0"/>
              <w:rPr>
                <w:sz w:val="20"/>
                <w:szCs w:val="20"/>
                <w:color w:val="auto"/>
              </w:rPr>
            </w:pPr>
          </w:p>
        </w:tc>
        <w:tc>
          <w:tcPr>
            <w:tcW w:w="6960" w:type="dxa"/>
            <w:vAlign w:val="bottom"/>
          </w:tcPr>
          <w:p>
            <w:pPr>
              <w:ind w:left="25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0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hanging="6"/>
        <w:spacing w:after="0" w:line="263" w:lineRule="auto"/>
        <w:tabs>
          <w:tab w:leader="none" w:pos="7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hanging="6"/>
        <w:spacing w:after="0" w:line="308" w:lineRule="auto"/>
        <w:tabs>
          <w:tab w:leader="none" w:pos="731"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hanging="6"/>
        <w:spacing w:after="0" w:line="263" w:lineRule="auto"/>
        <w:tabs>
          <w:tab w:leader="none" w:pos="71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 w:hanging="6"/>
        <w:spacing w:after="0" w:line="277" w:lineRule="auto"/>
        <w:tabs>
          <w:tab w:leader="none" w:pos="6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7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October 27, 2022</w:t>
            </w:r>
          </w:p>
        </w:tc>
        <w:tc>
          <w:tcPr>
            <w:tcW w:w="6980" w:type="dxa"/>
            <w:vAlign w:val="bottom"/>
            <w:tcBorders>
              <w:bottom w:val="single" w:sz="8" w:color="auto"/>
            </w:tcBorders>
          </w:tcPr>
          <w:p>
            <w:pPr>
              <w:ind w:left="256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tc>
      </w:tr>
      <w:tr>
        <w:trPr>
          <w:trHeight w:val="195"/>
        </w:trPr>
        <w:tc>
          <w:tcPr>
            <w:tcW w:w="4260" w:type="dxa"/>
            <w:vAlign w:val="bottom"/>
          </w:tcPr>
          <w:p>
            <w:pPr>
              <w:spacing w:after="0"/>
              <w:rPr>
                <w:sz w:val="16"/>
                <w:szCs w:val="16"/>
                <w:color w:val="auto"/>
              </w:rPr>
            </w:pPr>
          </w:p>
        </w:tc>
        <w:tc>
          <w:tcPr>
            <w:tcW w:w="6980" w:type="dxa"/>
            <w:vAlign w:val="bottom"/>
          </w:tcPr>
          <w:p>
            <w:pPr>
              <w:ind w:left="2560"/>
              <w:spacing w:after="0" w:line="195" w:lineRule="exact"/>
              <w:rPr>
                <w:sz w:val="20"/>
                <w:szCs w:val="20"/>
                <w:color w:val="auto"/>
              </w:rPr>
            </w:pPr>
            <w:r>
              <w:rPr>
                <w:rFonts w:ascii="Arial" w:cs="Arial" w:eastAsia="Arial" w:hAnsi="Arial"/>
                <w:sz w:val="18"/>
                <w:szCs w:val="18"/>
                <w:color w:val="auto"/>
              </w:rPr>
              <w:t>Scott A. Roberts</w:t>
            </w:r>
          </w:p>
        </w:tc>
      </w:tr>
      <w:tr>
        <w:trPr>
          <w:trHeight w:val="230"/>
        </w:trPr>
        <w:tc>
          <w:tcPr>
            <w:tcW w:w="4260" w:type="dxa"/>
            <w:vAlign w:val="bottom"/>
          </w:tcPr>
          <w:p>
            <w:pPr>
              <w:spacing w:after="0"/>
              <w:rPr>
                <w:sz w:val="20"/>
                <w:szCs w:val="20"/>
                <w:color w:val="auto"/>
              </w:rPr>
            </w:pPr>
          </w:p>
        </w:tc>
        <w:tc>
          <w:tcPr>
            <w:tcW w:w="6980" w:type="dxa"/>
            <w:vAlign w:val="bottom"/>
          </w:tcPr>
          <w:p>
            <w:pPr>
              <w:ind w:left="25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2022,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2022</w:t>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2022,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cott</w:t>
      </w:r>
      <w:r>
        <w:rPr>
          <w:rFonts w:ascii="Arial" w:cs="Arial" w:eastAsia="Arial" w:hAnsi="Arial"/>
          <w:sz w:val="18"/>
          <w:szCs w:val="18"/>
          <w:color w:val="auto"/>
        </w:rPr>
        <w:t xml:space="preserve"> A. R</w:t>
      </w:r>
      <w:r>
        <w:rPr>
          <w:rFonts w:ascii="Arial" w:cs="Arial" w:eastAsia="Arial" w:hAnsi="Arial"/>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94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2022</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2022-10-27T15:54:01Z</dcterms:created>
  <dcterms:modified xsi:type="dcterms:W3CDTF">2022-10-27T15:54:01Z</dcterms:modified>
</cp:coreProperties>
</file>