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98"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Commission File No.: 000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27701</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6"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Tennessee</w:t>
            </w:r>
          </w:p>
        </w:tc>
        <w:tc>
          <w:tcPr>
            <w:tcW w:w="8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60" w:type="dxa"/>
            <w:vAlign w:val="bottom"/>
            <w:tcBorders>
              <w:bottom w:val="single" w:sz="8" w:color="auto"/>
            </w:tcBorders>
            <w:gridSpan w:val="3"/>
          </w:tcPr>
          <w:p>
            <w:pPr>
              <w:jc w:val="center"/>
              <w:spacing w:after="0" w:line="207" w:lineRule="exact"/>
              <w:rPr>
                <w:sz w:val="20"/>
                <w:szCs w:val="20"/>
                <w:color w:val="auto"/>
              </w:rPr>
            </w:pPr>
            <w:r>
              <w:rPr>
                <w:rFonts w:ascii="Arial" w:cs="Arial" w:eastAsia="Arial" w:hAnsi="Arial"/>
                <w:sz w:val="18"/>
                <w:szCs w:val="18"/>
                <w:b w:val="1"/>
                <w:bCs w:val="1"/>
                <w:color w:val="auto"/>
                <w:w w:val="89"/>
              </w:rPr>
              <w:t>62</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1443555</w:t>
            </w:r>
          </w:p>
        </w:tc>
        <w:tc>
          <w:tcPr>
            <w:tcW w:w="120" w:type="dxa"/>
            <w:vAlign w:val="bottom"/>
          </w:tcPr>
          <w:p>
            <w:pPr>
              <w:spacing w:after="0"/>
              <w:rPr>
                <w:sz w:val="17"/>
                <w:szCs w:val="17"/>
                <w:color w:val="auto"/>
              </w:rPr>
            </w:pPr>
          </w:p>
        </w:tc>
      </w:tr>
      <w:tr>
        <w:trPr>
          <w:trHeight w:val="146"/>
        </w:trPr>
        <w:tc>
          <w:tcPr>
            <w:tcW w:w="2500" w:type="dxa"/>
            <w:vAlign w:val="bottom"/>
            <w:gridSpan w:val="5"/>
          </w:tcPr>
          <w:p>
            <w:pPr>
              <w:jc w:val="center"/>
              <w:spacing w:after="0" w:line="147" w:lineRule="exact"/>
              <w:rPr>
                <w:sz w:val="20"/>
                <w:szCs w:val="20"/>
                <w:color w:val="auto"/>
              </w:rPr>
            </w:pPr>
            <w:r>
              <w:rPr>
                <w:rFonts w:ascii="Arial" w:cs="Arial" w:eastAsia="Arial" w:hAnsi="Arial"/>
                <w:sz w:val="14"/>
                <w:szCs w:val="14"/>
                <w:b w:val="1"/>
                <w:bCs w:val="1"/>
                <w:color w:val="auto"/>
                <w:w w:val="90"/>
              </w:rPr>
              <w:t>(State or other jurisdiction of</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40" w:type="dxa"/>
            <w:vAlign w:val="bottom"/>
            <w:gridSpan w:val="5"/>
          </w:tcPr>
          <w:p>
            <w:pPr>
              <w:jc w:val="center"/>
              <w:ind w:left="1668"/>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5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incorporation or organization)</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40" w:type="dxa"/>
            <w:vAlign w:val="bottom"/>
            <w:gridSpan w:val="5"/>
          </w:tcPr>
          <w:p>
            <w:pPr>
              <w:jc w:val="center"/>
              <w:ind w:left="1668"/>
              <w:spacing w:after="0"/>
              <w:rPr>
                <w:sz w:val="20"/>
                <w:szCs w:val="20"/>
                <w:color w:val="auto"/>
              </w:rPr>
            </w:pPr>
            <w:r>
              <w:rPr>
                <w:rFonts w:ascii="Arial" w:cs="Arial" w:eastAsia="Arial" w:hAnsi="Arial"/>
                <w:sz w:val="14"/>
                <w:szCs w:val="14"/>
                <w:b w:val="1"/>
                <w:bCs w:val="1"/>
                <w:color w:val="auto"/>
                <w:w w:val="92"/>
              </w:rPr>
              <w:t>Identification No.)</w:t>
            </w:r>
          </w:p>
        </w:tc>
      </w:tr>
      <w:tr>
        <w:trPr>
          <w:trHeight w:val="331"/>
        </w:trPr>
        <w:tc>
          <w:tcPr>
            <w:tcW w:w="2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209 10th Avenue South, Suite 450</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480" w:type="dxa"/>
            <w:vAlign w:val="bottom"/>
          </w:tcPr>
          <w:p>
            <w:pPr>
              <w:spacing w:after="0"/>
              <w:rPr>
                <w:sz w:val="16"/>
                <w:szCs w:val="16"/>
                <w:color w:val="auto"/>
              </w:rPr>
            </w:pPr>
          </w:p>
        </w:tc>
        <w:tc>
          <w:tcPr>
            <w:tcW w:w="15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84"/>
              </w:rPr>
              <w:t>Nashville, Tennessee</w:t>
            </w:r>
          </w:p>
        </w:tc>
        <w:tc>
          <w:tcPr>
            <w:tcW w:w="480" w:type="dxa"/>
            <w:vAlign w:val="bottom"/>
          </w:tcPr>
          <w:p>
            <w:pPr>
              <w:spacing w:after="0"/>
              <w:rPr>
                <w:sz w:val="16"/>
                <w:szCs w:val="16"/>
                <w:color w:val="auto"/>
              </w:rPr>
            </w:pPr>
          </w:p>
        </w:tc>
        <w:tc>
          <w:tcPr>
            <w:tcW w:w="4220" w:type="dxa"/>
            <w:vAlign w:val="bottom"/>
            <w:gridSpan w:val="4"/>
          </w:tcPr>
          <w:p>
            <w:pPr>
              <w:spacing w:after="0"/>
              <w:rPr>
                <w:sz w:val="16"/>
                <w:szCs w:val="16"/>
                <w:color w:val="auto"/>
              </w:rPr>
            </w:pPr>
          </w:p>
        </w:tc>
        <w:tc>
          <w:tcPr>
            <w:tcW w:w="4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87"/>
              </w:rPr>
              <w:t>37203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25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8"/>
                <w:szCs w:val="18"/>
                <w:b w:val="1"/>
                <w:bCs w:val="1"/>
                <w:color w:val="auto"/>
                <w:w w:val="91"/>
              </w:rPr>
              <w:t>(615) 301</w:t>
            </w:r>
            <w:r>
              <w:rPr>
                <w:rFonts w:ascii="MS PGothic" w:cs="MS PGothic" w:eastAsia="MS PGothic" w:hAnsi="MS PGothic"/>
                <w:sz w:val="18"/>
                <w:szCs w:val="18"/>
                <w:b w:val="1"/>
                <w:bCs w:val="1"/>
                <w:color w:val="auto"/>
                <w:w w:val="91"/>
              </w:rPr>
              <w:t>‑</w:t>
            </w:r>
            <w:r>
              <w:rPr>
                <w:rFonts w:ascii="Arial" w:cs="Arial" w:eastAsia="Arial" w:hAnsi="Arial"/>
                <w:sz w:val="18"/>
                <w:szCs w:val="18"/>
                <w:b w:val="1"/>
                <w:bCs w:val="1"/>
                <w:color w:val="auto"/>
                <w:w w:val="91"/>
              </w:rPr>
              <w:t>3100</w:t>
            </w:r>
          </w:p>
        </w:tc>
        <w:tc>
          <w:tcPr>
            <w:tcW w:w="2840" w:type="dxa"/>
            <w:vAlign w:val="bottom"/>
            <w:gridSpan w:val="5"/>
          </w:tcPr>
          <w:p>
            <w:pPr>
              <w:spacing w:after="0"/>
              <w:rPr>
                <w:sz w:val="24"/>
                <w:szCs w:val="24"/>
                <w:color w:val="auto"/>
              </w:rPr>
            </w:pPr>
          </w:p>
        </w:tc>
      </w:tr>
      <w:tr>
        <w:trPr>
          <w:trHeight w:val="184"/>
        </w:trPr>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0" w:type="dxa"/>
            <w:vAlign w:val="bottom"/>
            <w:gridSpan w:val="7"/>
          </w:tcPr>
          <w:p>
            <w:pPr>
              <w:jc w:val="center"/>
              <w:ind w:right="180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bl>
    <w:p>
      <w:pPr>
        <w:spacing w:after="0" w:line="14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18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118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5180" w:type="dxa"/>
            <w:vAlign w:val="bottom"/>
          </w:tcPr>
          <w:p>
            <w:pPr>
              <w:ind w:left="6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240" w:type="dxa"/>
            <w:vAlign w:val="bottom"/>
          </w:tcPr>
          <w:p>
            <w:pPr>
              <w:ind w:left="118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180" w:type="dxa"/>
            <w:vAlign w:val="bottom"/>
          </w:tcPr>
          <w:p>
            <w:pPr>
              <w:ind w:left="68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14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right="2380"/>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3, 2018, there were 32,322,804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914400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jc w:val="center"/>
        <w:ind w:right="20"/>
        <w:spacing w:after="0" w:line="207" w:lineRule="exact"/>
        <w:rPr>
          <w:sz w:val="20"/>
          <w:szCs w:val="20"/>
          <w:color w:val="auto"/>
        </w:rPr>
      </w:pPr>
      <w:r>
        <w:rPr>
          <w:rFonts w:ascii="Arial" w:cs="Arial" w:eastAsia="Arial" w:hAnsi="Arial"/>
          <w:sz w:val="18"/>
          <w:szCs w:val="18"/>
          <w:b w:val="1"/>
          <w:bCs w:val="1"/>
          <w:color w:val="auto"/>
        </w:rPr>
        <w:t>Index to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HEALTHSTREAM, INC.</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Page</w:t>
            </w:r>
          </w:p>
        </w:tc>
      </w:tr>
      <w:tr>
        <w:trPr>
          <w:trHeight w:val="171"/>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4"/>
                <w:szCs w:val="14"/>
                <w:color w:val="auto"/>
              </w:rPr>
            </w:pPr>
          </w:p>
        </w:tc>
      </w:tr>
      <w:tr>
        <w:trPr>
          <w:trHeight w:val="291"/>
        </w:trPr>
        <w:tc>
          <w:tcPr>
            <w:tcW w:w="1040" w:type="dxa"/>
            <w:vAlign w:val="bottom"/>
          </w:tcPr>
          <w:p>
            <w:pPr>
              <w:spacing w:after="0"/>
              <w:rPr>
                <w:sz w:val="20"/>
                <w:szCs w:val="20"/>
                <w:color w:val="auto"/>
              </w:rPr>
            </w:pPr>
            <w:r>
              <w:rPr>
                <w:rFonts w:ascii="Arial" w:cs="Arial" w:eastAsia="Arial" w:hAnsi="Arial"/>
                <w:sz w:val="18"/>
                <w:szCs w:val="18"/>
                <w:color w:val="auto"/>
              </w:rPr>
              <w:t>Part I.</w:t>
            </w:r>
          </w:p>
        </w:tc>
        <w:tc>
          <w:tcPr>
            <w:tcW w:w="94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60" w:type="dxa"/>
            <w:vAlign w:val="bottom"/>
            <w:tcBorders>
              <w:top w:val="single" w:sz="8" w:color="0000EE"/>
            </w:tcBorders>
          </w:tcPr>
          <w:p>
            <w:pPr>
              <w:spacing w:after="0"/>
              <w:rPr>
                <w:sz w:val="24"/>
                <w:szCs w:val="24"/>
                <w:color w:val="auto"/>
              </w:rPr>
            </w:pPr>
          </w:p>
        </w:tc>
        <w:tc>
          <w:tcPr>
            <w:tcW w:w="7940" w:type="dxa"/>
            <w:vAlign w:val="bottom"/>
            <w:gridSpan w:val="10"/>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318"/>
        </w:trPr>
        <w:tc>
          <w:tcPr>
            <w:tcW w:w="1040" w:type="dxa"/>
            <w:vAlign w:val="bottom"/>
          </w:tcPr>
          <w:p>
            <w:pPr>
              <w:spacing w:after="0"/>
              <w:rPr>
                <w:sz w:val="24"/>
                <w:szCs w:val="24"/>
                <w:color w:val="auto"/>
              </w:rPr>
            </w:pPr>
          </w:p>
        </w:tc>
        <w:tc>
          <w:tcPr>
            <w:tcW w:w="666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 June 30, 2018 and December 31, 2017</w:t>
              </w:r>
            </w:hyperlink>
          </w:p>
        </w:tc>
        <w:tc>
          <w:tcPr>
            <w:tcW w:w="2820" w:type="dxa"/>
            <w:vAlign w:val="bottom"/>
            <w:gridSpan w:val="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318"/>
        </w:trPr>
        <w:tc>
          <w:tcPr>
            <w:tcW w:w="1040" w:type="dxa"/>
            <w:vAlign w:val="bottom"/>
          </w:tcPr>
          <w:p>
            <w:pPr>
              <w:spacing w:after="0"/>
              <w:rPr>
                <w:sz w:val="24"/>
                <w:szCs w:val="24"/>
                <w:color w:val="auto"/>
              </w:rPr>
            </w:pPr>
          </w:p>
        </w:tc>
        <w:tc>
          <w:tcPr>
            <w:tcW w:w="9480" w:type="dxa"/>
            <w:vAlign w:val="bottom"/>
            <w:gridSpan w:val="15"/>
          </w:tcPr>
          <w:p>
            <w:pPr>
              <w:spacing w:after="0" w:line="207" w:lineRule="exact"/>
              <w:rPr>
                <w:rFonts w:ascii="Arial" w:cs="Arial" w:eastAsia="Arial" w:hAnsi="Arial"/>
                <w:sz w:val="18"/>
                <w:szCs w:val="18"/>
                <w:color w:val="0000EE"/>
              </w:rPr>
            </w:pPr>
            <w:hyperlink w:anchor="page4">
              <w:r>
                <w:rPr>
                  <w:rFonts w:ascii="Arial" w:cs="Arial" w:eastAsia="Arial" w:hAnsi="Arial"/>
                  <w:sz w:val="18"/>
                  <w:szCs w:val="18"/>
                  <w:color w:val="0000EE"/>
                </w:rPr>
                <w:t xml:space="preserve">Condensed Consolidated Statements of Income (Unaudited) </w:t>
              </w:r>
              <w:r>
                <w:rPr>
                  <w:rFonts w:ascii="MS PGothic" w:cs="MS PGothic" w:eastAsia="MS PGothic" w:hAnsi="MS PGothic"/>
                  <w:sz w:val="18"/>
                  <w:szCs w:val="18"/>
                  <w:color w:val="0000EE"/>
                </w:rPr>
                <w:t>‑</w:t>
              </w:r>
              <w:r>
                <w:rPr>
                  <w:rFonts w:ascii="Arial" w:cs="Arial" w:eastAsia="Arial" w:hAnsi="Arial"/>
                  <w:sz w:val="18"/>
                  <w:szCs w:val="18"/>
                  <w:color w:val="0000EE"/>
                </w:rPr>
                <w:t xml:space="preserve"> Three and Six Months Ended June 30, 2018 and 2017</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(Unaudited) - Three and Six Months Ended June 30, 2018 and 2017</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930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Shareholders' Equity (Unaudited) – Six Months Ended June 30, 2018</w:t>
              </w:r>
            </w:hyperlink>
          </w:p>
        </w:tc>
        <w:tc>
          <w:tcPr>
            <w:tcW w:w="1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15"/>
          </w:tcPr>
          <w:p>
            <w:pPr>
              <w:spacing w:after="0" w:line="207" w:lineRule="exact"/>
              <w:rPr>
                <w:rFonts w:ascii="Arial" w:cs="Arial" w:eastAsia="Arial" w:hAnsi="Arial"/>
                <w:sz w:val="18"/>
                <w:szCs w:val="18"/>
                <w:color w:val="0000EE"/>
              </w:rPr>
            </w:pPr>
            <w:hyperlink w:anchor="page7">
              <w:r>
                <w:rPr>
                  <w:rFonts w:ascii="Arial" w:cs="Arial" w:eastAsia="Arial" w:hAnsi="Arial"/>
                  <w:sz w:val="18"/>
                  <w:szCs w:val="18"/>
                  <w:color w:val="0000EE"/>
                </w:rPr>
                <w:t xml:space="preserve">Condensed Consolidated Statements of Cash Flows (Unaudited) </w:t>
              </w:r>
              <w:r>
                <w:rPr>
                  <w:rFonts w:ascii="MS PGothic" w:cs="MS PGothic" w:eastAsia="MS PGothic" w:hAnsi="MS PGothic"/>
                  <w:sz w:val="18"/>
                  <w:szCs w:val="18"/>
                  <w:color w:val="0000EE"/>
                </w:rPr>
                <w:t>‑</w:t>
              </w:r>
              <w:r>
                <w:rPr>
                  <w:rFonts w:ascii="Arial" w:cs="Arial" w:eastAsia="Arial" w:hAnsi="Arial"/>
                  <w:sz w:val="18"/>
                  <w:szCs w:val="18"/>
                  <w:color w:val="0000EE"/>
                </w:rPr>
                <w:t xml:space="preserve"> Six Months Ended June 30, 2018 and 2017</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318"/>
        </w:trPr>
        <w:tc>
          <w:tcPr>
            <w:tcW w:w="1040" w:type="dxa"/>
            <w:vAlign w:val="bottom"/>
          </w:tcPr>
          <w:p>
            <w:pPr>
              <w:spacing w:after="0"/>
              <w:rPr>
                <w:sz w:val="24"/>
                <w:szCs w:val="24"/>
                <w:color w:val="auto"/>
              </w:rPr>
            </w:pPr>
          </w:p>
        </w:tc>
        <w:tc>
          <w:tcPr>
            <w:tcW w:w="7700" w:type="dxa"/>
            <w:vAlign w:val="bottom"/>
            <w:tcBorders>
              <w:top w:val="single" w:sz="8" w:color="0000EE"/>
            </w:tcBorders>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780" w:type="dxa"/>
            <w:vAlign w:val="bottom"/>
            <w:gridSpan w:val="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Financial Condition and Results of Operations</w:t>
              </w:r>
            </w:hyperlink>
          </w:p>
        </w:tc>
        <w:tc>
          <w:tcPr>
            <w:tcW w:w="3180" w:type="dxa"/>
            <w:vAlign w:val="bottom"/>
            <w:gridSpan w:val="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2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Quantitative and Qualitative Disclosures about Market Risk</w:t>
              </w:r>
            </w:hyperlink>
          </w:p>
        </w:tc>
        <w:tc>
          <w:tcPr>
            <w:tcW w:w="5260" w:type="dxa"/>
            <w:vAlign w:val="bottom"/>
            <w:gridSpan w:val="8"/>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6">
              <w:r>
                <w:rPr>
                  <w:rFonts w:ascii="Arial" w:cs="Arial" w:eastAsia="Arial" w:hAnsi="Arial"/>
                  <w:sz w:val="18"/>
                  <w:szCs w:val="18"/>
                  <w:color w:val="0000EE"/>
                  <w:w w:val="86"/>
                </w:rPr>
                <w:t>Controls and Procedures</w:t>
              </w:r>
            </w:hyperlink>
          </w:p>
        </w:tc>
        <w:tc>
          <w:tcPr>
            <w:tcW w:w="7740" w:type="dxa"/>
            <w:vAlign w:val="bottom"/>
            <w:gridSpan w:val="9"/>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Part II.</w:t>
            </w:r>
          </w:p>
        </w:tc>
        <w:tc>
          <w:tcPr>
            <w:tcW w:w="13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Other Information</w:t>
              </w:r>
            </w:hyperlink>
          </w:p>
        </w:tc>
        <w:tc>
          <w:tcPr>
            <w:tcW w:w="8180" w:type="dxa"/>
            <w:vAlign w:val="bottom"/>
            <w:gridSpan w:val="1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8880" w:type="dxa"/>
            <w:vAlign w:val="bottom"/>
            <w:gridSpan w:val="14"/>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4"/>
                <w:szCs w:val="24"/>
                <w:color w:val="auto"/>
              </w:rPr>
            </w:pPr>
          </w:p>
        </w:tc>
        <w:tc>
          <w:tcPr>
            <w:tcW w:w="948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1729"/>
        </w:trPr>
        <w:tc>
          <w:tcPr>
            <w:tcW w:w="104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20" w:type="dxa"/>
            <w:vAlign w:val="bottom"/>
          </w:tcPr>
          <w:p>
            <w:pPr>
              <w:spacing w:after="0"/>
              <w:rPr>
                <w:sz w:val="14"/>
                <w:szCs w:val="14"/>
                <w:color w:val="auto"/>
              </w:rPr>
            </w:pPr>
          </w:p>
        </w:tc>
        <w:tc>
          <w:tcPr>
            <w:tcW w:w="21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6720" w:type="dxa"/>
            <w:vAlign w:val="bottom"/>
            <w:tcBorders>
              <w:top w:val="single" w:sz="8" w:color="CFF0FC"/>
            </w:tcBorders>
            <w:shd w:val="clear" w:color="auto" w:fill="CFF0FC"/>
          </w:tcPr>
          <w:p>
            <w:pPr>
              <w:ind w:left="3520"/>
              <w:spacing w:after="0"/>
              <w:rPr>
                <w:sz w:val="20"/>
                <w:szCs w:val="20"/>
                <w:color w:val="auto"/>
              </w:rPr>
            </w:pPr>
            <w:r>
              <w:rPr>
                <w:rFonts w:ascii="Arial" w:cs="Arial" w:eastAsia="Arial" w:hAnsi="Arial"/>
                <w:sz w:val="16"/>
                <w:szCs w:val="16"/>
                <w:b w:val="1"/>
                <w:bCs w:val="1"/>
                <w:color w:val="auto"/>
              </w:rPr>
              <w:t>ASSETS</w:t>
            </w:r>
          </w:p>
        </w:tc>
        <w:tc>
          <w:tcPr>
            <w:tcW w:w="1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720" w:type="dxa"/>
            <w:vAlign w:val="bottom"/>
          </w:tcPr>
          <w:p>
            <w:pPr>
              <w:spacing w:after="0"/>
              <w:rPr>
                <w:sz w:val="20"/>
                <w:szCs w:val="20"/>
                <w:color w:val="auto"/>
              </w:rPr>
            </w:pPr>
            <w:r>
              <w:rPr>
                <w:rFonts w:ascii="Arial" w:cs="Arial" w:eastAsia="Arial" w:hAnsi="Arial"/>
                <w:sz w:val="16"/>
                <w:szCs w:val="16"/>
                <w:color w:val="auto"/>
              </w:rPr>
              <w:t>Current assets:</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160" w:type="dxa"/>
            <w:vAlign w:val="bottom"/>
            <w:gridSpan w:val="2"/>
            <w:shd w:val="clear" w:color="auto" w:fill="CFF0FC"/>
          </w:tcPr>
          <w:p>
            <w:pPr>
              <w:jc w:val="right"/>
              <w:ind w:right="88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6"/>
              </w:rPr>
              <w:t>122,577</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84,768</w:t>
            </w:r>
          </w:p>
        </w:tc>
        <w:tc>
          <w:tcPr>
            <w:tcW w:w="100" w:type="dxa"/>
            <w:vAlign w:val="bottom"/>
            <w:shd w:val="clear" w:color="auto" w:fill="CFF0FC"/>
          </w:tcPr>
          <w:p>
            <w:pPr>
              <w:spacing w:after="0"/>
              <w:rPr>
                <w:sz w:val="19"/>
                <w:szCs w:val="19"/>
                <w:color w:val="auto"/>
              </w:rPr>
            </w:pPr>
          </w:p>
        </w:tc>
      </w:tr>
      <w:tr>
        <w:trPr>
          <w:trHeight w:val="213"/>
        </w:trPr>
        <w:tc>
          <w:tcPr>
            <w:tcW w:w="6720" w:type="dxa"/>
            <w:vAlign w:val="bottom"/>
          </w:tcPr>
          <w:p>
            <w:pPr>
              <w:ind w:left="260"/>
              <w:spacing w:after="0"/>
              <w:rPr>
                <w:sz w:val="20"/>
                <w:szCs w:val="20"/>
                <w:color w:val="auto"/>
              </w:rPr>
            </w:pPr>
            <w:r>
              <w:rPr>
                <w:rFonts w:ascii="Arial" w:cs="Arial" w:eastAsia="Arial" w:hAnsi="Arial"/>
                <w:sz w:val="16"/>
                <w:szCs w:val="16"/>
                <w:color w:val="auto"/>
              </w:rPr>
              <w:t>Marketable securities</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42,958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46,350</w:t>
            </w:r>
          </w:p>
        </w:tc>
        <w:tc>
          <w:tcPr>
            <w:tcW w:w="100" w:type="dxa"/>
            <w:vAlign w:val="bottom"/>
          </w:tcPr>
          <w:p>
            <w:pPr>
              <w:spacing w:after="0"/>
              <w:rPr>
                <w:sz w:val="18"/>
                <w:szCs w:val="18"/>
                <w:color w:val="auto"/>
              </w:rPr>
            </w:pPr>
          </w:p>
        </w:tc>
      </w:tr>
      <w:tr>
        <w:trPr>
          <w:trHeight w:val="209"/>
        </w:trPr>
        <w:tc>
          <w:tcPr>
            <w:tcW w:w="6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 of allowance for doubtful accounts of $1,314 and</w:t>
            </w:r>
          </w:p>
        </w:tc>
        <w:tc>
          <w:tcPr>
            <w:tcW w:w="1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6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$1,979 at June 30, 2018 and December 31, 2017, respectively</w:t>
            </w:r>
          </w:p>
        </w:tc>
        <w:tc>
          <w:tcPr>
            <w:tcW w:w="1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36,691</w:t>
            </w:r>
          </w:p>
        </w:tc>
        <w:tc>
          <w:tcPr>
            <w:tcW w:w="100" w:type="dxa"/>
            <w:vAlign w:val="bottom"/>
            <w:shd w:val="clear" w:color="auto" w:fill="CFF0FC"/>
          </w:tcPr>
          <w:p>
            <w:pPr>
              <w:spacing w:after="0"/>
              <w:rPr>
                <w:sz w:val="18"/>
                <w:szCs w:val="18"/>
                <w:color w:val="auto"/>
              </w:rPr>
            </w:pPr>
          </w:p>
        </w:tc>
      </w:tr>
      <w:tr>
        <w:trPr>
          <w:trHeight w:val="213"/>
        </w:trPr>
        <w:tc>
          <w:tcPr>
            <w:tcW w:w="6720" w:type="dxa"/>
            <w:vAlign w:val="bottom"/>
          </w:tcPr>
          <w:p>
            <w:pPr>
              <w:ind w:left="260"/>
              <w:spacing w:after="0"/>
              <w:rPr>
                <w:sz w:val="20"/>
                <w:szCs w:val="20"/>
                <w:color w:val="auto"/>
              </w:rPr>
            </w:pPr>
            <w:r>
              <w:rPr>
                <w:rFonts w:ascii="Arial" w:cs="Arial" w:eastAsia="Arial" w:hAnsi="Arial"/>
                <w:sz w:val="16"/>
                <w:szCs w:val="16"/>
                <w:color w:val="auto"/>
              </w:rPr>
              <w:t>Accounts receivable - unbilled</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18"/>
                <w:szCs w:val="18"/>
                <w:color w:val="auto"/>
              </w:rPr>
            </w:pPr>
          </w:p>
        </w:tc>
      </w:tr>
      <w:tr>
        <w:trPr>
          <w:trHeight w:val="219"/>
        </w:trPr>
        <w:tc>
          <w:tcPr>
            <w:tcW w:w="6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royalties, net of amortization</w:t>
            </w: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16,137</w:t>
            </w:r>
          </w:p>
        </w:tc>
        <w:tc>
          <w:tcPr>
            <w:tcW w:w="100" w:type="dxa"/>
            <w:vAlign w:val="bottom"/>
            <w:shd w:val="clear" w:color="auto" w:fill="CFF0FC"/>
          </w:tcPr>
          <w:p>
            <w:pPr>
              <w:spacing w:after="0"/>
              <w:rPr>
                <w:sz w:val="19"/>
                <w:szCs w:val="19"/>
                <w:color w:val="auto"/>
              </w:rPr>
            </w:pPr>
          </w:p>
        </w:tc>
      </w:tr>
      <w:tr>
        <w:trPr>
          <w:trHeight w:val="213"/>
        </w:trPr>
        <w:tc>
          <w:tcPr>
            <w:tcW w:w="6720" w:type="dxa"/>
            <w:vAlign w:val="bottom"/>
          </w:tcPr>
          <w:p>
            <w:pPr>
              <w:ind w:left="260"/>
              <w:spacing w:after="0"/>
              <w:rPr>
                <w:sz w:val="20"/>
                <w:szCs w:val="20"/>
                <w:color w:val="auto"/>
              </w:rPr>
            </w:pPr>
            <w:r>
              <w:rPr>
                <w:rFonts w:ascii="Arial" w:cs="Arial" w:eastAsia="Arial" w:hAnsi="Arial"/>
                <w:sz w:val="16"/>
                <w:szCs w:val="16"/>
                <w:color w:val="auto"/>
              </w:rPr>
              <w:t>Other prepaid expenses and other current assets</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11,965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8,330</w:t>
            </w:r>
          </w:p>
        </w:tc>
        <w:tc>
          <w:tcPr>
            <w:tcW w:w="100" w:type="dxa"/>
            <w:vAlign w:val="bottom"/>
          </w:tcPr>
          <w:p>
            <w:pPr>
              <w:spacing w:after="0"/>
              <w:rPr>
                <w:sz w:val="18"/>
                <w:szCs w:val="18"/>
                <w:color w:val="auto"/>
              </w:rPr>
            </w:pPr>
          </w:p>
        </w:tc>
      </w:tr>
      <w:tr>
        <w:trPr>
          <w:trHeight w:val="219"/>
        </w:trPr>
        <w:tc>
          <w:tcPr>
            <w:tcW w:w="6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assets of discontinued operations</w:t>
            </w: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6,125</w:t>
            </w:r>
          </w:p>
        </w:tc>
        <w:tc>
          <w:tcPr>
            <w:tcW w:w="100" w:type="dxa"/>
            <w:vAlign w:val="bottom"/>
            <w:shd w:val="clear" w:color="auto" w:fill="CFF0FC"/>
          </w:tcPr>
          <w:p>
            <w:pPr>
              <w:spacing w:after="0"/>
              <w:rPr>
                <w:sz w:val="19"/>
                <w:szCs w:val="19"/>
                <w:color w:val="auto"/>
              </w:rPr>
            </w:pPr>
          </w:p>
        </w:tc>
      </w:tr>
      <w:tr>
        <w:trPr>
          <w:trHeight w:val="207"/>
        </w:trPr>
        <w:tc>
          <w:tcPr>
            <w:tcW w:w="67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225,066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199,728</w:t>
            </w:r>
          </w:p>
        </w:tc>
        <w:tc>
          <w:tcPr>
            <w:tcW w:w="100" w:type="dxa"/>
            <w:vAlign w:val="bottom"/>
          </w:tcPr>
          <w:p>
            <w:pPr>
              <w:spacing w:after="0"/>
              <w:rPr>
                <w:sz w:val="17"/>
                <w:szCs w:val="17"/>
                <w:color w:val="auto"/>
              </w:rPr>
            </w:pPr>
          </w:p>
        </w:tc>
      </w:tr>
      <w:tr>
        <w:trPr>
          <w:trHeight w:val="219"/>
        </w:trPr>
        <w:tc>
          <w:tcPr>
            <w:tcW w:w="67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6"/>
        </w:trPr>
        <w:tc>
          <w:tcPr>
            <w:tcW w:w="6720" w:type="dxa"/>
            <w:vAlign w:val="bottom"/>
          </w:tcPr>
          <w:p>
            <w:pPr>
              <w:spacing w:after="0"/>
              <w:rPr>
                <w:sz w:val="20"/>
                <w:szCs w:val="20"/>
                <w:color w:val="auto"/>
              </w:rPr>
            </w:pPr>
            <w:r>
              <w:rPr>
                <w:rFonts w:ascii="Arial" w:cs="Arial" w:eastAsia="Arial" w:hAnsi="Arial"/>
                <w:sz w:val="16"/>
                <w:szCs w:val="16"/>
                <w:color w:val="auto"/>
              </w:rPr>
              <w:t>Property and equipment, net of accumulated depreciation of $27,171 and</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6720" w:type="dxa"/>
            <w:vAlign w:val="bottom"/>
          </w:tcPr>
          <w:p>
            <w:pPr>
              <w:ind w:left="120"/>
              <w:spacing w:after="0"/>
              <w:rPr>
                <w:sz w:val="20"/>
                <w:szCs w:val="20"/>
                <w:color w:val="auto"/>
              </w:rPr>
            </w:pPr>
            <w:r>
              <w:rPr>
                <w:rFonts w:ascii="Arial" w:cs="Arial" w:eastAsia="Arial" w:hAnsi="Arial"/>
                <w:sz w:val="16"/>
                <w:szCs w:val="16"/>
                <w:color w:val="auto"/>
              </w:rPr>
              <w:t>$24,392 at June 30, 2018 and December 31, 2017, respectively</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8,092</w:t>
            </w:r>
          </w:p>
        </w:tc>
        <w:tc>
          <w:tcPr>
            <w:tcW w:w="100" w:type="dxa"/>
            <w:vAlign w:val="bottom"/>
          </w:tcPr>
          <w:p>
            <w:pPr>
              <w:spacing w:after="0"/>
              <w:rPr>
                <w:sz w:val="18"/>
                <w:szCs w:val="18"/>
                <w:color w:val="auto"/>
              </w:rPr>
            </w:pPr>
          </w:p>
        </w:tc>
      </w:tr>
      <w:tr>
        <w:trPr>
          <w:trHeight w:val="209"/>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Capitalized software development, net of accumulated amortization of $41,908 and</w:t>
            </w:r>
          </w:p>
        </w:tc>
        <w:tc>
          <w:tcPr>
            <w:tcW w:w="1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6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$37,174 at June 30, 2018 and December 31, 2017, respectively</w:t>
            </w:r>
          </w:p>
        </w:tc>
        <w:tc>
          <w:tcPr>
            <w:tcW w:w="1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16,014</w:t>
            </w:r>
          </w:p>
        </w:tc>
        <w:tc>
          <w:tcPr>
            <w:tcW w:w="100" w:type="dxa"/>
            <w:vAlign w:val="bottom"/>
            <w:shd w:val="clear" w:color="auto" w:fill="CFF0FC"/>
          </w:tcPr>
          <w:p>
            <w:pPr>
              <w:spacing w:after="0"/>
              <w:rPr>
                <w:sz w:val="18"/>
                <w:szCs w:val="18"/>
                <w:color w:val="auto"/>
              </w:rPr>
            </w:pPr>
          </w:p>
        </w:tc>
      </w:tr>
      <w:tr>
        <w:trPr>
          <w:trHeight w:val="213"/>
        </w:trPr>
        <w:tc>
          <w:tcPr>
            <w:tcW w:w="6720" w:type="dxa"/>
            <w:vAlign w:val="bottom"/>
          </w:tcPr>
          <w:p>
            <w:pPr>
              <w:spacing w:after="0"/>
              <w:rPr>
                <w:sz w:val="20"/>
                <w:szCs w:val="20"/>
                <w:color w:val="auto"/>
              </w:rPr>
            </w:pPr>
            <w:r>
              <w:rPr>
                <w:rFonts w:ascii="Arial" w:cs="Arial" w:eastAsia="Arial" w:hAnsi="Arial"/>
                <w:sz w:val="16"/>
                <w:szCs w:val="16"/>
                <w:color w:val="auto"/>
              </w:rPr>
              <w:t>Goodwill</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86,144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86,144</w:t>
            </w:r>
          </w:p>
        </w:tc>
        <w:tc>
          <w:tcPr>
            <w:tcW w:w="100" w:type="dxa"/>
            <w:vAlign w:val="bottom"/>
          </w:tcPr>
          <w:p>
            <w:pPr>
              <w:spacing w:after="0"/>
              <w:rPr>
                <w:sz w:val="18"/>
                <w:szCs w:val="18"/>
                <w:color w:val="auto"/>
              </w:rPr>
            </w:pPr>
          </w:p>
        </w:tc>
      </w:tr>
      <w:tr>
        <w:trPr>
          <w:trHeight w:val="209"/>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Customer-related intangibles, net of accumulated amortization of $20,139 and</w:t>
            </w:r>
          </w:p>
        </w:tc>
        <w:tc>
          <w:tcPr>
            <w:tcW w:w="1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6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$17,033 at June 30, 2018 and December 31, 2017, respectively</w:t>
            </w:r>
          </w:p>
        </w:tc>
        <w:tc>
          <w:tcPr>
            <w:tcW w:w="1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56,575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59,681</w:t>
            </w:r>
          </w:p>
        </w:tc>
        <w:tc>
          <w:tcPr>
            <w:tcW w:w="100" w:type="dxa"/>
            <w:vAlign w:val="bottom"/>
            <w:shd w:val="clear" w:color="auto" w:fill="CFF0FC"/>
          </w:tcPr>
          <w:p>
            <w:pPr>
              <w:spacing w:after="0"/>
              <w:rPr>
                <w:sz w:val="18"/>
                <w:szCs w:val="18"/>
                <w:color w:val="auto"/>
              </w:rPr>
            </w:pPr>
          </w:p>
        </w:tc>
      </w:tr>
      <w:tr>
        <w:trPr>
          <w:trHeight w:val="206"/>
        </w:trPr>
        <w:tc>
          <w:tcPr>
            <w:tcW w:w="6720" w:type="dxa"/>
            <w:vAlign w:val="bottom"/>
          </w:tcPr>
          <w:p>
            <w:pPr>
              <w:spacing w:after="0"/>
              <w:rPr>
                <w:sz w:val="20"/>
                <w:szCs w:val="20"/>
                <w:color w:val="auto"/>
              </w:rPr>
            </w:pPr>
            <w:r>
              <w:rPr>
                <w:rFonts w:ascii="Arial" w:cs="Arial" w:eastAsia="Arial" w:hAnsi="Arial"/>
                <w:sz w:val="16"/>
                <w:szCs w:val="16"/>
                <w:color w:val="auto"/>
              </w:rPr>
              <w:t>Other intangible assets, net of accumulated amortization of $9,177 and</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6720" w:type="dxa"/>
            <w:vAlign w:val="bottom"/>
          </w:tcPr>
          <w:p>
            <w:pPr>
              <w:ind w:left="120"/>
              <w:spacing w:after="0"/>
              <w:rPr>
                <w:sz w:val="20"/>
                <w:szCs w:val="20"/>
                <w:color w:val="auto"/>
              </w:rPr>
            </w:pPr>
            <w:r>
              <w:rPr>
                <w:rFonts w:ascii="Arial" w:cs="Arial" w:eastAsia="Arial" w:hAnsi="Arial"/>
                <w:sz w:val="16"/>
                <w:szCs w:val="16"/>
                <w:color w:val="auto"/>
              </w:rPr>
              <w:t>$7,708 at June 30, 2018 and December 31, 2017, respectively</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8,816</w:t>
            </w:r>
          </w:p>
        </w:tc>
        <w:tc>
          <w:tcPr>
            <w:tcW w:w="100" w:type="dxa"/>
            <w:vAlign w:val="bottom"/>
          </w:tcPr>
          <w:p>
            <w:pPr>
              <w:spacing w:after="0"/>
              <w:rPr>
                <w:sz w:val="18"/>
                <w:szCs w:val="18"/>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FF0FC"/>
          </w:tcPr>
          <w:p>
            <w:pPr>
              <w:spacing w:after="0"/>
              <w:rPr>
                <w:sz w:val="19"/>
                <w:szCs w:val="19"/>
                <w:color w:val="auto"/>
              </w:rPr>
            </w:pPr>
          </w:p>
        </w:tc>
      </w:tr>
      <w:tr>
        <w:trPr>
          <w:trHeight w:val="213"/>
        </w:trPr>
        <w:tc>
          <w:tcPr>
            <w:tcW w:w="6720" w:type="dxa"/>
            <w:vAlign w:val="bottom"/>
          </w:tcPr>
          <w:p>
            <w:pPr>
              <w:spacing w:after="0"/>
              <w:rPr>
                <w:sz w:val="20"/>
                <w:szCs w:val="20"/>
                <w:color w:val="auto"/>
              </w:rPr>
            </w:pPr>
            <w:r>
              <w:rPr>
                <w:rFonts w:ascii="Arial" w:cs="Arial" w:eastAsia="Arial" w:hAnsi="Arial"/>
                <w:sz w:val="16"/>
                <w:szCs w:val="16"/>
                <w:color w:val="auto"/>
              </w:rPr>
              <w:t>Deferred commissions</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12,962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Non-marketable equity investments</w:t>
            </w: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3,772</w:t>
            </w:r>
          </w:p>
        </w:tc>
        <w:tc>
          <w:tcPr>
            <w:tcW w:w="100" w:type="dxa"/>
            <w:vAlign w:val="bottom"/>
            <w:shd w:val="clear" w:color="auto" w:fill="CFF0FC"/>
          </w:tcPr>
          <w:p>
            <w:pPr>
              <w:spacing w:after="0"/>
              <w:rPr>
                <w:sz w:val="19"/>
                <w:szCs w:val="19"/>
                <w:color w:val="auto"/>
              </w:rPr>
            </w:pPr>
          </w:p>
        </w:tc>
      </w:tr>
      <w:tr>
        <w:trPr>
          <w:trHeight w:val="213"/>
        </w:trPr>
        <w:tc>
          <w:tcPr>
            <w:tcW w:w="6720" w:type="dxa"/>
            <w:vAlign w:val="bottom"/>
          </w:tcPr>
          <w:p>
            <w:pPr>
              <w:spacing w:after="0"/>
              <w:rPr>
                <w:sz w:val="20"/>
                <w:szCs w:val="20"/>
                <w:color w:val="auto"/>
              </w:rPr>
            </w:pPr>
            <w:r>
              <w:rPr>
                <w:rFonts w:ascii="Arial" w:cs="Arial" w:eastAsia="Arial" w:hAnsi="Arial"/>
                <w:sz w:val="16"/>
                <w:szCs w:val="16"/>
                <w:color w:val="auto"/>
              </w:rPr>
              <w:t>Other assets</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Long-term assets of discontinued operations</w:t>
            </w:r>
          </w:p>
        </w:tc>
        <w:tc>
          <w:tcPr>
            <w:tcW w:w="11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28,073</w:t>
            </w:r>
          </w:p>
        </w:tc>
        <w:tc>
          <w:tcPr>
            <w:tcW w:w="100" w:type="dxa"/>
            <w:vAlign w:val="bottom"/>
            <w:shd w:val="clear" w:color="auto" w:fill="CFF0FC"/>
          </w:tcPr>
          <w:p>
            <w:pPr>
              <w:spacing w:after="0"/>
              <w:rPr>
                <w:sz w:val="19"/>
                <w:szCs w:val="19"/>
                <w:color w:val="auto"/>
              </w:rPr>
            </w:pPr>
          </w:p>
        </w:tc>
      </w:tr>
      <w:tr>
        <w:trPr>
          <w:trHeight w:val="247"/>
        </w:trPr>
        <w:tc>
          <w:tcPr>
            <w:tcW w:w="672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160" w:type="dxa"/>
            <w:vAlign w:val="bottom"/>
            <w:gridSpan w:val="2"/>
          </w:tcPr>
          <w:p>
            <w:pPr>
              <w:jc w:val="right"/>
              <w:ind w:right="888"/>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6"/>
              </w:rPr>
              <w:t>417,688</w:t>
            </w:r>
          </w:p>
        </w:tc>
        <w:tc>
          <w:tcPr>
            <w:tcW w:w="18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411,119</w:t>
            </w:r>
          </w:p>
        </w:tc>
        <w:tc>
          <w:tcPr>
            <w:tcW w:w="100" w:type="dxa"/>
            <w:vAlign w:val="bottom"/>
          </w:tcPr>
          <w:p>
            <w:pPr>
              <w:spacing w:after="0"/>
              <w:rPr>
                <w:sz w:val="21"/>
                <w:szCs w:val="21"/>
                <w:color w:val="auto"/>
              </w:rPr>
            </w:pPr>
          </w:p>
        </w:tc>
      </w:tr>
      <w:tr>
        <w:trPr>
          <w:trHeight w:val="200"/>
        </w:trPr>
        <w:tc>
          <w:tcPr>
            <w:tcW w:w="672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6720" w:type="dxa"/>
            <w:vAlign w:val="bottom"/>
          </w:tcPr>
          <w:p>
            <w:pPr>
              <w:ind w:left="2060"/>
              <w:spacing w:after="0"/>
              <w:rPr>
                <w:sz w:val="20"/>
                <w:szCs w:val="20"/>
                <w:color w:val="auto"/>
              </w:rPr>
            </w:pPr>
            <w:r>
              <w:rPr>
                <w:rFonts w:ascii="Arial" w:cs="Arial" w:eastAsia="Arial" w:hAnsi="Arial"/>
                <w:sz w:val="16"/>
                <w:szCs w:val="16"/>
                <w:b w:val="1"/>
                <w:bCs w:val="1"/>
                <w:color w:val="auto"/>
              </w:rPr>
              <w:t>LIABILITIES AND SHAREHOLDERS’ EQUITY</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720" w:type="dxa"/>
            <w:vAlign w:val="bottom"/>
          </w:tcPr>
          <w:p>
            <w:pPr>
              <w:ind w:left="260"/>
              <w:spacing w:after="0"/>
              <w:rPr>
                <w:sz w:val="20"/>
                <w:szCs w:val="20"/>
                <w:color w:val="auto"/>
              </w:rPr>
            </w:pPr>
            <w:r>
              <w:rPr>
                <w:rFonts w:ascii="Arial" w:cs="Arial" w:eastAsia="Arial" w:hAnsi="Arial"/>
                <w:sz w:val="16"/>
                <w:szCs w:val="16"/>
                <w:color w:val="auto"/>
              </w:rPr>
              <w:t>Accounts payable and accrued expenses</w:t>
            </w:r>
          </w:p>
        </w:tc>
        <w:tc>
          <w:tcPr>
            <w:tcW w:w="2160" w:type="dxa"/>
            <w:vAlign w:val="bottom"/>
            <w:gridSpan w:val="2"/>
          </w:tcPr>
          <w:p>
            <w:pPr>
              <w:jc w:val="right"/>
              <w:ind w:right="888"/>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22,021</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16,507</w:t>
            </w:r>
          </w:p>
        </w:tc>
        <w:tc>
          <w:tcPr>
            <w:tcW w:w="100" w:type="dxa"/>
            <w:vAlign w:val="bottom"/>
          </w:tcPr>
          <w:p>
            <w:pPr>
              <w:spacing w:after="0"/>
              <w:rPr>
                <w:sz w:val="18"/>
                <w:szCs w:val="18"/>
                <w:color w:val="auto"/>
              </w:rPr>
            </w:pPr>
          </w:p>
        </w:tc>
      </w:tr>
      <w:tr>
        <w:trPr>
          <w:trHeight w:val="219"/>
        </w:trPr>
        <w:tc>
          <w:tcPr>
            <w:tcW w:w="6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royalties</w:t>
            </w: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12,849</w:t>
            </w:r>
          </w:p>
        </w:tc>
        <w:tc>
          <w:tcPr>
            <w:tcW w:w="100" w:type="dxa"/>
            <w:vAlign w:val="bottom"/>
            <w:shd w:val="clear" w:color="auto" w:fill="CFF0FC"/>
          </w:tcPr>
          <w:p>
            <w:pPr>
              <w:spacing w:after="0"/>
              <w:rPr>
                <w:sz w:val="19"/>
                <w:szCs w:val="19"/>
                <w:color w:val="auto"/>
              </w:rPr>
            </w:pPr>
          </w:p>
        </w:tc>
      </w:tr>
      <w:tr>
        <w:trPr>
          <w:trHeight w:val="213"/>
        </w:trPr>
        <w:tc>
          <w:tcPr>
            <w:tcW w:w="672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64,126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64,938</w:t>
            </w:r>
          </w:p>
        </w:tc>
        <w:tc>
          <w:tcPr>
            <w:tcW w:w="100" w:type="dxa"/>
            <w:vAlign w:val="bottom"/>
          </w:tcPr>
          <w:p>
            <w:pPr>
              <w:spacing w:after="0"/>
              <w:rPr>
                <w:sz w:val="18"/>
                <w:szCs w:val="18"/>
                <w:color w:val="auto"/>
              </w:rPr>
            </w:pPr>
          </w:p>
        </w:tc>
      </w:tr>
      <w:tr>
        <w:trPr>
          <w:trHeight w:val="219"/>
        </w:trPr>
        <w:tc>
          <w:tcPr>
            <w:tcW w:w="6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liabilities of discontinued operations</w:t>
            </w: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6,772</w:t>
            </w:r>
          </w:p>
        </w:tc>
        <w:tc>
          <w:tcPr>
            <w:tcW w:w="100" w:type="dxa"/>
            <w:vAlign w:val="bottom"/>
            <w:shd w:val="clear" w:color="auto" w:fill="CFF0FC"/>
          </w:tcPr>
          <w:p>
            <w:pPr>
              <w:spacing w:after="0"/>
              <w:rPr>
                <w:sz w:val="19"/>
                <w:szCs w:val="19"/>
                <w:color w:val="auto"/>
              </w:rPr>
            </w:pPr>
          </w:p>
        </w:tc>
      </w:tr>
      <w:tr>
        <w:trPr>
          <w:trHeight w:val="207"/>
        </w:trPr>
        <w:tc>
          <w:tcPr>
            <w:tcW w:w="672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1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96,699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101,066</w:t>
            </w:r>
          </w:p>
        </w:tc>
        <w:tc>
          <w:tcPr>
            <w:tcW w:w="100" w:type="dxa"/>
            <w:vAlign w:val="bottom"/>
          </w:tcPr>
          <w:p>
            <w:pPr>
              <w:spacing w:after="0"/>
              <w:rPr>
                <w:sz w:val="17"/>
                <w:szCs w:val="17"/>
                <w:color w:val="auto"/>
              </w:rPr>
            </w:pPr>
          </w:p>
        </w:tc>
      </w:tr>
      <w:tr>
        <w:trPr>
          <w:trHeight w:val="219"/>
        </w:trPr>
        <w:tc>
          <w:tcPr>
            <w:tcW w:w="67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7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 noncurrent</w:t>
            </w: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6,287</w:t>
            </w:r>
          </w:p>
        </w:tc>
        <w:tc>
          <w:tcPr>
            <w:tcW w:w="100" w:type="dxa"/>
            <w:vAlign w:val="bottom"/>
            <w:shd w:val="clear" w:color="auto" w:fill="CFF0FC"/>
          </w:tcPr>
          <w:p>
            <w:pPr>
              <w:spacing w:after="0"/>
              <w:rPr>
                <w:sz w:val="19"/>
                <w:szCs w:val="19"/>
                <w:color w:val="auto"/>
              </w:rPr>
            </w:pPr>
          </w:p>
        </w:tc>
      </w:tr>
      <w:tr>
        <w:trPr>
          <w:trHeight w:val="213"/>
        </w:trPr>
        <w:tc>
          <w:tcPr>
            <w:tcW w:w="6720" w:type="dxa"/>
            <w:vAlign w:val="bottom"/>
          </w:tcPr>
          <w:p>
            <w:pPr>
              <w:spacing w:after="0"/>
              <w:rPr>
                <w:sz w:val="20"/>
                <w:szCs w:val="20"/>
                <w:color w:val="auto"/>
              </w:rPr>
            </w:pPr>
            <w:r>
              <w:rPr>
                <w:rFonts w:ascii="Arial" w:cs="Arial" w:eastAsia="Arial" w:hAnsi="Arial"/>
                <w:sz w:val="16"/>
                <w:szCs w:val="16"/>
                <w:color w:val="auto"/>
              </w:rPr>
              <w:t>Other long term liabilities</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18"/>
                <w:szCs w:val="18"/>
                <w:color w:val="auto"/>
              </w:rPr>
            </w:pPr>
          </w:p>
        </w:tc>
      </w:tr>
      <w:tr>
        <w:trPr>
          <w:trHeight w:val="219"/>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Long-term liabilities of discontinued operations</w:t>
            </w: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w:t>
            </w:r>
          </w:p>
        </w:tc>
        <w:tc>
          <w:tcPr>
            <w:tcW w:w="100" w:type="dxa"/>
            <w:vAlign w:val="bottom"/>
            <w:shd w:val="clear" w:color="auto" w:fill="CFF0FC"/>
          </w:tcPr>
          <w:p>
            <w:pPr>
              <w:spacing w:after="0"/>
              <w:rPr>
                <w:sz w:val="19"/>
                <w:szCs w:val="19"/>
                <w:color w:val="auto"/>
              </w:rPr>
            </w:pPr>
          </w:p>
        </w:tc>
      </w:tr>
      <w:tr>
        <w:trPr>
          <w:trHeight w:val="213"/>
        </w:trPr>
        <w:tc>
          <w:tcPr>
            <w:tcW w:w="67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7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720" w:type="dxa"/>
            <w:vAlign w:val="bottom"/>
          </w:tcPr>
          <w:p>
            <w:pPr>
              <w:spacing w:after="0"/>
              <w:rPr>
                <w:sz w:val="20"/>
                <w:szCs w:val="20"/>
                <w:color w:val="auto"/>
              </w:rPr>
            </w:pPr>
            <w:r>
              <w:rPr>
                <w:rFonts w:ascii="Arial" w:cs="Arial" w:eastAsia="Arial" w:hAnsi="Arial"/>
                <w:sz w:val="16"/>
                <w:szCs w:val="16"/>
                <w:color w:val="auto"/>
              </w:rPr>
              <w:t>Shareholders’ equity:</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no par value, 75,000 shares authorized; 32,317 and 31,908 shares</w:t>
            </w:r>
          </w:p>
        </w:tc>
        <w:tc>
          <w:tcPr>
            <w:tcW w:w="1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6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issued and outstanding at June 30, 2018 and December 31, 2017, respectively</w:t>
            </w:r>
          </w:p>
        </w:tc>
        <w:tc>
          <w:tcPr>
            <w:tcW w:w="1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6"/>
              </w:rPr>
              <w:t>285,673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282,666</w:t>
            </w:r>
          </w:p>
        </w:tc>
        <w:tc>
          <w:tcPr>
            <w:tcW w:w="100" w:type="dxa"/>
            <w:vAlign w:val="bottom"/>
            <w:shd w:val="clear" w:color="auto" w:fill="CFF0FC"/>
          </w:tcPr>
          <w:p>
            <w:pPr>
              <w:spacing w:after="0"/>
              <w:rPr>
                <w:sz w:val="18"/>
                <w:szCs w:val="18"/>
                <w:color w:val="auto"/>
              </w:rPr>
            </w:pPr>
          </w:p>
        </w:tc>
      </w:tr>
      <w:tr>
        <w:trPr>
          <w:trHeight w:val="213"/>
        </w:trPr>
        <w:tc>
          <w:tcPr>
            <w:tcW w:w="672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26,548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17,542</w:t>
            </w:r>
          </w:p>
        </w:tc>
        <w:tc>
          <w:tcPr>
            <w:tcW w:w="100" w:type="dxa"/>
            <w:vAlign w:val="bottom"/>
          </w:tcPr>
          <w:p>
            <w:pPr>
              <w:spacing w:after="0"/>
              <w:rPr>
                <w:sz w:val="18"/>
                <w:szCs w:val="18"/>
                <w:color w:val="auto"/>
              </w:rPr>
            </w:pPr>
          </w:p>
        </w:tc>
      </w:tr>
      <w:tr>
        <w:trPr>
          <w:trHeight w:val="219"/>
        </w:trPr>
        <w:tc>
          <w:tcPr>
            <w:tcW w:w="6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w:t>
            </w:r>
          </w:p>
        </w:tc>
        <w:tc>
          <w:tcPr>
            <w:tcW w:w="1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w:t>
            </w:r>
          </w:p>
        </w:tc>
      </w:tr>
      <w:tr>
        <w:trPr>
          <w:trHeight w:val="207"/>
        </w:trPr>
        <w:tc>
          <w:tcPr>
            <w:tcW w:w="6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shareholders’ equity</w:t>
            </w:r>
          </w:p>
        </w:tc>
        <w:tc>
          <w:tcPr>
            <w:tcW w:w="1120" w:type="dxa"/>
            <w:vAlign w:val="bottom"/>
            <w:tcBorders>
              <w:bottom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312,188</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300,170</w:t>
            </w:r>
          </w:p>
        </w:tc>
        <w:tc>
          <w:tcPr>
            <w:tcW w:w="100" w:type="dxa"/>
            <w:vAlign w:val="bottom"/>
            <w:tcBorders>
              <w:bottom w:val="single" w:sz="8" w:color="CFF0FC"/>
            </w:tcBorders>
          </w:tcPr>
          <w:p>
            <w:pPr>
              <w:spacing w:after="0"/>
              <w:rPr>
                <w:sz w:val="17"/>
                <w:szCs w:val="17"/>
                <w:color w:val="auto"/>
              </w:rPr>
            </w:pPr>
          </w:p>
        </w:tc>
      </w:tr>
      <w:tr>
        <w:trPr>
          <w:trHeight w:val="210"/>
        </w:trPr>
        <w:tc>
          <w:tcPr>
            <w:tcW w:w="6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2160" w:type="dxa"/>
            <w:vAlign w:val="bottom"/>
            <w:gridSpan w:val="2"/>
            <w:shd w:val="clear" w:color="auto" w:fill="CFF0FC"/>
          </w:tcPr>
          <w:p>
            <w:pPr>
              <w:jc w:val="right"/>
              <w:ind w:right="88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6"/>
              </w:rPr>
              <w:t>417,688</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411,119</w:t>
            </w:r>
          </w:p>
        </w:tc>
        <w:tc>
          <w:tcPr>
            <w:tcW w:w="100" w:type="dxa"/>
            <w:vAlign w:val="bottom"/>
            <w:shd w:val="clear" w:color="auto" w:fill="CFF0FC"/>
          </w:tcPr>
          <w:p>
            <w:pPr>
              <w:spacing w:after="0"/>
              <w:rPr>
                <w:sz w:val="18"/>
                <w:szCs w:val="18"/>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the unaudited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580"/>
              <w:spacing w:after="0" w:line="133" w:lineRule="exact"/>
              <w:rPr>
                <w:sz w:val="20"/>
                <w:szCs w:val="20"/>
                <w:color w:val="auto"/>
              </w:rPr>
            </w:pPr>
            <w:r>
              <w:rPr>
                <w:rFonts w:ascii="Arial" w:cs="Arial" w:eastAsia="Arial" w:hAnsi="Arial"/>
                <w:sz w:val="14"/>
                <w:szCs w:val="14"/>
                <w:b w:val="1"/>
                <w:bCs w:val="1"/>
                <w:color w:val="auto"/>
              </w:rPr>
              <w:t>June 30,</w:t>
            </w: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1"/>
              <w:spacing w:after="0" w:line="133" w:lineRule="exact"/>
              <w:rPr>
                <w:sz w:val="20"/>
                <w:szCs w:val="20"/>
                <w:color w:val="auto"/>
              </w:rPr>
            </w:pPr>
            <w:r>
              <w:rPr>
                <w:rFonts w:ascii="Arial" w:cs="Arial" w:eastAsia="Arial" w:hAnsi="Arial"/>
                <w:sz w:val="14"/>
                <w:szCs w:val="14"/>
                <w:b w:val="1"/>
                <w:bCs w:val="1"/>
                <w:color w:val="auto"/>
              </w:rPr>
              <w:t>June 30,</w:t>
            </w:r>
          </w:p>
        </w:tc>
        <w:tc>
          <w:tcPr>
            <w:tcW w:w="240" w:type="dxa"/>
            <w:vAlign w:val="bottom"/>
            <w:gridSpan w:val="2"/>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June 30,</w:t>
            </w: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51"/>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Revenues, net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111,866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revenues (excluding depreciation and amortization)</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45,484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rPr>
              <w:t>Other general and administrative expenses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48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103,872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Income from continuing operations before income tax provision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w w:val="94"/>
              </w:rPr>
              <w:t>Income (loss) from discontinued operations before income tax provision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gain on sale of discontinued operations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(1,502)</w:t>
            </w:r>
          </w:p>
        </w:tc>
        <w:tc>
          <w:tcPr>
            <w:tcW w:w="2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rPr>
              <w:t>Income tax (benefit) provision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(Loss) income from discontinued operations</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240" w:type="dxa"/>
            <w:vAlign w:val="bottom"/>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Earnings (loss) per share – basic:</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9"/>
                <w:szCs w:val="19"/>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per share - basic</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 diluted:</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63"/>
        </w:trPr>
        <w:tc>
          <w:tcPr>
            <w:tcW w:w="568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32,312</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31,876</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32,205</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32,378</w:t>
            </w: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32,229</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32,255</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Dividends declared per share</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580" w:type="dxa"/>
            <w:vAlign w:val="bottom"/>
            <w:gridSpan w:val="6"/>
          </w:tcPr>
          <w:p>
            <w:pPr>
              <w:ind w:lef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2"/>
              </w:rPr>
              <w:t>June 30, 2018</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w w:val="92"/>
              </w:rPr>
              <w:t>June 30, 2017</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June 30, 2018</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w w:val="94"/>
              </w:rPr>
              <w:t>June 30, 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net of taxes:</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Unrealized (loss) gain on marketable securities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(loss) income</w:t>
            </w:r>
          </w:p>
        </w:tc>
        <w:tc>
          <w:tcPr>
            <w:tcW w:w="1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260" w:type="dxa"/>
            <w:vAlign w:val="bottom"/>
            <w:gridSpan w:val="4"/>
            <w:vMerge w:val="restart"/>
          </w:tcPr>
          <w:p>
            <w:pPr>
              <w:jc w:val="right"/>
              <w:ind w:right="59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4"/>
                <w:szCs w:val="14"/>
                <w:color w:val="auto"/>
              </w:rPr>
            </w:pPr>
          </w:p>
        </w:tc>
        <w:tc>
          <w:tcPr>
            <w:tcW w:w="226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24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86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31,908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282,666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Comprehensive income</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on common stock ($1.00 per share)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(32,518)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under stock plans, net of shares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withheld for employee taxes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32,317</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285,673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unaudited condensed consolidated financial statements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26,392</w:t>
            </w:r>
          </w:p>
        </w:tc>
        <w:tc>
          <w:tcPr>
            <w:tcW w:w="300" w:type="dxa"/>
            <w:vAlign w:val="bottom"/>
          </w:tcPr>
          <w:p>
            <w:pPr>
              <w:spacing w:after="0"/>
              <w:rPr>
                <w:sz w:val="19"/>
                <w:szCs w:val="19"/>
                <w:color w:val="auto"/>
              </w:rPr>
            </w:pPr>
          </w:p>
        </w:tc>
        <w:tc>
          <w:tcPr>
            <w:tcW w:w="96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(19,107)</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Adjustments: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Stock based compensation expense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Provision for doubtful accounts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(Gain) loss on non-marketable equity investments</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Accounts and unbilled receivables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royalties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Other prepaid expenses and other current assets</w:t>
            </w:r>
          </w:p>
        </w:tc>
        <w:tc>
          <w:tcPr>
            <w:tcW w:w="9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(6,532)</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(8,087)</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Accrued royalties</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(2,298)</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provided by continuing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720"/>
              <w:spacing w:after="0"/>
              <w:rPr>
                <w:sz w:val="20"/>
                <w:szCs w:val="20"/>
                <w:color w:val="auto"/>
              </w:rPr>
            </w:pPr>
            <w:r>
              <w:rPr>
                <w:rFonts w:ascii="Arial" w:cs="Arial" w:eastAsia="Arial" w:hAnsi="Arial"/>
                <w:sz w:val="18"/>
                <w:szCs w:val="18"/>
                <w:color w:val="auto"/>
              </w:rPr>
              <w:t>Net cash (used in) provided by discontinued operating activities</w:t>
            </w:r>
          </w:p>
        </w:tc>
        <w:tc>
          <w:tcPr>
            <w:tcW w:w="9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Proceeds from sale of discontinued operations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57,828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maturities of marketable securities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44,663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9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(41,266)</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(48,861)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(5,094)</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(3,270)</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provided by (used in) continuing investing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52,861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(16,489)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720"/>
              <w:spacing w:after="0"/>
              <w:rPr>
                <w:sz w:val="20"/>
                <w:szCs w:val="20"/>
                <w:color w:val="auto"/>
              </w:rPr>
            </w:pPr>
            <w:r>
              <w:rPr>
                <w:rFonts w:ascii="Arial" w:cs="Arial" w:eastAsia="Arial" w:hAnsi="Arial"/>
                <w:sz w:val="18"/>
                <w:szCs w:val="18"/>
                <w:color w:val="auto"/>
              </w:rPr>
              <w:t>Net cash used in discontinued investing activities</w:t>
            </w:r>
          </w:p>
        </w:tc>
        <w:tc>
          <w:tcPr>
            <w:tcW w:w="9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52,745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(17,965)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Payment of earn-outs related to acquisitions</w:t>
            </w:r>
          </w:p>
        </w:tc>
        <w:tc>
          <w:tcPr>
            <w:tcW w:w="9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Payment of cash dividends</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(32,353)</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720"/>
              <w:spacing w:after="0"/>
              <w:rPr>
                <w:sz w:val="20"/>
                <w:szCs w:val="20"/>
                <w:color w:val="auto"/>
              </w:rPr>
            </w:pPr>
            <w:r>
              <w:rPr>
                <w:rFonts w:ascii="Arial" w:cs="Arial" w:eastAsia="Arial" w:hAnsi="Arial"/>
                <w:sz w:val="18"/>
                <w:szCs w:val="18"/>
                <w:color w:val="auto"/>
              </w:rPr>
              <w:t>Net cash used in continuing financing activities</w:t>
            </w: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(30,138)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Net cash used in discontinued financing activities</w:t>
            </w:r>
          </w:p>
        </w:tc>
        <w:tc>
          <w:tcPr>
            <w:tcW w:w="9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(30,138)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37,809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122,577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six months ended June 30, 2018 are not necessarily indicative of the results that may be expected for the year ending December 31, 2018.</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12, 2018, the Company divested its Patient Experience (“PX”) business to Press Ganey Associates, Inc. (“Press Ganey”). This sale of the PX business resulted in the Company’s divestiture of the Company’s patient experience solutions business segment. The Company has classified the results of its PX segment as discontinued operations in its condensed consolidated statements of income and cash flows for all periods presented. Additionally, the related assets and liabilities have been reported as assets and liabilities of discontinued operations in the Company’s condensed consolidated balance sheet as of December 31, 2017. See Note 8 for additional information.</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condensed consolidated balance sheet at December 31, 2017 has been derived from the audited consolidated financial statements at that date and adjusted for discontinued operations as noted above but does not include all of the information and footnotes required by US GAAP for complete financial statements. For further information, refer to the consolidated financial statements and footnotes thereto for the year ended December 31, 2017 (included in the Company's Annual Report on Form 10-K, filed with the Securities and Exchange Commission on February 26, 2018).</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(referred to as Accounting Standards Codification (“ASC”) Topic 606, or “ASC 606”)</w:t>
      </w:r>
      <w:r>
        <w:rPr>
          <w:rFonts w:ascii="Arial" w:cs="Arial" w:eastAsia="Arial" w:hAnsi="Arial"/>
          <w:sz w:val="17"/>
          <w:szCs w:val="17"/>
          <w:i w:val="1"/>
          <w:iCs w:val="1"/>
          <w:color w:val="auto"/>
        </w:rPr>
        <w:t xml:space="preserve">. </w:t>
      </w:r>
      <w:r>
        <w:rPr>
          <w:rFonts w:ascii="Arial" w:cs="Arial" w:eastAsia="Arial" w:hAnsi="Arial"/>
          <w:sz w:val="17"/>
          <w:szCs w:val="17"/>
          <w:color w:val="auto"/>
        </w:rPr>
        <w:t>This guidance supersedes the revenue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requirements in ASC Topic 605, </w:t>
      </w:r>
      <w:r>
        <w:rPr>
          <w:rFonts w:ascii="Arial" w:cs="Arial" w:eastAsia="Arial" w:hAnsi="Arial"/>
          <w:sz w:val="17"/>
          <w:szCs w:val="17"/>
          <w:i w:val="1"/>
          <w:iCs w:val="1"/>
          <w:color w:val="auto"/>
        </w:rPr>
        <w:t>Revenue Recognition (“ASC 605”)</w:t>
      </w:r>
      <w:r>
        <w:rPr>
          <w:rFonts w:ascii="Arial" w:cs="Arial" w:eastAsia="Arial" w:hAnsi="Arial"/>
          <w:sz w:val="17"/>
          <w:szCs w:val="17"/>
          <w:color w:val="auto"/>
        </w:rPr>
        <w:t xml:space="preserve">, and most industry-specific revenue 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ASC 606 also includes Subtopic 340-40, </w:t>
      </w:r>
      <w:r>
        <w:rPr>
          <w:rFonts w:ascii="Arial" w:cs="Arial" w:eastAsia="Arial" w:hAnsi="Arial"/>
          <w:sz w:val="17"/>
          <w:szCs w:val="17"/>
          <w:i w:val="1"/>
          <w:iCs w:val="1"/>
          <w:color w:val="auto"/>
        </w:rPr>
        <w:t>Other Assets and Deferred Costs – Contracts with Customers</w:t>
      </w:r>
      <w:r>
        <w:rPr>
          <w:rFonts w:ascii="Arial" w:cs="Arial" w:eastAsia="Arial" w:hAnsi="Arial"/>
          <w:sz w:val="17"/>
          <w:szCs w:val="17"/>
          <w:color w:val="auto"/>
        </w:rPr>
        <w:t>, which requires deferral of incremental costs of obtaining a contract with a customer. Collectively, ASC 606 and Subtopic 340-40 are referred to as the “new standard.”</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adopted the new standard effective January 1, 2018 utilizing the modified retrospective approach. Adoption of the new standard resulted in changes to the Company’s accounting policies for revenue recognition, trade and other receivables, and deferred commissions. See Note 3 for additional information regarding ASC 606 and its impact on the Company’s balance sheet and statement of income.</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(Subtopic 825-10)</w:t>
      </w:r>
      <w:r>
        <w:rPr>
          <w:rFonts w:ascii="Arial" w:cs="Arial" w:eastAsia="Arial" w:hAnsi="Arial"/>
          <w:sz w:val="17"/>
          <w:szCs w:val="17"/>
          <w:color w:val="auto"/>
        </w:rPr>
        <w:t>, which addresses certain aspects of the recognition, measurement, presentation, and disclosure of financial instruments. The guidance, among other things, requires equity investments (except those accounted for under the equity method of accounting or those that result in consolidation of the investee) to be measured at fair value with changes in fair value recognized in net income. The Company adopted ASU 2016-01 effective January 1, 2018 on a prospective basis.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(“ASC 842”),</w:t>
      </w:r>
      <w:r>
        <w:rPr>
          <w:rFonts w:ascii="Arial" w:cs="Arial" w:eastAsia="Arial" w:hAnsi="Arial"/>
          <w:sz w:val="18"/>
          <w:szCs w:val="18"/>
          <w:color w:val="auto"/>
        </w:rPr>
        <w:t xml:space="preserve"> which requires lessees to recognize assets and liabilities for most leases. The recognition, measurement, and presentation of expenses and cash flows arising from a lease by a lessee is not expected to significantly change under such guidance. The standard will be effective for the first interim period within annual reporting periods beginning after December 15, 2018. The Company will adopt this ASU on January 1, 2019 and is currently evaluating the impact that adoption of this ASU will have on the Company’s consolidated financial position and results of operations.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ASU 2016-03, </w:t>
      </w:r>
      <w:r>
        <w:rPr>
          <w:rFonts w:ascii="Arial" w:cs="Arial" w:eastAsia="Arial" w:hAnsi="Arial"/>
          <w:sz w:val="18"/>
          <w:szCs w:val="18"/>
          <w:i w:val="1"/>
          <w:iCs w:val="1"/>
          <w:color w:val="auto"/>
        </w:rPr>
        <w:t>Financial Instruments—Credit Losses (“ASC 326”): Measurement of Credit Losses on Financial Instruments</w:t>
      </w:r>
      <w:r>
        <w:rPr>
          <w:rFonts w:ascii="Arial" w:cs="Arial" w:eastAsia="Arial" w:hAnsi="Arial"/>
          <w:sz w:val="18"/>
          <w:szCs w:val="18"/>
          <w:color w:val="auto"/>
        </w:rPr>
        <w:t>, which amends guidance on reporting credit losses for assets held at amortized cost basis and available for sale debt securities. For assets held at amortized cost basis, ASC 326 eliminates the probable initial recognition threshold in current GAAP and, instead, requires an entity to reflect its current estimate of all expected credit losses. The standard will be effective for the first interim period within annual reporting periods beginning after December 15, 2019. The Company will adopt this ASU on January 1, 2020 and is currently evaluating the impact that adoption of this ASU will have on the Company’s consolidated financial position and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606, Revenue from Contracts with Customers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January 1, 2018, the Company adopted the new standard using the modified retrospective approach applied to those contracts which were not completed as of January 1, 2018. As such, results for reporting periods beginning after January 1, 2018 are presented under ASC 606, while prior period amounts continue to be reported in accordance with ASC 605.</w:t>
      </w:r>
    </w:p>
    <w:p>
      <w:pPr>
        <w:spacing w:after="0" w:line="73"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cumulative effect of the changes made to the Company’s consolidated January 1, 2018 balance sheet in connection with the adoption of ASC 606 was as follows (in thousands):</w:t>
      </w:r>
    </w:p>
    <w:tbl>
      <w:tblPr>
        <w:tblLayout w:type="fixed"/>
        <w:tblInd w:w="0" w:type="dxa"/>
        <w:tblCellMar>
          <w:top w:w="0" w:type="dxa"/>
          <w:left w:w="0" w:type="dxa"/>
          <w:bottom w:w="0" w:type="dxa"/>
          <w:right w:w="0" w:type="dxa"/>
        </w:tblCellMar>
      </w:tblPr>
      <w:tr>
        <w:trPr>
          <w:trHeight w:val="141"/>
        </w:trPr>
        <w:tc>
          <w:tcPr>
            <w:tcW w:w="62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ind w:right="333"/>
              <w:spacing w:after="0" w:line="141" w:lineRule="exact"/>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620"/>
              <w:spacing w:after="0" w:line="141" w:lineRule="exact"/>
              <w:rPr>
                <w:sz w:val="20"/>
                <w:szCs w:val="20"/>
                <w:color w:val="auto"/>
              </w:rPr>
            </w:pPr>
            <w:r>
              <w:rPr>
                <w:rFonts w:ascii="Arial" w:cs="Arial" w:eastAsia="Arial" w:hAnsi="Arial"/>
                <w:sz w:val="14"/>
                <w:szCs w:val="14"/>
                <w:b w:val="1"/>
                <w:bCs w:val="1"/>
                <w:color w:val="auto"/>
              </w:rPr>
              <w:t>ASC 606</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62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December 31, 2017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Adjustments</w:t>
            </w:r>
          </w:p>
        </w:tc>
        <w:tc>
          <w:tcPr>
            <w:tcW w:w="22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January 1,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1"/>
              </w:rPr>
              <w:t>Assets</w:t>
            </w:r>
          </w:p>
        </w:tc>
        <w:tc>
          <w:tcPr>
            <w:tcW w:w="5720" w:type="dxa"/>
            <w:vAlign w:val="bottom"/>
            <w:tcBorders>
              <w:top w:val="single" w:sz="8" w:color="auto"/>
              <w:bottom w:val="single" w:sz="8" w:color="CFF0FC"/>
            </w:tcBorders>
            <w:gridSpan w:val="3"/>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4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Unbilled receivables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1,327</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Prepaid royalties, net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Other prepaid expenses and other current assets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(2,900)</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Current assets of discontinued operations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Deferred commissions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12,552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Non-current assets of discontinued operations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28,073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80" w:type="dxa"/>
            <w:vAlign w:val="bottom"/>
            <w:gridSpan w:val="4"/>
          </w:tcPr>
          <w:p>
            <w:pPr>
              <w:spacing w:after="0" w:line="189" w:lineRule="exact"/>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64,938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(4,488)</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(1,374)</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Deferred revenue, noncurrent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6,287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(2,848)</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80" w:type="dxa"/>
            <w:vAlign w:val="bottom"/>
            <w:gridSpan w:val="4"/>
          </w:tcPr>
          <w:p>
            <w:pPr>
              <w:spacing w:after="0" w:line="189" w:lineRule="exact"/>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impact of the adoption of ASC 606 on the Company’s condensed consolidated balance sheet as of June 30, 2018 and statement of income for the three and six months ended June 30, 2018 was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As</w:t>
            </w:r>
          </w:p>
        </w:tc>
        <w:tc>
          <w:tcPr>
            <w:tcW w:w="120" w:type="dxa"/>
            <w:vAlign w:val="bottom"/>
          </w:tcPr>
          <w:p>
            <w:pPr>
              <w:spacing w:after="0"/>
              <w:rPr>
                <w:sz w:val="11"/>
                <w:szCs w:val="11"/>
                <w:color w:val="auto"/>
              </w:rPr>
            </w:pPr>
          </w:p>
        </w:tc>
        <w:tc>
          <w:tcPr>
            <w:tcW w:w="15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Balances without</w:t>
            </w:r>
          </w:p>
        </w:tc>
        <w:tc>
          <w:tcPr>
            <w:tcW w:w="120" w:type="dxa"/>
            <w:vAlign w:val="bottom"/>
          </w:tcPr>
          <w:p>
            <w:pPr>
              <w:spacing w:after="0"/>
              <w:rPr>
                <w:sz w:val="11"/>
                <w:szCs w:val="11"/>
                <w:color w:val="auto"/>
              </w:rPr>
            </w:pP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Effect of 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Balance Sheet</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gridSpan w:val="5"/>
            <w:vMerge w:val="continue"/>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reported</w:t>
            </w: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ASC 606</w:t>
            </w:r>
          </w:p>
        </w:tc>
        <w:tc>
          <w:tcPr>
            <w:tcW w:w="12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Higher/(Lower)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1"/>
              </w:rPr>
              <w:t>Assets</w:t>
            </w:r>
          </w:p>
        </w:tc>
        <w:tc>
          <w:tcPr>
            <w:tcW w:w="4080" w:type="dxa"/>
            <w:vAlign w:val="bottom"/>
            <w:tcBorders>
              <w:top w:val="single" w:sz="8" w:color="auto"/>
              <w:bottom w:val="single" w:sz="8" w:color="CFF0FC"/>
            </w:tcBorders>
            <w:gridSpan w:val="3"/>
            <w:shd w:val="clear" w:color="auto" w:fill="CFF0FC"/>
          </w:tcPr>
          <w:p>
            <w:pPr>
              <w:spacing w:after="0"/>
              <w:rPr>
                <w:sz w:val="17"/>
                <w:szCs w:val="17"/>
                <w:color w:val="auto"/>
              </w:rPr>
            </w:pPr>
          </w:p>
        </w:tc>
        <w:tc>
          <w:tcPr>
            <w:tcW w:w="2020" w:type="dxa"/>
            <w:vAlign w:val="bottom"/>
            <w:tcBorders>
              <w:top w:val="single" w:sz="8" w:color="auto"/>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24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2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Unbilled receivables</w:t>
            </w:r>
          </w:p>
        </w:tc>
        <w:tc>
          <w:tcPr>
            <w:tcW w:w="2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2,842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2,758</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Prepaid royalties, net</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Other prepaid expenses and other current assets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11,965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13,615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commissions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w w:val="94"/>
              </w:rPr>
              <w:t>Liabilities</w:t>
            </w:r>
          </w:p>
        </w:tc>
        <w:tc>
          <w:tcPr>
            <w:tcW w:w="3820" w:type="dxa"/>
            <w:vAlign w:val="bottom"/>
            <w:tcBorders>
              <w:bottom w:val="single" w:sz="8" w:color="CFF0FC"/>
            </w:tcBorders>
            <w:gridSpan w:val="2"/>
            <w:shd w:val="clear" w:color="auto" w:fill="CFF0FC"/>
          </w:tcPr>
          <w:p>
            <w:pPr>
              <w:spacing w:after="0"/>
              <w:rPr>
                <w:sz w:val="18"/>
                <w:szCs w:val="18"/>
                <w:color w:val="auto"/>
              </w:rPr>
            </w:pPr>
          </w:p>
        </w:tc>
        <w:tc>
          <w:tcPr>
            <w:tcW w:w="20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Deferred revenue, current</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64,126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68,764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Deferred revenue, noncurrent</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Shareholders’ equity</w:t>
            </w: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9"/>
              </w:rPr>
              <w:t>Retained earnings</w:t>
            </w:r>
          </w:p>
        </w:tc>
        <w:tc>
          <w:tcPr>
            <w:tcW w:w="3060" w:type="dxa"/>
            <w:vAlign w:val="bottom"/>
            <w:tcBorders>
              <w:top w:val="single" w:sz="8" w:color="CFF0FC"/>
            </w:tcBorders>
          </w:tcPr>
          <w:p>
            <w:pPr>
              <w:spacing w:after="0"/>
              <w:rPr>
                <w:sz w:val="20"/>
                <w:szCs w:val="20"/>
                <w:color w:val="auto"/>
              </w:rPr>
            </w:pPr>
          </w:p>
        </w:tc>
        <w:tc>
          <w:tcPr>
            <w:tcW w:w="20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1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26,548</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25,255</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20" w:type="dxa"/>
            <w:vAlign w:val="bottom"/>
          </w:tcPr>
          <w:p>
            <w:pPr>
              <w:jc w:val="right"/>
              <w:ind w:right="73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 (continued)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Statement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Revenue,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expenses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Cost of revenues (excluding depreciation and amortization)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3" w:lineRule="exact"/>
        <w:rPr>
          <w:sz w:val="20"/>
          <w:szCs w:val="20"/>
          <w:color w:val="auto"/>
        </w:rPr>
      </w:pPr>
    </w:p>
    <w:p>
      <w:pPr>
        <w:ind w:right="1400"/>
        <w:spacing w:after="0" w:line="266" w:lineRule="auto"/>
        <w:rPr>
          <w:sz w:val="20"/>
          <w:szCs w:val="20"/>
          <w:color w:val="auto"/>
        </w:rPr>
      </w:pPr>
      <w:r>
        <w:rPr>
          <w:rFonts w:ascii="Arial" w:cs="Arial" w:eastAsia="Arial" w:hAnsi="Arial"/>
          <w:sz w:val="18"/>
          <w:szCs w:val="18"/>
          <w:color w:val="auto"/>
        </w:rPr>
        <w:t>Income from continuing operations before income tax provision Income tax provision</w:t>
      </w:r>
    </w:p>
    <w:p>
      <w:pPr>
        <w:spacing w:after="0"/>
        <w:rPr>
          <w:sz w:val="20"/>
          <w:szCs w:val="20"/>
          <w:color w:val="auto"/>
        </w:rPr>
      </w:pPr>
      <w:r>
        <w:rPr>
          <w:rFonts w:ascii="Arial" w:cs="Arial" w:eastAsia="Arial" w:hAnsi="Arial"/>
          <w:sz w:val="18"/>
          <w:szCs w:val="18"/>
          <w:color w:val="auto"/>
        </w:rPr>
        <w:t>Income from continuing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Statement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Revenue,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expenses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Cost of revenues (excluding depreciation and amortization)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3" w:lineRule="exact"/>
        <w:rPr>
          <w:sz w:val="20"/>
          <w:szCs w:val="20"/>
          <w:color w:val="auto"/>
        </w:rPr>
      </w:pPr>
    </w:p>
    <w:p>
      <w:pPr>
        <w:ind w:right="1400"/>
        <w:spacing w:after="0" w:line="266" w:lineRule="auto"/>
        <w:rPr>
          <w:sz w:val="20"/>
          <w:szCs w:val="20"/>
          <w:color w:val="auto"/>
        </w:rPr>
      </w:pPr>
      <w:r>
        <w:rPr>
          <w:rFonts w:ascii="Arial" w:cs="Arial" w:eastAsia="Arial" w:hAnsi="Arial"/>
          <w:sz w:val="18"/>
          <w:szCs w:val="18"/>
          <w:color w:val="auto"/>
        </w:rPr>
        <w:t>Income from continuing operations before income tax provision Income tax provision</w:t>
      </w:r>
    </w:p>
    <w:p>
      <w:pPr>
        <w:spacing w:after="0"/>
        <w:rPr>
          <w:sz w:val="20"/>
          <w:szCs w:val="20"/>
          <w:color w:val="auto"/>
        </w:rPr>
      </w:pPr>
      <w:r>
        <w:rPr>
          <w:rFonts w:ascii="Arial" w:cs="Arial" w:eastAsia="Arial" w:hAnsi="Arial"/>
          <w:sz w:val="18"/>
          <w:szCs w:val="18"/>
          <w:color w:val="auto"/>
        </w:rPr>
        <w:t>Income from continuing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Three Months Ended June 30,2018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As</w:t>
            </w:r>
          </w:p>
        </w:tc>
        <w:tc>
          <w:tcPr>
            <w:tcW w:w="1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Balances without</w:t>
            </w: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54"/>
              <w:spacing w:after="0"/>
              <w:rPr>
                <w:sz w:val="20"/>
                <w:szCs w:val="20"/>
                <w:color w:val="auto"/>
              </w:rPr>
            </w:pPr>
            <w:r>
              <w:rPr>
                <w:rFonts w:ascii="Arial" w:cs="Arial" w:eastAsia="Arial" w:hAnsi="Arial"/>
                <w:sz w:val="14"/>
                <w:szCs w:val="14"/>
                <w:b w:val="1"/>
                <w:bCs w:val="1"/>
                <w:color w:val="auto"/>
                <w:w w:val="91"/>
              </w:rPr>
              <w:t>Effect of Change</w:t>
            </w: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reported</w:t>
            </w: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ASC 606</w:t>
            </w:r>
          </w:p>
        </w:tc>
        <w:tc>
          <w:tcPr>
            <w:tcW w:w="1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Higher/(Lower)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57,008</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56,552</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23,236</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22,983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9,049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894"/>
              <w:spacing w:after="0"/>
              <w:rPr>
                <w:sz w:val="20"/>
                <w:szCs w:val="20"/>
                <w:color w:val="auto"/>
              </w:rPr>
            </w:pPr>
            <w:r>
              <w:rPr>
                <w:rFonts w:ascii="Arial" w:cs="Arial" w:eastAsia="Arial" w:hAnsi="Arial"/>
                <w:sz w:val="14"/>
                <w:szCs w:val="14"/>
                <w:b w:val="1"/>
                <w:bCs w:val="1"/>
                <w:color w:val="auto"/>
                <w:w w:val="92"/>
              </w:rPr>
              <w:t>Six Months Ended June 30,2018</w:t>
            </w: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As</w:t>
            </w:r>
          </w:p>
        </w:tc>
        <w:tc>
          <w:tcPr>
            <w:tcW w:w="120" w:type="dxa"/>
            <w:vAlign w:val="bottom"/>
          </w:tcPr>
          <w:p>
            <w:pPr>
              <w:spacing w:after="0"/>
              <w:rPr>
                <w:sz w:val="11"/>
                <w:szCs w:val="11"/>
                <w:color w:val="auto"/>
              </w:rPr>
            </w:pPr>
          </w:p>
        </w:tc>
        <w:tc>
          <w:tcPr>
            <w:tcW w:w="15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Balances without</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Effect of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reported</w:t>
            </w: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ASC 606</w:t>
            </w:r>
          </w:p>
        </w:tc>
        <w:tc>
          <w:tcPr>
            <w:tcW w:w="1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Higher/(Lower)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111,866</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111,418</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45,484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45,164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17,977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19,590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7,994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8,783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7,042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26,392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25,099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-3223895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-2932430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-2640965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-2348865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-3524250</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-1165860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-874395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-582295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-290830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-1465580</wp:posOffset>
            </wp:positionV>
            <wp:extent cx="72466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39" w:lineRule="exact"/>
        <w:rPr>
          <w:sz w:val="20"/>
          <w:szCs w:val="20"/>
          <w:color w:val="auto"/>
        </w:rPr>
      </w:pPr>
    </w:p>
    <w:p>
      <w:pPr>
        <w:sectPr>
          <w:pgSz w:w="11900" w:h="16838" w:orient="portrait"/>
          <w:cols w:equalWidth="0" w:num="2">
            <w:col w:w="6020" w:space="720"/>
            <w:col w:w="4680"/>
          </w:cols>
          <w:pgMar w:left="240" w:top="121"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the Company expects to be entitled to in exchange for transferring those goods or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 step model:</w:t>
      </w:r>
    </w:p>
    <w:p>
      <w:pPr>
        <w:spacing w:after="0" w:line="117" w:lineRule="exact"/>
        <w:rPr>
          <w:sz w:val="20"/>
          <w:szCs w:val="20"/>
          <w:color w:val="auto"/>
        </w:rPr>
      </w:pPr>
    </w:p>
    <w:p>
      <w:pPr>
        <w:ind w:left="800" w:hanging="400"/>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our revenues included in continuing operations from contracts with customers disaggregated by revenue source for the three and six months ended June 30, 2018 (in thousands). Sales taxes are excluded from 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center"/>
              <w:ind w:left="339"/>
              <w:spacing w:after="0"/>
              <w:rPr>
                <w:sz w:val="20"/>
                <w:szCs w:val="20"/>
                <w:color w:val="auto"/>
              </w:rPr>
            </w:pPr>
            <w:r>
              <w:rPr>
                <w:rFonts w:ascii="Arial" w:cs="Arial" w:eastAsia="Arial" w:hAnsi="Arial"/>
                <w:sz w:val="14"/>
                <w:szCs w:val="14"/>
                <w:b w:val="1"/>
                <w:bCs w:val="1"/>
                <w:color w:val="auto"/>
                <w:w w:val="93"/>
              </w:rPr>
              <w:t>Three Months Ended June 30,2018</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4"/>
                <w:szCs w:val="14"/>
                <w:b w:val="1"/>
                <w:bCs w:val="1"/>
                <w:color w:val="auto"/>
                <w:w w:val="92"/>
              </w:rPr>
              <w:t>Six Months Ended June 30, 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Segments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Workforce</w:t>
            </w:r>
          </w:p>
        </w:tc>
        <w:tc>
          <w:tcPr>
            <w:tcW w:w="140" w:type="dxa"/>
            <w:vAlign w:val="bottom"/>
          </w:tcPr>
          <w:p>
            <w:pPr>
              <w:spacing w:after="0"/>
              <w:rPr>
                <w:sz w:val="11"/>
                <w:szCs w:val="11"/>
                <w:color w:val="auto"/>
              </w:rPr>
            </w:pPr>
          </w:p>
        </w:tc>
        <w:tc>
          <w:tcPr>
            <w:tcW w:w="106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4"/>
              </w:rPr>
              <w:t>Provider</w:t>
            </w: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11"/>
                <w:szCs w:val="11"/>
                <w:color w:val="auto"/>
              </w:rPr>
            </w:pPr>
          </w:p>
        </w:tc>
        <w:tc>
          <w:tcPr>
            <w:tcW w:w="800" w:type="dxa"/>
            <w:vAlign w:val="bottom"/>
          </w:tcPr>
          <w:p>
            <w:pPr>
              <w:jc w:val="right"/>
              <w:ind w:right="39"/>
              <w:spacing w:after="0" w:line="133" w:lineRule="exact"/>
              <w:rPr>
                <w:sz w:val="20"/>
                <w:szCs w:val="20"/>
                <w:color w:val="auto"/>
              </w:rPr>
            </w:pPr>
            <w:r>
              <w:rPr>
                <w:rFonts w:ascii="Arial" w:cs="Arial" w:eastAsia="Arial" w:hAnsi="Arial"/>
                <w:sz w:val="14"/>
                <w:szCs w:val="14"/>
                <w:b w:val="1"/>
                <w:bCs w:val="1"/>
                <w:color w:val="auto"/>
                <w:w w:val="95"/>
              </w:rPr>
              <w:t>Workforce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4"/>
              </w:rPr>
              <w:t>Provider</w:t>
            </w:r>
          </w:p>
        </w:tc>
        <w:tc>
          <w:tcPr>
            <w:tcW w:w="220" w:type="dxa"/>
            <w:vAlign w:val="bottom"/>
          </w:tcPr>
          <w:p>
            <w:pPr>
              <w:spacing w:after="0"/>
              <w:rPr>
                <w:sz w:val="11"/>
                <w:szCs w:val="11"/>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Solutions</w:t>
            </w: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99"/>
              <w:spacing w:after="0"/>
              <w:rPr>
                <w:sz w:val="20"/>
                <w:szCs w:val="20"/>
                <w:color w:val="auto"/>
              </w:rPr>
            </w:pPr>
            <w:r>
              <w:rPr>
                <w:rFonts w:ascii="Arial" w:cs="Arial" w:eastAsia="Arial" w:hAnsi="Arial"/>
                <w:sz w:val="14"/>
                <w:szCs w:val="14"/>
                <w:b w:val="1"/>
                <w:bCs w:val="1"/>
                <w:color w:val="auto"/>
                <w:w w:val="93"/>
              </w:rPr>
              <w:t>Solutions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Solutions</w:t>
            </w:r>
          </w:p>
        </w:tc>
        <w:tc>
          <w:tcPr>
            <w:tcW w:w="2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Subscription/SaaS services</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45,743</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8,667</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54,410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89,444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46,968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10,040</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57,008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91,915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111,866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Subscription/SaaS services revenues primarily consist of fees that provide customers access to one or more of our SaaS-based platforms and/or courseware subscriptions, with routine customer support. Revenue is generally recognized over time over the contract term beginning on the date that the service is made available to the customer. Subscription/SaaS contracts are generally one to five years in length, billed annually, semi-annually, quarterly, or monthly in advance, and are non-cancelable.</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Professional services revenues primarily consist of fees for implementation services, custom courseware development, as well as training. The majority of our professional services contracts are billed in advance based on a fixed price basis, and revenue is recognized over time as the services are performed. For both subscription/SaaS services and professional services, the time between billing the customer and when performance obligations are satisfied is not significant.</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contracts with customers often contain multiple performance obligations. For these contracts, the Company accounts for individual performance obligations separately if they are distinct. The contract price, which represents transaction price,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subscribers within the contract.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receive payments from customers based on billing schedules established in our contracts. Accounts receivable - unbilled represent contract assets related to our conditional right to consideration for subscription/SaaS and professional services contracts where performance has occurred under the contract. Accounts receivable are primarily comprised of trade receivables that are recorded at the invoice amount, net of an allowance for doubtful accounts, when the right to consideration becomes unconditional.</w:t>
      </w:r>
    </w:p>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receivables, which are included within Accounts Receivable, include receivables from certain content partners and are not material. For the three months ended June 30, 2018, the Company did not recognize any impairment losses on receivables and contract assets arising from the Company’s contracts with customers, compared to $270,000 for the three months ended June 30, 2017. For the six months ended June 30, 2018 and 2017, the Company recognized $390,000 and $470,000 in impairment losses on receivables and contract assets arising from the Company’s contracts with customers.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Deferred revenue represents contract liabilities that are recorded when cash payments are received or are due in advance of our satisfaction of performance obligations. During the three and six months ended June 30, 2018, we recognized approximately $33.8 million and $48.0 million of revenue from amounts included in deferred revenues at the beginning of the period. As of June 30, 2018, approximately $365 million of revenue is expected to be recognized from remaining performance obligations under contract with customers. We expect to recognize revenue on approximately 48% of these remaining performance obligations over the next 12 months, with the remaining amounts recognized thereafter.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The Company’s sales commission plans include multiple payments, including initial payments in the period a customer contract is obtained and subsequent payments either 15 or 27 months after the initial payment. Under ASC 606, costs to acquire contracts with customers, such as the initial sales commission payment, are capitalized and amortized consistent with the pattern of revenue recognition, whereas subsequent sales commission payments which require a substantive performance condition of the employee are expensed ratably through the payment date. In contrast, under ASC 605, initial sales commission payments were expensed in the period earned. Under ASC 606, the initial commission payments are capitalized in the period a customer contract is obtained and are amortized consistent with the transfer of the goods or services to the customer over the expected period of benefit. The capitalized contract cost is included in Deferred commissions in the accompanying condensed consolidated balance sheet. The expected period of benefit is the contract term, except when the commission payment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approximately three years. The Company recorded amortization of deferred commissions of approximately $1.9 million and $3.7 million for the three and six months ended June 30, 2018 respectively, which is included in Sales and marketing expenses in the accompanying condensed consolidated statements of income.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months ended June 30, 2018 and 2017, the Company recorded a provision for income taxes from continuing operations of approximately $1.1 million and $741,000, respectively. During both the six months ended June 30, 2018 and 2017, the Company recorded a provision for income taxes from continuing operations of approximately $1.5 million. The Company’s effective tax rate for continuing operations for the six months ended June 30, 2018 and 2017 was 17% and 28%, respectively. During the six months ended June 30, 2018 and 2017, the Company recorded excess tax benefits primarily from stock option exercises of approximately $663,000 and $419,000, respectively, as a component of the provision for income taxes. The Company’s effective tax rate primarily reflects the statutory corporate income tax rate, the net effect of state taxes, and the effect of various permanent tax differences.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on Common Stock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12, 2018, the Company’s Board of Directors declared a $1.00 per common share special cash dividend, which was paid on April 3, 2018 to shareholders of record on March 6,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stock awards outstanding under two stock incentive plans: the Company’s 2016 Omnibus Incentive Plan and 2010 Stock Incentive Plan. The Company accounts for its stock based compensation plans using the fair-value based method for costs related to share based payments, including stock options and restricted share units (“RSUs”). During the six months ended June 30, 2018, the Company issued 83,168 RSUs, subject to service-based time vesting, with a weighted average grant date fair value of $24.70 per share, measured based on the closing fair market value of the Company’s stock on the date of grant. During the six months ended June 30, 2017, the Company issued 86,727 RSUs, subject to service-based time vesting, with a weighted average grant date fair value of $23.54 per share, measured based on the closing fair market value of the Company’s stock on the date of grant.</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June 30, 2018, the Company issued 70,000 performance-based RSUs, the vesting of which occurs over a five year period and is contingent upon continued service and achieving certain performance criteria established by the Compensation Committee on an annual basis. None of the performance criteria for these awards had been established as of June 30, 2018.</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stock based compensation expense recorded for the three and six months ended June 30, 2018 and 2017, which is recorded within continuing operations in the condensed consolidated statements of income, is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8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Product development</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8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FF0FC"/>
            </w:tcBorders>
          </w:tcPr>
          <w:p>
            <w:pPr>
              <w:spacing w:after="0"/>
              <w:rPr>
                <w:sz w:val="19"/>
                <w:szCs w:val="19"/>
                <w:color w:val="auto"/>
              </w:rPr>
            </w:pPr>
          </w:p>
        </w:tc>
      </w:tr>
      <w:tr>
        <w:trPr>
          <w:trHeight w:val="223"/>
        </w:trPr>
        <w:tc>
          <w:tcPr>
            <w:tcW w:w="51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based compensation expense</w:t>
            </w:r>
          </w:p>
        </w:tc>
        <w:tc>
          <w:tcPr>
            <w:tcW w:w="8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70,000 and 31,000 for the three months ended June 30, 2018 and 2017, respectively, and approximately 114,000 and 87,000 for the six months ended June 30, 2018 and 2017, respectively.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six months ended June 30, 2018 and 2017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3,656</w:t>
            </w:r>
          </w:p>
        </w:tc>
        <w:tc>
          <w:tcPr>
            <w:tcW w:w="2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2,225</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7,285</w:t>
            </w:r>
          </w:p>
        </w:tc>
        <w:tc>
          <w:tcPr>
            <w:tcW w:w="240" w:type="dxa"/>
            <w:vAlign w:val="bottom"/>
          </w:tcPr>
          <w:p>
            <w:pPr>
              <w:spacing w:after="0"/>
              <w:rPr>
                <w:sz w:val="19"/>
                <w:szCs w:val="19"/>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income from discontinued operations</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(1,111)</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26,392</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Weighted-average shares outstanding</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32,312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32,205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shares</w:t>
            </w:r>
          </w:p>
        </w:tc>
        <w:tc>
          <w:tcPr>
            <w:tcW w:w="1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Weighted-average diluted shares</w:t>
            </w:r>
          </w:p>
        </w:tc>
        <w:tc>
          <w:tcPr>
            <w:tcW w:w="1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32,378</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32,229</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32,255</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Earnings (loss) per share – basic:</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1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per share - basic</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 diluted:</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19"/>
                <w:szCs w:val="19"/>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1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MARKETABLE SECURITIES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2018 and December 31, 2017, the fair value of marketable securities, which were all classified as available for sale, included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3"/>
              </w:rPr>
              <w:t>Adjusted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34,506</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34,475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Government-sponsored enterprise debt securities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42,991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3"/>
              </w:rPr>
              <w:t>Adjusted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41,900</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Government-sponsored enterprise debt securities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June 30, 2018, the Company does not consider any of its marketable securities to be other than temporarily impaired. During the six months ended June 30, 2018 and 2017, the Company did not reclassify any items out of accumulated other comprehensive income to net income. All investments in marketable securities are classified as current assets on the balance sheet because the underlying securities mature within one year from the balance sheet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Experience</w:t>
      </w:r>
    </w:p>
    <w:p>
      <w:pPr>
        <w:spacing w:after="0" w:line="117"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 xml:space="preserve">On February 12, 2018, the Company divested PX to Press Ganey for $65.5 million in cash (subject to adjustment based on the working capital of the PX business at closing), resulting in a gain, net of tax, of $19.1 million. Approximately $6.55 million of the proceeds are being held in escrow for a period of time following the closing as a source of recovery for indemnification claims by Press Ganey. The Company determined the fair value of the contingent consideration asset based on the likelihood of cash proceeds from the escrow. This contingency is remeasured at fair value based on changes in facts each period through the </w:t>
      </w:r>
      <w:r>
        <w:rPr>
          <w:rFonts w:ascii="Arial" w:cs="Arial" w:eastAsia="Arial" w:hAnsi="Arial"/>
          <w:sz w:val="16"/>
          <w:szCs w:val="16"/>
          <w:i w:val="1"/>
          <w:iCs w:val="1"/>
          <w:color w:val="auto"/>
        </w:rPr>
        <w:t>(Loss) gain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sale of discontinued operations </w:t>
      </w:r>
      <w:r>
        <w:rPr>
          <w:rFonts w:ascii="Arial" w:cs="Arial" w:eastAsia="Arial" w:hAnsi="Arial"/>
          <w:sz w:val="16"/>
          <w:szCs w:val="16"/>
          <w:color w:val="auto"/>
        </w:rPr>
        <w:t>line within the condensed consolidated statement of income. The sale of the PX business was effected (i) by the contribution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of specified assets and certain liabilities used in the PX business to a newly-formed wholly-owned subsidiary of the Company, and (ii) immediately thereafter, the sale by the Company to Press Ganey of all the outstanding equity interests of such wholly-owned subsidiary. In connection with such contribution, the Company retained certain liabilities related to the PX business.</w:t>
      </w:r>
    </w:p>
    <w:p>
      <w:pPr>
        <w:spacing w:after="0" w:line="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This sale of the PX business resulted in the Company’s divestiture of the Company’s patient experience solutions business segment. The Company has classified the results of its patient experience solutions business segment as discontinued operations in its condensed consolidated statements of income and cash flows for all periods presented. Additionally, the related assets and liabilities have been reported as assets and liabilities of discontinued operations in the Company’s condensed consolidated balance sheet as of December 31, 2017.</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financial results of the PX business for the period prior to divestiture during the six months ended June 30, 2018, and during the six months ended June 30, 2017, are presented in discontinued operations in the Company’s condensed consolidated statement of income. The following table presents financial results of the PX business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8,562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3,342</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5,152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554</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1,098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48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8,508</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3,406</w:t>
            </w:r>
          </w:p>
        </w:tc>
        <w:tc>
          <w:tcPr>
            <w:tcW w:w="2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2"/>
              </w:rPr>
              <w:t>Income (loss) from discontinued operations before income tax provision</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4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gridSpan w:val="2"/>
            <w:vMerge w:val="continue"/>
          </w:tcPr>
          <w:p>
            <w:pPr>
              <w:spacing w:after="0"/>
              <w:rPr>
                <w:sz w:val="19"/>
                <w:szCs w:val="19"/>
                <w:color w:val="auto"/>
              </w:rPr>
            </w:pPr>
          </w:p>
        </w:tc>
        <w:tc>
          <w:tcPr>
            <w:tcW w:w="1020" w:type="dxa"/>
            <w:vAlign w:val="bottom"/>
            <w:gridSpan w:val="2"/>
            <w:vMerge w:val="restart"/>
          </w:tcPr>
          <w:p>
            <w:pPr>
              <w:jc w:val="right"/>
              <w:ind w:right="767"/>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(64)</w:t>
            </w: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20" w:type="dxa"/>
            <w:vAlign w:val="bottom"/>
            <w:gridSpan w:val="2"/>
          </w:tcPr>
          <w:p>
            <w:pPr>
              <w:jc w:val="right"/>
              <w:ind w:right="447"/>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DISCONTINUED OPERATIONS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aggregate carrying amounts of the classes of assets and liabilities of discontinued operations as of December 31, 2017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Carrying amounts of assets included as part of discontinued operations:</w:t>
            </w:r>
          </w:p>
        </w:tc>
        <w:tc>
          <w:tcPr>
            <w:tcW w:w="15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 unbilled</w:t>
            </w:r>
          </w:p>
        </w:tc>
        <w:tc>
          <w:tcPr>
            <w:tcW w:w="15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Prepaid royalties, net of amortization</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Other prepaid expenses and other current assets</w:t>
            </w:r>
          </w:p>
        </w:tc>
        <w:tc>
          <w:tcPr>
            <w:tcW w:w="15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Current assets of discontinued operations</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development, net</w:t>
            </w:r>
          </w:p>
        </w:tc>
        <w:tc>
          <w:tcPr>
            <w:tcW w:w="15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Goodwill</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Customer-related intangibles, net</w:t>
            </w:r>
          </w:p>
        </w:tc>
        <w:tc>
          <w:tcPr>
            <w:tcW w:w="15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5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Long-term assets of discontinued operations</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Total assets of discontinued operations in the condensed consolidated balance sheet</w:t>
            </w:r>
          </w:p>
        </w:tc>
        <w:tc>
          <w:tcPr>
            <w:tcW w:w="2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34,198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Carrying amounts of liabilities included as part of discontinued operations:</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and accrued expenses</w:t>
            </w:r>
          </w:p>
        </w:tc>
        <w:tc>
          <w:tcPr>
            <w:tcW w:w="232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Accrued royalties</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5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Arial" w:cs="Arial" w:eastAsia="Arial" w:hAnsi="Arial"/>
                <w:sz w:val="18"/>
                <w:szCs w:val="18"/>
                <w:color w:val="auto"/>
              </w:rPr>
              <w:t>Current liabilities of discontinued operations</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noncurrent</w:t>
            </w:r>
          </w:p>
        </w:tc>
        <w:tc>
          <w:tcPr>
            <w:tcW w:w="15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 term liabilities</w:t>
            </w:r>
          </w:p>
        </w:tc>
        <w:tc>
          <w:tcPr>
            <w:tcW w:w="15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liabilities of discontinued operations</w:t>
            </w:r>
          </w:p>
        </w:tc>
        <w:tc>
          <w:tcPr>
            <w:tcW w:w="15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of discontinued operations in the condensed consolidated balance sheet</w:t>
            </w:r>
          </w:p>
        </w:tc>
        <w:tc>
          <w:tcPr>
            <w:tcW w:w="232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 Company’s services are focused on the delivery of workforce development products and services (HealthStream Workforce Solutions) and provider credentialing, privileging, and enrollment products and services (HealthStream Provider Solutions).</w:t>
      </w:r>
    </w:p>
    <w:p>
      <w:pPr>
        <w:spacing w:after="0" w:line="73"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As noted above, the sale of the PX business on February 12, 2018 resulted in the Company’s divestiture of the Company’s Patient Experience Solutions segment. Beginning with the first quarter of 2018, the Company classified the results of its Patient Experience segment as discontinued operations in its condensed consolidated statements of income and cash flows for all periods presented. Additionally, the related assets and liabilities associated with the discontinued operations are shown separately in the Company’s condensed consolidated balance sheet as of December 31, 2017. See Note 8 for additional information.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 (continued)</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for the three and six months ended June 30, 2018 and 2017 and as of June 30, 2018 and December 31, 2017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9"/>
          </w:tcPr>
          <w:p>
            <w:pPr>
              <w:jc w:val="center"/>
              <w:ind w:right="7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Revenues, net:</w:t>
            </w: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44,257</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91,915</w:t>
            </w:r>
          </w:p>
        </w:tc>
        <w:tc>
          <w:tcPr>
            <w:tcW w:w="10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8,663</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19,951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8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57,008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52,920</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111,866</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104,887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40" w:type="dxa"/>
            <w:vAlign w:val="bottom"/>
            <w:gridSpan w:val="9"/>
          </w:tcPr>
          <w:p>
            <w:pPr>
              <w:jc w:val="center"/>
              <w:ind w:right="7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from continuing operations:</w:t>
            </w:r>
          </w:p>
        </w:tc>
        <w:tc>
          <w:tcPr>
            <w:tcW w:w="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Borders>
              <w:bottom w:val="single" w:sz="8" w:color="CFF0FC"/>
            </w:tcBorders>
            <w:vMerge w:val="continue"/>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19,061</w:t>
            </w:r>
          </w:p>
        </w:tc>
        <w:tc>
          <w:tcPr>
            <w:tcW w:w="10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Unallocated</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(6,337)</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(6,285)</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w w:val="95"/>
              </w:rPr>
              <w:t>(12,356)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(12,066)</w:t>
            </w:r>
          </w:p>
        </w:tc>
        <w:tc>
          <w:tcPr>
            <w:tcW w:w="0" w:type="dxa"/>
            <w:vAlign w:val="bottom"/>
          </w:tcPr>
          <w:p>
            <w:pPr>
              <w:spacing w:after="0"/>
              <w:rPr>
                <w:sz w:val="1"/>
                <w:szCs w:val="1"/>
                <w:color w:val="auto"/>
              </w:rPr>
            </w:pPr>
          </w:p>
        </w:tc>
      </w:tr>
      <w:tr>
        <w:trPr>
          <w:trHeight w:val="223"/>
        </w:trPr>
        <w:tc>
          <w:tcPr>
            <w:tcW w:w="5040" w:type="dxa"/>
            <w:vAlign w:val="bottom"/>
          </w:tcPr>
          <w:p>
            <w:pPr>
              <w:ind w:left="500"/>
              <w:spacing w:after="0"/>
              <w:rPr>
                <w:sz w:val="20"/>
                <w:szCs w:val="20"/>
                <w:color w:val="auto"/>
              </w:rPr>
            </w:pPr>
            <w:r>
              <w:rPr>
                <w:rFonts w:ascii="Arial" w:cs="Arial" w:eastAsia="Arial" w:hAnsi="Arial"/>
                <w:sz w:val="18"/>
                <w:szCs w:val="18"/>
                <w:color w:val="auto"/>
              </w:rPr>
              <w:t>Total operating income from continuing operations</w:t>
            </w:r>
          </w:p>
        </w:tc>
        <w:tc>
          <w:tcPr>
            <w:tcW w:w="8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40" w:type="dxa"/>
            <w:vAlign w:val="bottom"/>
          </w:tcPr>
          <w:p>
            <w:pPr>
              <w:spacing w:after="0"/>
              <w:rPr>
                <w:sz w:val="20"/>
                <w:szCs w:val="20"/>
                <w:color w:val="auto"/>
              </w:rPr>
            </w:pPr>
            <w:r>
              <w:rPr>
                <w:rFonts w:ascii="Arial" w:cs="Arial" w:eastAsia="Arial" w:hAnsi="Arial"/>
                <w:sz w:val="14"/>
                <w:szCs w:val="14"/>
                <w:b w:val="1"/>
                <w:bCs w:val="1"/>
                <w:color w:val="auto"/>
              </w:rPr>
              <w:t>Segment assets *</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4"/>
          </w:tcPr>
          <w:p>
            <w:pPr>
              <w:jc w:val="right"/>
              <w:ind w:right="362"/>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Pr>
          <w:p>
            <w:pPr>
              <w:spacing w:after="0"/>
              <w:rPr>
                <w:sz w:val="24"/>
                <w:szCs w:val="24"/>
                <w:color w:val="auto"/>
              </w:rPr>
            </w:pPr>
          </w:p>
        </w:tc>
        <w:tc>
          <w:tcPr>
            <w:tcW w:w="184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8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3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93,461</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21"/>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90,055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Provider Solutions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146,101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150,797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Unallocated</w:t>
            </w: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178,126</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136,069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3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417,688</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411,119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400" w:hanging="392"/>
        <w:spacing w:after="0" w:line="238" w:lineRule="auto"/>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entered into a First Amendment to Revolving Credit Agreement dated as of November 13, 2017, amending the Company’s Revolving Credit Facility, dated as of November 24, 2014 (“Revolving Credit Facility”) with SunTrust Bank (“SunTrust”), which amendment extended the maturity date under the Revolving Credit Facility to November 24, 2018.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 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2018,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17"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2018, the Company was in compliance with all covenants. There were no balances outstanding on the Revolving Credit Facility as of or during the three and six months ended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right="4320"/>
        <w:spacing w:after="0" w:line="279" w:lineRule="exact"/>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2017, appearing in our Annual Report on Form 10-K that was filed with the Securities and Exchange Commission (“SEC”) on February 26, 2018 (the “2017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Part I, Item 1A. Risk Factors in our 2017 Form 10-K and the information regarding forward-looking statements and other disclosures in our 2017 Form 10-K, earnings releases and other filings with the SEC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HealthStream provides workforce and provider solutions for healthcare organizations—all designed to assess and develop the people that deliver patient care, which, in turn, supports the improvement of business and clinical outcomes. Our workforce products are used by healthcare organizations to meet a broad range of their training, certification, competency assessment, performance appraisal, and development needs. Our provider products are used by healthcare organizations for provider credentialing, privileging, call center, and enrollment needs. HealthStream’s customers include healthcare organizations, pharmaceutical and medical device companies, and other participants in the healthcare industry.</w:t>
      </w:r>
    </w:p>
    <w:p>
      <w:pPr>
        <w:spacing w:after="0" w:line="6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12, 2018, the Company divested PX to Press Ganey for $65.5 million in cash (subject to adjustment based on the working capital of the PX business at closing), resulting in a gain, net of tax, of $19.1 million. This sale of the PX business resulted in the Company’s divestiture of the Company’s patient experience solutions business segment. With the proceeds of this sale, our Board of Directors declared a $1.00 per common share special cash dividend, which was paid on April 3, 2018 to shareholders of record on March 6, 2018. For additional information regarding the disposition of the PX business, including certain pro forma financial information reflecting the disposition of the PX business, see our Current Report on Form 8-K filed with the SEC on February 12, 2018.</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Key financial indicators of operations for the second quarter of 2018 are set forth in the bullets below. These indicators (i) reflect results from continuing operations (i.e., 2017 and 2018 results do not include the gain on the sale of the PX business or the results of operations of such business prior to this sale), and</w:t>
      </w:r>
    </w:p>
    <w:p>
      <w:pPr>
        <w:ind w:firstLine="8"/>
        <w:spacing w:after="0" w:line="261"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2018 results are presented in accordance with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whereas results for 2017 are presented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w:t>
      </w:r>
    </w:p>
    <w:p>
      <w:pPr>
        <w:sectPr>
          <w:pgSz w:w="11900" w:h="16838" w:orient="portrait"/>
          <w:cols w:equalWidth="0" w:num="1">
            <w:col w:w="11420"/>
          </w:cols>
          <w:pgMar w:left="240" w:top="351" w:right="239" w:bottom="1440" w:gutter="0" w:footer="0" w:header="0"/>
        </w:sectPr>
      </w:pPr>
    </w:p>
    <w:p>
      <w:pPr>
        <w:spacing w:after="0" w:line="14"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Revenues of $57.0 million in the second quarter of 2018, up 8% from $52.9 million in the second quarter of 2017; with $456,000 positive impact in the second quarter of 2018 from the application of ASC 606</w:t>
      </w:r>
    </w:p>
    <w:p>
      <w:pPr>
        <w:spacing w:after="0" w:line="6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Operating income of $4.3 million in the second quarter of 2018, up 52% from $2.8 million in the second quarter of 2017; with $339,000 positive impact in the second quarter of 2018 from the application of ASC 606</w:t>
      </w:r>
    </w:p>
    <w:p>
      <w:pPr>
        <w:spacing w:after="0" w:line="6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Income from continuing operations of $3.7 million in the second quarter of 2018, up 64% from $2.2 million in the second quarter of 2017; with $256,000 positive impact in the second quarter of 2018 from the application of ASC 606</w:t>
      </w:r>
    </w:p>
    <w:p>
      <w:pPr>
        <w:spacing w:after="0" w:line="6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Earnings per share (EPS) from continuing operations of $0.11 per share (diluted) in the second quarter of 2018, compared to EPS from continuing operations of $0.07 per share (diluted) in the second quarter of 2017</w:t>
      </w:r>
    </w:p>
    <w:p>
      <w:pPr>
        <w:spacing w:after="0" w:line="6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Adjusted EBITDA</w:t>
      </w:r>
      <w:r>
        <w:rPr>
          <w:rFonts w:ascii="Arial" w:cs="Arial" w:eastAsia="Arial" w:hAnsi="Arial"/>
          <w:sz w:val="13"/>
          <w:szCs w:val="13"/>
          <w:color w:val="auto"/>
        </w:rPr>
        <w:t>1</w:t>
      </w:r>
      <w:r>
        <w:rPr>
          <w:rFonts w:ascii="Arial" w:cs="Arial" w:eastAsia="Arial" w:hAnsi="Arial"/>
          <w:sz w:val="18"/>
          <w:szCs w:val="18"/>
          <w:color w:val="auto"/>
        </w:rPr>
        <w:t xml:space="preserve"> from continuing operations of $10.7 million in the second quarter of 2018, up 16% from $9.2 million in the second quarter 2017; with $339,000 positive impact in the second quarter of 2018 from the application of ASC 606</w:t>
      </w:r>
    </w:p>
    <w:p>
      <w:pPr>
        <w:spacing w:after="0" w:line="71" w:lineRule="exact"/>
        <w:rPr>
          <w:sz w:val="20"/>
          <w:szCs w:val="20"/>
          <w:color w:val="auto"/>
        </w:rPr>
      </w:pPr>
    </w:p>
    <w:p>
      <w:pPr>
        <w:sectPr>
          <w:pgSz w:w="11900" w:h="16838" w:orient="portrait"/>
          <w:cols w:equalWidth="0" w:num="2">
            <w:col w:w="100" w:space="300"/>
            <w:col w:w="11020"/>
          </w:cols>
          <w:pgMar w:left="240" w:top="351" w:right="239" w:bottom="1440" w:gutter="0" w:footer="0" w:header="0"/>
          <w:type w:val="continuous"/>
        </w:sectPr>
      </w:pPr>
    </w:p>
    <w:p>
      <w:pPr>
        <w:jc w:val="both"/>
        <w:ind w:left="400" w:hanging="392"/>
        <w:spacing w:after="0" w:line="238"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EBITDA and Adjusted EBITDA from continuing operations are non-GAAP financial measures. A reconciliation of Adjusted EBITDA to net income and a reconciliation of Adjusted EBITDA from continuing operations to net income from continuing operations, and disclosure regarding why we believe that these non-GAAP financial measures provide useful information to investors, is included later in this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p>
      <w:pPr>
        <w:ind w:left="400"/>
        <w:spacing w:after="0"/>
        <w:rPr>
          <w:sz w:val="20"/>
          <w:szCs w:val="20"/>
          <w:color w:val="auto"/>
        </w:rPr>
      </w:pPr>
      <w:r>
        <w:rPr>
          <w:rFonts w:ascii="Arial" w:cs="Arial" w:eastAsia="Arial" w:hAnsi="Arial"/>
          <w:sz w:val="27"/>
          <w:szCs w:val="27"/>
          <w:color w:val="auto"/>
        </w:rPr>
        <w:t>•</w:t>
      </w:r>
    </w:p>
    <w:p>
      <w:pPr>
        <w:ind w:left="400"/>
        <w:spacing w:after="0" w:line="237" w:lineRule="auto"/>
        <w:rPr>
          <w:sz w:val="20"/>
          <w:szCs w:val="20"/>
          <w:color w:val="auto"/>
        </w:rPr>
      </w:pPr>
      <w:r>
        <w:rPr>
          <w:rFonts w:ascii="Arial" w:cs="Arial" w:eastAsia="Arial" w:hAnsi="Arial"/>
          <w:sz w:val="27"/>
          <w:szCs w:val="27"/>
          <w:color w:val="auto"/>
        </w:rPr>
        <w:t>•</w:t>
      </w:r>
    </w:p>
    <w:p>
      <w:pPr>
        <w:ind w:left="400"/>
        <w:spacing w:after="0" w:line="230" w:lineRule="auto"/>
        <w:rPr>
          <w:sz w:val="20"/>
          <w:szCs w:val="20"/>
          <w:color w:val="auto"/>
        </w:rPr>
      </w:pPr>
      <w:r>
        <w:rPr>
          <w:rFonts w:ascii="Arial" w:cs="Arial" w:eastAsia="Arial" w:hAnsi="Arial"/>
          <w:sz w:val="27"/>
          <w:szCs w:val="27"/>
          <w:color w:val="auto"/>
        </w:rPr>
        <w:t>•</w:t>
      </w:r>
    </w:p>
    <w:p>
      <w:pPr>
        <w:ind w:left="400"/>
        <w:spacing w:after="0" w:line="230" w:lineRule="auto"/>
        <w:rPr>
          <w:sz w:val="20"/>
          <w:szCs w:val="20"/>
          <w:color w:val="auto"/>
        </w:rPr>
      </w:pPr>
      <w:r>
        <w:rPr>
          <w:rFonts w:ascii="Arial" w:cs="Arial" w:eastAsia="Arial" w:hAnsi="Arial"/>
          <w:sz w:val="27"/>
          <w:szCs w:val="27"/>
          <w:color w:val="auto"/>
        </w:rPr>
        <w:t>•</w:t>
      </w:r>
    </w:p>
    <w:p>
      <w:pPr>
        <w:ind w:left="400"/>
        <w:spacing w:after="0" w:line="229" w:lineRule="auto"/>
        <w:rPr>
          <w:sz w:val="20"/>
          <w:szCs w:val="20"/>
          <w:color w:val="auto"/>
        </w:rPr>
      </w:pPr>
      <w:r>
        <w:rPr>
          <w:rFonts w:ascii="Arial" w:cs="Arial" w:eastAsia="Arial" w:hAnsi="Arial"/>
          <w:sz w:val="27"/>
          <w:szCs w:val="27"/>
          <w:color w:val="auto"/>
        </w:rPr>
        <w:t>•</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Revenue recognition and sales commissions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income taxes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Software development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Goodwill, intangibles, and other long-lived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w:t>
      </w:r>
    </w:p>
    <w:p>
      <w:pPr>
        <w:spacing w:after="0" w:line="103" w:lineRule="exact"/>
        <w:rPr>
          <w:sz w:val="20"/>
          <w:szCs w:val="20"/>
          <w:color w:val="auto"/>
        </w:rPr>
      </w:pPr>
    </w:p>
    <w:p>
      <w:pPr>
        <w:sectPr>
          <w:pgSz w:w="11900" w:h="16838" w:orient="portrait"/>
          <w:cols w:equalWidth="0" w:num="2">
            <w:col w:w="500" w:space="300"/>
            <w:col w:w="10620"/>
          </w:cols>
          <w:pgMar w:left="240" w:top="459" w:right="239" w:bottom="1440" w:gutter="0" w:footer="0" w:header="0"/>
          <w:type w:val="continuous"/>
        </w:sectPr>
      </w:pPr>
    </w:p>
    <w:p>
      <w:pPr>
        <w:jc w:val="both"/>
        <w:spacing w:after="0" w:line="289"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Condensed Consolidated Financial Statements in our 2017 Form 10-K and the Notes to the Condensed Consolidated Financial Statements herein, which contains additional information regarding our accounting policies and other disclosures required by US GAAP. There have been no changes in our critical accounting policies and estimates from those reported in our 2017 Form 10-K except as disclosed in the Notes to the Condensed Consolidated Financial Statements herein. Note 2 in the Notes to Condensed Consolidated Financial Statements summarizes new accounting guidance issued by the Financial Accounting Standards Board (“FASB”) that has been recently adopted by the Company, or not yet adopted by the Company, and our evaluation of such accounting guidance and the anticipated impact of such guidance (if known) on the Company. Note 3 summarizes our critical accounting polices related to the new revenue recognition accounting standard and its impact on our financial results as reflected in our balance sheet and statement of income.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to Three Months Ended June 30, 2017</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$4.1 million, or 8%, to $57.0 million for the three months ended June 30, 2018 from $52.9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2017. The adoption of ASC 606 had a positive impact on revenues of approximately $456,000 for the second quarter of 2018, compared to ASC 605. In addition, revenue for 2018 was positively impacted by lower deferred revenue write-downs, which were $30,000 during the second quarter of 2018, compared to $548,000 during the second quarter of 2017. See “Reconciliation of Non-GAAP Financial Measures” below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revenues by business segment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Three Months Ended June 30,</w:t>
            </w:r>
          </w:p>
        </w:tc>
        <w:tc>
          <w:tcPr>
            <w:tcW w:w="1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1"/>
                <w:szCs w:val="11"/>
                <w:color w:val="auto"/>
              </w:rPr>
            </w:pPr>
          </w:p>
        </w:tc>
        <w:tc>
          <w:tcPr>
            <w:tcW w:w="13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80" w:type="dxa"/>
            <w:vAlign w:val="bottom"/>
            <w:tcBorders>
              <w:bottom w:val="single" w:sz="8" w:color="CFF0FC"/>
            </w:tcBorders>
            <w:vMerge w:val="continue"/>
          </w:tcPr>
          <w:p>
            <w:pPr>
              <w:spacing w:after="0"/>
              <w:rPr>
                <w:sz w:val="14"/>
                <w:szCs w:val="14"/>
                <w:color w:val="auto"/>
              </w:rPr>
            </w:pPr>
          </w:p>
        </w:tc>
        <w:tc>
          <w:tcPr>
            <w:tcW w:w="23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46,968</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44,257</w:t>
            </w: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2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8,663</w:t>
            </w:r>
          </w:p>
        </w:tc>
        <w:tc>
          <w:tcPr>
            <w:tcW w:w="34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2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57,008</w:t>
            </w:r>
          </w:p>
        </w:tc>
        <w:tc>
          <w:tcPr>
            <w:tcW w:w="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52,920</w:t>
            </w:r>
          </w:p>
        </w:tc>
        <w:tc>
          <w:tcPr>
            <w:tcW w:w="3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 of Revenues</w:t>
            </w:r>
          </w:p>
        </w:tc>
        <w:tc>
          <w:tcPr>
            <w:tcW w:w="3980" w:type="dxa"/>
            <w:vAlign w:val="bottom"/>
            <w:tcBorders>
              <w:bottom w:val="single" w:sz="8" w:color="CFF0FC"/>
            </w:tcBorders>
            <w:shd w:val="clear" w:color="auto" w:fill="CFF0FC"/>
          </w:tcPr>
          <w:p>
            <w:pPr>
              <w:spacing w:after="0"/>
              <w:rPr>
                <w:sz w:val="18"/>
                <w:szCs w:val="18"/>
                <w:color w:val="auto"/>
              </w:rPr>
            </w:pPr>
          </w:p>
        </w:tc>
        <w:tc>
          <w:tcPr>
            <w:tcW w:w="2700" w:type="dxa"/>
            <w:vAlign w:val="bottom"/>
            <w:tcBorders>
              <w:bottom w:val="single" w:sz="8" w:color="CFF0FC"/>
            </w:tcBorders>
            <w:shd w:val="clear" w:color="auto" w:fill="CFF0FC"/>
          </w:tcPr>
          <w:p>
            <w:pPr>
              <w:spacing w:after="0"/>
              <w:rPr>
                <w:sz w:val="18"/>
                <w:szCs w:val="18"/>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3980" w:type="dxa"/>
            <w:vAlign w:val="bottom"/>
          </w:tcPr>
          <w:p>
            <w:pPr>
              <w:jc w:val="right"/>
              <w:ind w:right="570"/>
              <w:spacing w:after="0"/>
              <w:rPr>
                <w:sz w:val="20"/>
                <w:szCs w:val="20"/>
                <w:color w:val="auto"/>
              </w:rPr>
            </w:pPr>
            <w:r>
              <w:rPr>
                <w:rFonts w:ascii="Arial" w:cs="Arial" w:eastAsia="Arial" w:hAnsi="Arial"/>
                <w:sz w:val="18"/>
                <w:szCs w:val="18"/>
                <w:color w:val="auto"/>
              </w:rPr>
              <w:t>82%</w:t>
            </w:r>
          </w:p>
        </w:tc>
        <w:tc>
          <w:tcPr>
            <w:tcW w:w="2700" w:type="dxa"/>
            <w:vAlign w:val="bottom"/>
          </w:tcPr>
          <w:p>
            <w:pPr>
              <w:jc w:val="right"/>
              <w:ind w:right="1610"/>
              <w:spacing w:after="0"/>
              <w:rPr>
                <w:sz w:val="20"/>
                <w:szCs w:val="20"/>
                <w:color w:val="auto"/>
              </w:rPr>
            </w:pPr>
            <w:r>
              <w:rPr>
                <w:rFonts w:ascii="Arial" w:cs="Arial" w:eastAsia="Arial" w:hAnsi="Arial"/>
                <w:sz w:val="18"/>
                <w:szCs w:val="18"/>
                <w:color w:val="auto"/>
              </w:rPr>
              <w:t>84%</w:t>
            </w: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Provider Solutions</w:t>
            </w:r>
          </w:p>
        </w:tc>
        <w:tc>
          <w:tcPr>
            <w:tcW w:w="39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18%</w:t>
            </w:r>
          </w:p>
        </w:tc>
        <w:tc>
          <w:tcPr>
            <w:tcW w:w="2700" w:type="dxa"/>
            <w:vAlign w:val="bottom"/>
            <w:shd w:val="clear" w:color="auto" w:fill="CFF0FC"/>
          </w:tcPr>
          <w:p>
            <w:pPr>
              <w:jc w:val="right"/>
              <w:ind w:right="1610"/>
              <w:spacing w:after="0"/>
              <w:rPr>
                <w:sz w:val="20"/>
                <w:szCs w:val="20"/>
                <w:color w:val="auto"/>
              </w:rPr>
            </w:pPr>
            <w:r>
              <w:rPr>
                <w:rFonts w:ascii="Arial" w:cs="Arial" w:eastAsia="Arial" w:hAnsi="Arial"/>
                <w:sz w:val="18"/>
                <w:szCs w:val="18"/>
                <w:color w:val="auto"/>
              </w:rPr>
              <w:t>16%</w:t>
            </w: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HealthStream Workforce Solutions increased approximately $2.7 million, or 6%, to $47.0 million for the three months ended June 30, 2018 from $44.3 million for the three months ended June 30, 2017. Revenue growth in 2018 was positively influenced by an increase in subscription-based product revenues. Our implemented subscriber base increased by 6% over the second quarter of 2017 to 4,748,000 implemented subscribers at June 30, 2018 compared to 4,482,000 implemented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subscribers at June 30, 2017. Additionally, we had a 5% increase in total subscribers over the second quarter of 2017, with 4,829,000 total subscribers at June 30, 2018 compared to 4,590,000 total subscribers at June 30, 2017.</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Revenues for HealthStream Provider Solutions increased approximately $1.3 million, or 16%, to $10.0 million for the three months ended June 30, 2018 from $8.7 million for the three months ended June 30, 2017. This increase was driven in part by increased revenues from the Morrisey Associates, Inc. (“MAI”) acquisition in August 2016. MAI revenues in the second quarter of 2018 increased 23% to $3.2 million, net of deferred revenue write-downs, compared to $2.6 million, net of deferred revenue write-downs, in the second quarter of 2017. Revenues from other Provider Solutions products increased $771,000, or 13%, over the second quarter of 2017 due to growth from acquiring new customers and selling new products.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approximately $2.0 million, or 9%, to $23.2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2018 from $21.2 million for the three months ended June 30, 2017. Cost of revenues as a percentage of revenues was 41% and 40% for the three months ended June 30, 2018 and 2017, respectively.</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Cost of revenues for HealthStream Workforce Solutions increased approximately $1.5 million to $20.0 million and approximated 43% and 42% of revenues for HealthStream Workforce Solutions for the three months ended June 30, 2018 and 2017, respectively. The increase is primarily associated with increased royalties paid by us resulting from growth in courseware subscription revenues. Cost of revenues for HealthStream Provider Solutions increased approximately $470,000 to $3.3 million and approximated 32% of HealthStream Provider Solutions revenues for both the three months ended June 30, 2018 and 2017. The increase in amount is primarily associated with hosting costs and increases to personnel over the prior year period.</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$396,000, or 6%, to $6.5 million for the three months ended June 30, 2018 from</w:t>
      </w:r>
      <w:r>
        <w:rPr>
          <w:rFonts w:ascii="Arial" w:cs="Arial" w:eastAsia="Arial" w:hAnsi="Arial"/>
          <w:sz w:val="18"/>
          <w:szCs w:val="18"/>
          <w:i w:val="1"/>
          <w:iCs w:val="1"/>
          <w:color w:val="auto"/>
        </w:rPr>
        <w:t xml:space="preserve"> </w:t>
      </w:r>
      <w:r>
        <w:rPr>
          <w:rFonts w:ascii="Arial" w:cs="Arial" w:eastAsia="Arial" w:hAnsi="Arial"/>
          <w:sz w:val="18"/>
          <w:szCs w:val="18"/>
          <w:color w:val="auto"/>
        </w:rPr>
        <w:t>$6.2 million for the three months ended June 30, 2017. Product development expenses as a percentage of revenues were 11% and 12% for the three months ended June 30, 2018 and 2017, respectively.</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 development expenses for HealthStream Workforce Solutions increased approximately $272,000 to $5.3 million and approximated 11% of revenues for HealthStream Workforce Solutions for both the three months ended June 30, 2018 and 2017. The increase in amount is primarily due to increases to personnel over the prior year period. Product development expenses for HealthStream Provider Solutions increased approximately $124,000 to $1.3 million and approximated 12% and 13% of revenues for HealthStream Provider Solutions for the three months ended June 30, 2018 and 2017, respectively. The increase is primarily due to increases to personnel over the prior year period.</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approximately $149,000, or 2%, to $8.9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2018 from $9.1 million for the three months ended June 30, 2017. Sales and marketing expenses were 16% and 17% of revenues for the three months ended June 30, 2018 and 2017, respectively.</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Sales and marketing expenses for HealthStream Workforce Solutions decreased approximately $541,000 to $7.2 million and approximated 15% and 18% of revenues for HealthStream Workforce Solutions for the three months ended June 30, 2018 and 2017, respectively. The decrease is primarily due to lower sales commissions, which is a result of adopting ASC 606 effective January 1, 2018. Under ASC 606, costs to acquire contracts with customers, such as initial sales commission payments, are capitalized and amortized consistent with the pattern of revenue recognition, whereas under ASC 605 such costs were expensed, resulting in faster expense recognition. Sales and marketing expenses for HealthStream Provider Solutions increased approximately $357,000 to $1.4 million and approximated 14% and 12% of revenues for HealthStream Provider Solutions for the three months ended June 30, 2018 and 2017, respectively. The increase is due to increases to personnel and related costs over the prior year period. The unallocated portion of sales and marketing expenses increased approximately $35,000 to $345,000 compared to the prior year period primarily due to increases in general marketing spending.</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increased approximately $347,000, or 5%, to $8.0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2018 from $7.7 million for the three months ended June 30, 2017. Other general and administrative expenses as a percentage of revenues were 14% and 15% of revenues for the three months ended June 30, 2018 and 2017, respectively.</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Other general and administrative expenses for HealthStream Workforce Solutions increased approximately $196,000 to $2.2 million and approximated 5% of HealthStream Workforce Solutions revenues for both the three months ended June 30, 2018 and 2017. The increase in amount is primarily due to higher technology infrastructure expenses and increases in other general expenses. Other general and administrative expenses for HealthStream Provider Solutions decreased approximately $13,000 to $1.2 million and approximated 12% and 14% of HealthStream Provider Solutions revenues for the three months ended June 30, 2018 and 2017, respectively. The unallocated corporate portion of other general and administrative expenses increased approximately $164,000 to $4.6 million compared to the prior year period primarily due to increases to personnel, contract labor, and professional services expenses related to the implementation of ASC 606, but was partially offset by decreases in other general expenses.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was approximately $6.0 million for both the three months ended June 30, 2018 and 2017.</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approximately $476,000 for the three months ended June 30, 2018 compared to $165,000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2017. The increase is a result of higher interest income from cash and investments in marketable securities.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from continuing operations of approximately $1.1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compared to $741,000 for the three months ended June 30, 2017. The Company’s effective tax rate was 23% for the three months ended June 30, 2018 compared to 25% for the three months ended June 30, 2017. The decrease in the effective tax rate primarily resulted from the decrease in the enacted federal corporate income tax rate from 35% to 21% as a result of the Tax Cuts and Jobs Act of 2017 that was signed into law in December 2017. The effective tax rate for the second quarter of 2018 was also impacted by a decrease in excess tax benefits of $334,000, primarily from stock option exercises, compared to the second quarter of 2017.</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(Loss) Income on Discontinued Operations. </w:t>
      </w:r>
      <w:r>
        <w:rPr>
          <w:rFonts w:ascii="Arial" w:cs="Arial" w:eastAsia="Arial" w:hAnsi="Arial"/>
          <w:sz w:val="18"/>
          <w:szCs w:val="18"/>
          <w:color w:val="auto"/>
        </w:rPr>
        <w:t>(Loss) income from discontinued operations was a loss of $1.1 million for the three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of $41,000 for the three months ended June 30, 2017. Loss from discontinued operations during the three months ended June 30, 2018 was primarily due to a reduction in the gain previously recognized by the Company in connection with the sale of the PX business, which occurred on February 12, 2018.</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Income from Continuing Operations. </w:t>
      </w:r>
      <w:r>
        <w:rPr>
          <w:rFonts w:ascii="Arial" w:cs="Arial" w:eastAsia="Arial" w:hAnsi="Arial"/>
          <w:sz w:val="16"/>
          <w:szCs w:val="16"/>
          <w:color w:val="auto"/>
        </w:rPr>
        <w:t>Income from continuing operations was $3.7 million in the second quarter of 2018, up from $2.2 million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2017. The application of ASC 606 positively impacted income from continuing operations in the second quarter of 2018 in the amount of $256,000. In addition, income from continuing operations was also impacted by lower deferred revenue write-downs, which were $23,000 during the second quarter of 2018 compared to $411,000 during the second quarter of 2017. See “Reconciliation of Non-GAAP Financial Measures” below for additional information. EPS from continuing operations was $0.11 and $0.07 per share (diluted) for the three months ended June 30, 2018 and 2017, respectively.</w:t>
      </w:r>
    </w:p>
    <w:p>
      <w:pPr>
        <w:spacing w:after="0" w:line="5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increased approximately $279,000, to $2.5 million for the three months ended June 30, 2018 from $2.3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June 30, 2017. Earnings per diluted share were $0.08 and $0.07 per share for the three months ended June 30, 2018 and 2017, respectively.</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EBITDA (which we define as net income before interest, income taxes, stock based compensation, and depreciation and amortization) from continuing operations increased 16% to $10.7 million for the second quarter of 2018, compared to $9.2 million for the second quarter of 2017. The application of ASC 606 had a positive impact of $339,000 on Adjusted EBITDA from continuing operations during the second quarter of 2018.</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decreased approximately $658,000 to $9.2 million for the three months ended June 30, 2018, compared to $9.9 million for the three months ended June 30, 2017, which decrease was primarily driven by the divestiture of the PX business as noted above. See “Reconciliation of Non-GAAP Financial Measures” below for our reconciliation of Adjusted EBITDA from continuing operations and Adjusted EBITDA to the most directly comparable measures under US GAAP.</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2018 Compared to Six Months Ended June 30, 2017</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$7.0 million, or 7%, to $111.9 million for the six months ended June 30, 2018 from $104.9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The adoption of ASC 606 had a positive impact on revenues of approximately $448,000 for the six months ended June 30, 2018, compared to ASC 605. In addition, revenue for 2018 was positively impacted by lower deferred revenue write-downs, which were $76,000 during the six months ended June 30, 2018 compared to $1.4 million during the six months ended June 30, 2017. See “Reconciliation of Non-GAAP Financial Measures” below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revenues by business segment is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30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1"/>
                <w:szCs w:val="11"/>
                <w:color w:val="auto"/>
              </w:rPr>
            </w:pPr>
          </w:p>
        </w:tc>
        <w:tc>
          <w:tcPr>
            <w:tcW w:w="13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80" w:type="dxa"/>
            <w:vAlign w:val="bottom"/>
            <w:tcBorders>
              <w:bottom w:val="single" w:sz="8" w:color="CFF0FC"/>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Solutions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91,915</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87,958</w:t>
            </w: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Provider Solutions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19,951</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16,929</w:t>
            </w:r>
          </w:p>
        </w:tc>
        <w:tc>
          <w:tcPr>
            <w:tcW w:w="34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 net</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111,866</w:t>
            </w:r>
          </w:p>
        </w:tc>
        <w:tc>
          <w:tcPr>
            <w:tcW w:w="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104,887</w:t>
            </w:r>
          </w:p>
        </w:tc>
        <w:tc>
          <w:tcPr>
            <w:tcW w:w="34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 of Revenues</w:t>
            </w:r>
          </w:p>
        </w:tc>
        <w:tc>
          <w:tcPr>
            <w:tcW w:w="4000" w:type="dxa"/>
            <w:vAlign w:val="bottom"/>
            <w:tcBorders>
              <w:bottom w:val="single" w:sz="8" w:color="CFF0FC"/>
            </w:tcBorders>
            <w:shd w:val="clear" w:color="auto" w:fill="CFF0FC"/>
          </w:tcPr>
          <w:p>
            <w:pPr>
              <w:spacing w:after="0"/>
              <w:rPr>
                <w:sz w:val="18"/>
                <w:szCs w:val="18"/>
                <w:color w:val="auto"/>
              </w:rPr>
            </w:pPr>
          </w:p>
        </w:tc>
        <w:tc>
          <w:tcPr>
            <w:tcW w:w="2700" w:type="dxa"/>
            <w:vAlign w:val="bottom"/>
            <w:tcBorders>
              <w:bottom w:val="single" w:sz="8" w:color="CFF0FC"/>
            </w:tcBorders>
            <w:shd w:val="clear" w:color="auto" w:fill="CFF0FC"/>
          </w:tcPr>
          <w:p>
            <w:pPr>
              <w:spacing w:after="0"/>
              <w:rPr>
                <w:sz w:val="18"/>
                <w:szCs w:val="18"/>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Workforce Solutions</w:t>
            </w:r>
          </w:p>
        </w:tc>
        <w:tc>
          <w:tcPr>
            <w:tcW w:w="4000" w:type="dxa"/>
            <w:vAlign w:val="bottom"/>
          </w:tcPr>
          <w:p>
            <w:pPr>
              <w:jc w:val="right"/>
              <w:ind w:right="590"/>
              <w:spacing w:after="0"/>
              <w:rPr>
                <w:sz w:val="20"/>
                <w:szCs w:val="20"/>
                <w:color w:val="auto"/>
              </w:rPr>
            </w:pPr>
            <w:r>
              <w:rPr>
                <w:rFonts w:ascii="Arial" w:cs="Arial" w:eastAsia="Arial" w:hAnsi="Arial"/>
                <w:sz w:val="18"/>
                <w:szCs w:val="18"/>
                <w:color w:val="auto"/>
              </w:rPr>
              <w:t>82%</w:t>
            </w:r>
          </w:p>
        </w:tc>
        <w:tc>
          <w:tcPr>
            <w:tcW w:w="2700" w:type="dxa"/>
            <w:vAlign w:val="bottom"/>
          </w:tcPr>
          <w:p>
            <w:pPr>
              <w:jc w:val="right"/>
              <w:ind w:right="1610"/>
              <w:spacing w:after="0"/>
              <w:rPr>
                <w:sz w:val="20"/>
                <w:szCs w:val="20"/>
                <w:color w:val="auto"/>
              </w:rPr>
            </w:pPr>
            <w:r>
              <w:rPr>
                <w:rFonts w:ascii="Arial" w:cs="Arial" w:eastAsia="Arial" w:hAnsi="Arial"/>
                <w:sz w:val="18"/>
                <w:szCs w:val="18"/>
                <w:color w:val="auto"/>
              </w:rPr>
              <w:t>84%</w:t>
            </w: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Provider Solutions</w:t>
            </w:r>
          </w:p>
        </w:tc>
        <w:tc>
          <w:tcPr>
            <w:tcW w:w="400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18%</w:t>
            </w:r>
          </w:p>
        </w:tc>
        <w:tc>
          <w:tcPr>
            <w:tcW w:w="2700" w:type="dxa"/>
            <w:vAlign w:val="bottom"/>
            <w:shd w:val="clear" w:color="auto" w:fill="CFF0FC"/>
          </w:tcPr>
          <w:p>
            <w:pPr>
              <w:jc w:val="right"/>
              <w:ind w:right="1610"/>
              <w:spacing w:after="0"/>
              <w:rPr>
                <w:sz w:val="20"/>
                <w:szCs w:val="20"/>
                <w:color w:val="auto"/>
              </w:rPr>
            </w:pPr>
            <w:r>
              <w:rPr>
                <w:rFonts w:ascii="Arial" w:cs="Arial" w:eastAsia="Arial" w:hAnsi="Arial"/>
                <w:sz w:val="18"/>
                <w:szCs w:val="18"/>
                <w:color w:val="auto"/>
              </w:rPr>
              <w:t>16%</w:t>
            </w: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for HealthStream Workforce Solutions increased approximately $4.0 million, or 4%, over the first six months of 2017. Revenue growth in 2018 was positively influenced by an increase in subscription-based product revenues, but was partially offset by an expected decline in ICD-10 readiness revenues of $785,000.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Revenues for HealthStream Provider Solutions increased approximately $3.0 million, or 18%, over the first six months of 2017. The increase was driven in part by increased revenues from the MAI acquisition in August 2016. MAI revenues for the six months ended June 30, 2018 increased $1.4 million, net of deferred revenue write-downs, over the prior year period. Revenues from other Provider Solutions products increased $1.6 million over the prior year period due to growth from acquiring new customers and selling new products.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approximately $3.1 million, or 7%, to $45.5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from $42.4 million for the six months ended June 30, 2017. Cost of revenues as a percentage of revenues was approximately 41% and 40% for the six months ended June 30, 2018 and 2017, respectively.</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Cost of revenues for HealthStream Workforce Solutions increased approximately $2.1 million to $38.9 million and approximated 42% of revenues for HealthStream Workforce Solutions for both the six months ended June 30, 2018 and 2017. The increase in amount is primarily associated with increased royalties paid by us resulting from growth in courseware subscription revenues and additions to personnel. Cost of revenues for HealthStream Provider Solutions increased approximately $1.0 million to $6.6 million and approximated 33% of HealthStream Provider Solutions revenues for both the six months ended June 30, 2018 and 2017. The increase in amount is primarily associated with hosting costs and increases to personnel over the prior year period.</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$622,000, or 5%, to $12.5 million for the six months ended June 30, 2018 from</w:t>
      </w:r>
      <w:r>
        <w:rPr>
          <w:rFonts w:ascii="Arial" w:cs="Arial" w:eastAsia="Arial" w:hAnsi="Arial"/>
          <w:sz w:val="18"/>
          <w:szCs w:val="18"/>
          <w:i w:val="1"/>
          <w:iCs w:val="1"/>
          <w:color w:val="auto"/>
        </w:rPr>
        <w:t xml:space="preserve"> </w:t>
      </w:r>
      <w:r>
        <w:rPr>
          <w:rFonts w:ascii="Arial" w:cs="Arial" w:eastAsia="Arial" w:hAnsi="Arial"/>
          <w:sz w:val="18"/>
          <w:szCs w:val="18"/>
          <w:color w:val="auto"/>
        </w:rPr>
        <w:t>$11.9 million for the six months ended June 30, 2017. Product development expenses as a percentage of revenues were approximately 11% of revenues for both the six months ended June 30, 2018 and 2017.</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Product development expenses for HealthStream Workforce Solutions increased approximately $433,000 to $10.1 million and approximated 11% of revenues for HealthStream Workforce Solutions for both the six months ended June 30, 2018 and 2017. The increase in amount is primarily due to increases to personnel over the prior year period. Product development expenses for HealthStream Provider Solutions increased approximately $189,000 to $2.4 million and approximated 12% and 13% of revenues for HealthStream Provider Solutions for the six months ended June 30, 2018 and 2017, respectively. The increase in amount is primarily due to increases to personnel and related costs over the prior year period.</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approximately $641,000, or 3%, to $18.0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from $18.6 million for the six months ended June 30, 2017. Sales and marketing expenses were approximately 16% and 18% of revenues for the six months ended June 30, 2018 and 2017, respectively.</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and marketing expenses for HealthStream Workforce Solutions decreased approximately $877,000 to $14.5 million and approximated 16% and 17% of revenues for HealthStream Workforce Solutions for the six months ended June 30, 2018 and 2017, respectively. The decrease in amount and as a percentage of revenues is primarily due to lower sales commissions compared to the prior year period as a result of adopting ASC 606 effective January 1, 2018. Sales and marketing expenses for HealthStream Provider Solutions increased approximately $165,000 to $2.8 million and approximated 14% and 16% of revenues for HealthStream Provider Solutions for the six months ended June 30, 2018 and 2017, respectively. The increase in amount is primarily associated with the increases to personnel and related costs over the prior year period. The unallocated portion of sales and marketing expenses increased approximately $71,000 to $658,000 compared to the prior year period primarily due to increases in general marketing spending.</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increased approximately $873,000, or 6%, to $15.8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from $14.9 million for the six months ended June 30, 2017. Other general and administrative expenses as a percentage of revenues were approximately 14% of revenues for both the six months ended June 30, 2018 and 2017.</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Other general and administrative expenses for HealthStream Workforce Solutions increased approximately $442,000 to $4.3 million and approximated 5% and 4% of revenues for HealthStream Workforce Solutions for the six months ended June 30, 2018 and 2017, respectively. The increase is primarily due to increases in technology infrastructure investments and other general expenses. Other general and administrative expenses for HealthStream Provider Solutions decreased approximately $56,000 to $2.5 million and approximated 13% and 15% of revenues for HealthStream Provider Solutions for the six months ended June 30, 2018 and 2017, respectively. The decrease in amount and as a percentage of revenues is primarily associated with lower bad debt expense compared to the prior year period. The unallocated corporate portion of other general and administrative expenses increased approximately $487,000 compared to the first six months of 2017 primarily due to increases to personnel and related costs over the prior year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2" w:name="page23"/>
    <w:bookmarkEnd w:id="22"/>
    <w:p>
      <w:pPr>
        <w:jc w:val="both"/>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$188,000, or 2%, to $12.1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from $11.9 million for the six months ended June 30, 2017. The increase primarily resulted from amortization of capitalized software development.</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was income of approximately $789,000 for the six months ended June 30, 2018 compared to income</w:t>
      </w:r>
      <w:r>
        <w:rPr>
          <w:rFonts w:ascii="Arial" w:cs="Arial" w:eastAsia="Arial" w:hAnsi="Arial"/>
          <w:sz w:val="16"/>
          <w:szCs w:val="16"/>
          <w:i w:val="1"/>
          <w:iCs w:val="1"/>
          <w:color w:val="auto"/>
        </w:rPr>
        <w:t xml:space="preserve"> </w:t>
      </w:r>
      <w:r>
        <w:rPr>
          <w:rFonts w:ascii="Arial" w:cs="Arial" w:eastAsia="Arial" w:hAnsi="Arial"/>
          <w:sz w:val="16"/>
          <w:szCs w:val="16"/>
          <w:color w:val="auto"/>
        </w:rPr>
        <w:t>of $295,000 for the six months ended June 30, 2017. This increase is a result of higher interest income from cash and investments in marketable securities.</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$1.5 million for both the six months ended June 30, 2018 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effective tax rate was approximately 17% for the six months ended June 30, 2018 compared to approximately 28% for the six months ended June 30, 2017. The decrease in the effective tax rate was primarily due to the decrease in the enacted federal corporate income tax rate from 35% to 21% as a result of the Tax Cuts and Jobs Act of 2017 that was signed into law in December 2017, coupled with an increase in excess tax benefits primarily from stock option exercises over the prior year period.</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(Loss) Income on Discontinued Operations. </w:t>
      </w:r>
      <w:r>
        <w:rPr>
          <w:rFonts w:ascii="Arial" w:cs="Arial" w:eastAsia="Arial" w:hAnsi="Arial"/>
          <w:sz w:val="18"/>
          <w:szCs w:val="18"/>
          <w:color w:val="auto"/>
        </w:rPr>
        <w:t>(Loss) income from discontinued operations was income of $19.1 million for the six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loss of $381,000 for the six months ended June 30, 2017. Income from discontinued operations during the six months ended June 30, 2018 was primarily driven by the gain, net of tax, of $19.1 million recognized by the Company in connection with the sale of the PX business, which occurred on February 12, 2018.</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from Continuing Operations. </w:t>
      </w:r>
      <w:r>
        <w:rPr>
          <w:rFonts w:ascii="Arial" w:cs="Arial" w:eastAsia="Arial" w:hAnsi="Arial"/>
          <w:sz w:val="18"/>
          <w:szCs w:val="18"/>
          <w:color w:val="auto"/>
        </w:rPr>
        <w:t>Income from continuing operations was $7.3 million for the six months ended June 30, 2018, up from $3.9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2017. The application of ASC 606 positively impacted income from continuing operations in the six months ended June 30, 2018 in the amount of $1.3 million. In addition, income from continuing operations was also impacted by lower deferred revenue write-downs, which were $63,000 during the six months ended June 30, 2018 compared to $990,000 during the six months ended June 30, 2017. See “Reconciliation of Non-GAAP Financial Measures” below for additional information. EPS from continuing operations was $0.23 and $0.12 per share (diluted) for the six months ended June 30, 2018 and 2017, respectively.</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$22.8 million to $26.4 million for the six months ended June 30, 2018 compared to $3.6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This year over year increase was attributable to the</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$19.1 million gain from the sale of the PX business and $3.4 million improvement in income from continuing operations. Earnings per diluted share were $0.82 per share and $0.11 per share for the six months ended June 30, 2018 and 2017, respectively.</w:t>
      </w:r>
    </w:p>
    <w:p>
      <w:pPr>
        <w:spacing w:after="0" w:line="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from continuing operations increased 17% to $20.9 million for the six months ended June 30, 2018, compared to $17.9 million for the six months ended June 30, 2017. The application of ASC 606 had a positive impact of $1.7 million on Adjusted EBITDA from continuing operations during the six months ended June 30, 2018.</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EBITDA increased approximately $31.9 million to $50.5 million for the six months ended June 30, 2018 compared to $18.5 million for the six months ended June 30, 2017. This increase resulted from the factors mentioned above. See Reconciliation of Non-GAAP Financial Measures below for our reconciliation of this calculation to measures under US GAAP.</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12, 2018, the Company divested its PX business to Press Ganey for $65.5 million in cash (subject to adjustment based on the working capital of the PX business at closing). This sale of the PX business resulted in the divestiture of our patient experience solutions business segment. We recorded a gain on sale, net of tax, of $19.1 million. With the proceeds of this sale, our Board of Directors declared a $1.00 per common share special cash dividend, which was paid on April 3, 2018 to shareholders of record on March 6, 2018.</w:t>
      </w:r>
    </w:p>
    <w:p>
      <w:pPr>
        <w:spacing w:after="0" w:line="79" w:lineRule="exact"/>
        <w:rPr>
          <w:sz w:val="20"/>
          <w:szCs w:val="20"/>
          <w:color w:val="auto"/>
        </w:rPr>
      </w:pPr>
    </w:p>
    <w:p>
      <w:pPr>
        <w:jc w:val="both"/>
        <w:ind w:right="20"/>
        <w:spacing w:after="0" w:line="340" w:lineRule="auto"/>
        <w:rPr>
          <w:sz w:val="20"/>
          <w:szCs w:val="20"/>
          <w:color w:val="auto"/>
        </w:rPr>
      </w:pPr>
      <w:r>
        <w:rPr>
          <w:rFonts w:ascii="Arial" w:cs="Arial" w:eastAsia="Arial" w:hAnsi="Arial"/>
          <w:sz w:val="15"/>
          <w:szCs w:val="15"/>
          <w:color w:val="auto"/>
        </w:rPr>
        <w:t>We have classified the results of our PX segment as discontinued operations in our condensed consolidated statements of income and cash flows for all periods presented. Additionally, the related assets and liabilities associated with the discontinued operations are classified as discontinued in our condensed consolidated balance sheet as of December 31, 2017. See Note 8 to our condensed consolidated financial statements included in this report for additional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previously announced, Laerdal Medical A/S, a Norwegian company (“Laerdal”), provided notice that, upon the December 31, 2018 expiration of our existing agreements with Laerdal regarding the HeartCode and Resuscitation Quality Improvement (“RQI”) products, Laerdal does not intend to continue these existing agreements or enter into new agreements with HealthStream in relation to such products. Our Joint Marketing and Licensing Agreements with Laerdal for HeartCode and for RQI, respectively, remain unaltered and continue in effect through December 31, 2018. Up to that expiration date, we retain the right to offer HeartCode and RQI licenses that extend through December 31, 2020. We retain exclusivity of RQI sales to our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existing customer network through the agreement expiration date of December 31, 2018 and are prohibited from selling substantially similar products to HeartCode and RQI during that time.</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Revenues associated with the sales of HeartCode and RQI products have been significant in recent years, although margins on such products have been lower than HealthStream’s average margin. We continue to be actively engaged in efforts to broaden the scope and utilization of our simulation-related offerings to include a range of clinical competencies that extend beyond resuscitation, and integrate with our platform in ways that HeartCode and RQI never have. We intend to bring to market a broadened scope of simulation-based offerings, including— following the December 31, 2018 expiration date of our agreements with Laerdal—resuscitation programs. We believe these efforts have the potential to give rise to additional and higher margin opportunities than currently exist under the Laerdal agreements for HeartCode and RQI, and will likely feature solutions with a lower price point than our current offerings. However, there is no assurance that we will be successful in these efforts, and to the extent that new simulation-based or other solutions do not generate revenue and/or earnings following the December 31, 2018 expiration date in a manner that supplants the impact of these agreements with Laerdal, our revenue and results of operations following this expiration date may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report contains certain non-GAAP financial measures, including non-GAAP net income, non-GAAP operating income, adjusted EBITDA from continuing operations, and adjusted EBITDA, which are used by management in analyzing our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better assess the Company’s financial results, management believes that adjusted EBITDA is an appropriate measure for evaluating the operating performance of the Company and provides useful information to investors because adjusted EBITDA reflects net income adjusted for certain non-cash and non-operating items. Management also believes that adjusted EBITDA from continuing operations is a useful measure for evaluating the operating performance of the Company because such measure does not include the results of operations of the PX business that we no longer own and thus reflects the Company’s ongoing business operations and assists in comparing the Company’s results of operations between periods. We also believe that adjusted EBITDA and adjusted EBITDA from continuing operations are useful to many investors and securities analysts to assess the Company’s ongoing results from current operations. Adjusted EBITDA and adjusted EBITDA from continuing operations are non-GAAP financial measures and should not be considered as measures of financial performance under US GAAP. Because adjusted EBITDA and adjusted EBITDA from continuing operations are not financial measures determined in accordance with US GAAP, they are susceptible to varying calculations. Accordingly, adjusted EBITDA and adjusted EBITDA from continuing operations, as presented, may not be comparable to other similarly titled measures of other companies, have limitations as analytical tools, and should not be considered in isolation or as substitutes for an analysis of the Company’s results as reported under US GAAP.</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including in connection with the August 2016 acquisition of MAI, the Company has acquired businesses whose net tangible assets include deferred revenue. In accordance with GAAP reporting requirements, following the completion of any such acquisition, the Company may record a write-down of deferred revenue to fair value as defined in GAAP. If the Company is required to record a write-down of deferred revenue, it may result in lower recognized revenue, operating income, and net income in subsequent periods.</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therewith, this report presents below non-GAAP operating income and non-GAAP net income, which in each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As is typical for our business offerings, revenue for the acquired business is deferred and typically recognized over a one-to-two year period following the completion of any particular acquisition, so our GAAP revenues (and, thus, our GAAP operating income and net income) for this one-to-two year period will not reflect the full amount of revenues that would have been reported if the acquired deferred revenue was not written down to fair value.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A reconciliation of Adjusted EBITDA, Adjusted EBITDA from continuing operations, Non-GAAP operating income, and Non-GAAP net income to the most directly comparable GAAP measures is set forth below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GAAP income from continuing operations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7,285</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(510)</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(850)</w:t>
            </w:r>
          </w:p>
        </w:tc>
        <w:tc>
          <w:tcPr>
            <w:tcW w:w="4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Income tax provision</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 expense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w:t>
            </w: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6,001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10,708</w:t>
            </w: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9,238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20,936</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GAAP net income</w:t>
            </w: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2,266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(510)</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(850)</w:t>
            </w:r>
          </w:p>
        </w:tc>
        <w:tc>
          <w:tcPr>
            <w:tcW w:w="4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Income tax provision</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 expense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w:t>
            </w: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6,531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9,206</w:t>
            </w: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9,864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50,452</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GAAP operating income</w:t>
            </w: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2,801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7,994</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Adjustment for deferred revenue write-down</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operating income</w:t>
            </w:r>
          </w:p>
        </w:tc>
        <w:tc>
          <w:tcPr>
            <w:tcW w:w="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3,349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8,070</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GAAP net income</w:t>
            </w: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2,266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Adjustment for deferred revenue write-down, net of tax</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2,677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26,455</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provided by operating activities from continuing operations decreased by $5.0 million to $16.2 million during the six months ended June 30, 2018 from $21.2 million during the six months ended June 30, 2017. The decrease compared to the prior year period primarily resulted from changes in receivables, prepaid expenses and other current assets, and current liabilities. The number of days sales outstanding (“DSO”) was 54 days for the second quarter of 2018 compared to 58 days for the second quarter of 2017. The decrease in DSO primarily relates to improved collections in the Provider Solutions segment as compared to the prior year period.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provided by investing activities from continuing operations was approximately $52.9 million for the six months ended June 30, 2018 compared to net cash used in investing activities from continuing operations of $16.5 million for the six months ended June 30, 2017. During the six months ended June 30, 2018, the Company divested its PX business segment, receiving net proceeds from the sale of $57.8 million (not including the $6.55 million portion of the purchase price being held in escrow for a period of time following the closing as a source of recovery for indemnification claims) and had maturities of marketable securities of $44.7 million. These sources of cash were partially offset by purchases of $3.3 million of property and equipment, $5.1 million for capitalized software development, and $41.3 million for investments in marketable securities. During the six months ended June 30, 2017, the Company’s uses of cash included $48.9 million for investments in marketable securities, $3.7 million for purchases of property and equipment, and $5.0 million for capitalized software development. These uses of cash were partially offset by maturities of marketable securities of $41.0 million.</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from continuing operations was approximately $30.1 million for the six months ended June 30, 2018 compared to $162,000 for the six months ended June 30, 2017. For the six months ended June 30, 2018, the Company made cash dividend payments of $32.4 million and made an earn-out payment of $37,000 in connection with a prior business combination. The uses of cash for both the six months ended June 30, 2018 and 2017 included the payment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7"/>
          <w:szCs w:val="17"/>
          <w:color w:val="auto"/>
        </w:rPr>
        <w:t>employee payroll taxes in relation to the vesting of restricted stock units (“RSU”). In this regard, the Company net-share settled the employee RSUs by withholding shares with value equivalent to the employee’s minimum statutory obligation for the applicable income and other employment taxes. The source of cash from financing activities for both the six months ended June 30, 2018 and 2017 was from the exercise of stock options.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balance sheet reflects positive working capital of $128.4 million at June 30, 2018 compared to $98.7 million at December 31, 2017. The increase in working capital is primarily a result of the proceeds from the PX business divestiture, offset by the payment of cash dividends. The Company’s primary source of liquidity as of June 30, 2018 was $122.6 million of cash and cash equivalents and $43.0 million of marketable securities. The Company also has a $50.0 million revolving credit facility, all of which was available for additional borrowing at June 30, 2018. The revolving credit facility expires on November 24, 2018, unless earlier renewed or amended.</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June 30, 2018,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exposed to market risk from changes in interest rates. We do not have any foreign currency exchange rate risk or commodity price risk. As of June 30, 2018 and during the six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$165.5 million at June 30, 2018. Assuming a hypothetical 10% decrease in interest rates for invested balances, interest income from cash and investments would decrease on an annualized basis by approximately $409,000.</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38" w:lineRule="exact"/>
        <w:rPr>
          <w:sz w:val="20"/>
          <w:szCs w:val="20"/>
          <w:color w:val="auto"/>
        </w:rPr>
      </w:pPr>
    </w:p>
    <w:p>
      <w:pPr>
        <w:jc w:val="both"/>
        <w:ind w:right="20"/>
        <w:spacing w:after="0" w:line="224" w:lineRule="exact"/>
        <w:rPr>
          <w:sz w:val="20"/>
          <w:szCs w:val="20"/>
          <w:color w:val="auto"/>
        </w:rPr>
      </w:pPr>
      <w:r>
        <w:rPr>
          <w:rFonts w:ascii="Arial" w:cs="Arial" w:eastAsia="Arial" w:hAnsi="Arial"/>
          <w:sz w:val="16"/>
          <w:szCs w:val="16"/>
          <w:color w:val="auto"/>
        </w:rPr>
        <w:t>The above market risk discussion and the estimated amounts presented are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of market risk assuming the occurrence of certain adverse market conditions. Actual results in the future may differ materially from those projected as a result of actual developments in the market.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second quarter of 2018 that has materially affected, or that is reasonably likely to materially affect, HealthStream’s internal control over financial reporting.</w:t>
      </w:r>
    </w:p>
    <w:p>
      <w:pPr>
        <w:spacing w:after="0" w:line="39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PART II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800" w:hanging="400"/>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tcBorders>
              <w:bottom w:val="single" w:sz="8" w:color="0000EE"/>
            </w:tcBorders>
            <w:gridSpan w:val="7"/>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Restricted Share Unit Agreement, dated May 15, 2018, by and between HealthStream, Inc. and J. Edward Pearson (incorporated by reference</w:t>
              </w:r>
            </w:hyperlink>
          </w:p>
        </w:tc>
      </w:tr>
      <w:tr>
        <w:trPr>
          <w:trHeight w:val="196"/>
        </w:trPr>
        <w:tc>
          <w:tcPr>
            <w:tcW w:w="1160" w:type="dxa"/>
            <w:vAlign w:val="bottom"/>
          </w:tcPr>
          <w:p>
            <w:pPr>
              <w:spacing w:after="0"/>
              <w:rPr>
                <w:sz w:val="17"/>
                <w:szCs w:val="17"/>
                <w:color w:val="auto"/>
              </w:rPr>
            </w:pPr>
          </w:p>
        </w:tc>
        <w:tc>
          <w:tcPr>
            <w:tcW w:w="10260" w:type="dxa"/>
            <w:vAlign w:val="bottom"/>
            <w:gridSpan w:val="7"/>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from Exhibit 10.1 filed with HealthStream, Inc.’s Current Report on Form 8-K filed with the SEC on May 16, 2018)</w:t>
              </w:r>
            </w:hyperlink>
          </w:p>
        </w:tc>
      </w:tr>
      <w:tr>
        <w:trPr>
          <w:trHeight w:val="20"/>
        </w:trPr>
        <w:tc>
          <w:tcPr>
            <w:tcW w:w="1160" w:type="dxa"/>
            <w:vAlign w:val="bottom"/>
          </w:tcPr>
          <w:p>
            <w:pPr>
              <w:spacing w:after="0" w:line="20" w:lineRule="exact"/>
              <w:rPr>
                <w:sz w:val="1"/>
                <w:szCs w:val="1"/>
                <w:color w:val="auto"/>
              </w:rPr>
            </w:pPr>
          </w:p>
        </w:tc>
        <w:tc>
          <w:tcPr>
            <w:tcW w:w="6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260" w:type="dxa"/>
            <w:vAlign w:val="bottom"/>
            <w:tcBorders>
              <w:bottom w:val="single" w:sz="8" w:color="0000EE"/>
            </w:tcBorders>
            <w:gridSpan w:val="7"/>
          </w:tcPr>
          <w:p>
            <w:pPr>
              <w:spacing w:after="0"/>
              <w:rPr>
                <w:rFonts w:ascii="Arial" w:cs="Arial" w:eastAsia="Arial" w:hAnsi="Arial"/>
                <w:sz w:val="18"/>
                <w:szCs w:val="18"/>
                <w:color w:val="0000EE"/>
                <w:w w:val="89"/>
              </w:rPr>
            </w:pPr>
            <w:hyperlink r:id="rId52">
              <w:r>
                <w:rPr>
                  <w:rFonts w:ascii="Arial" w:cs="Arial" w:eastAsia="Arial" w:hAnsi="Arial"/>
                  <w:sz w:val="18"/>
                  <w:szCs w:val="18"/>
                  <w:color w:val="0000EE"/>
                  <w:w w:val="89"/>
                </w:rPr>
                <w:t>Restricted Share Unit Agreement, dated May 15, 2018, by and between HealthStream, Inc. and Michael Sousa (incorporated by reference from</w:t>
              </w:r>
            </w:hyperlink>
          </w:p>
        </w:tc>
      </w:tr>
      <w:tr>
        <w:trPr>
          <w:trHeight w:val="196"/>
        </w:trPr>
        <w:tc>
          <w:tcPr>
            <w:tcW w:w="1160" w:type="dxa"/>
            <w:vAlign w:val="bottom"/>
          </w:tcPr>
          <w:p>
            <w:pPr>
              <w:spacing w:after="0"/>
              <w:rPr>
                <w:sz w:val="17"/>
                <w:szCs w:val="17"/>
                <w:color w:val="auto"/>
              </w:rPr>
            </w:pPr>
          </w:p>
        </w:tc>
        <w:tc>
          <w:tcPr>
            <w:tcW w:w="10260" w:type="dxa"/>
            <w:vAlign w:val="bottom"/>
            <w:gridSpan w:val="7"/>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Exhibit 10.2 filed with HealthStream, Inc.’s Current Report on Form 8-K filed with the SEC on May 16, 2018)</w:t>
              </w:r>
            </w:hyperlink>
          </w:p>
        </w:tc>
      </w:tr>
      <w:tr>
        <w:trPr>
          <w:trHeight w:val="304"/>
        </w:trPr>
        <w:tc>
          <w:tcPr>
            <w:tcW w:w="1160" w:type="dxa"/>
            <w:vAlign w:val="bottom"/>
          </w:tcPr>
          <w:p>
            <w:pPr>
              <w:spacing w:after="0"/>
              <w:rPr>
                <w:sz w:val="20"/>
                <w:szCs w:val="20"/>
                <w:color w:val="auto"/>
              </w:rPr>
            </w:pPr>
            <w:r>
              <w:rPr>
                <w:rFonts w:ascii="Arial" w:cs="Arial" w:eastAsia="Arial" w:hAnsi="Arial"/>
                <w:sz w:val="16"/>
                <w:szCs w:val="16"/>
                <w:color w:val="auto"/>
              </w:rPr>
              <w:t>31.1</w:t>
            </w:r>
          </w:p>
        </w:tc>
        <w:tc>
          <w:tcPr>
            <w:tcW w:w="6720" w:type="dxa"/>
            <w:vAlign w:val="bottom"/>
            <w:tcBorders>
              <w:top w:val="single" w:sz="8" w:color="0000EE"/>
              <w:bottom w:val="single" w:sz="8" w:color="0000EE"/>
            </w:tcBorders>
          </w:tcPr>
          <w:p>
            <w:pPr>
              <w:spacing w:after="0"/>
              <w:rPr>
                <w:rFonts w:ascii="Arial" w:cs="Arial" w:eastAsia="Arial" w:hAnsi="Arial"/>
                <w:sz w:val="16"/>
                <w:szCs w:val="16"/>
                <w:color w:val="0000EE"/>
                <w:w w:val="93"/>
              </w:rPr>
            </w:pPr>
            <w:hyperlink w:anchor="page29">
              <w:r>
                <w:rPr>
                  <w:rFonts w:ascii="Arial" w:cs="Arial" w:eastAsia="Arial" w:hAnsi="Arial"/>
                  <w:sz w:val="16"/>
                  <w:szCs w:val="16"/>
                  <w:color w:val="0000EE"/>
                  <w:w w:val="93"/>
                </w:rPr>
                <w:t>Certification of the Chief Executive Officer Pursuant to Section 302 of the Sarbanes-Oxley Act of 2002</w:t>
              </w:r>
            </w:hyperlink>
          </w:p>
        </w:tc>
        <w:tc>
          <w:tcPr>
            <w:tcW w:w="1060" w:type="dxa"/>
            <w:vAlign w:val="bottom"/>
            <w:tcBorders>
              <w:top w:val="single" w:sz="8" w:color="0000EE"/>
            </w:tcBorders>
            <w:gridSpan w:val="2"/>
          </w:tcPr>
          <w:p>
            <w:pPr>
              <w:spacing w:after="0"/>
              <w:rPr>
                <w:sz w:val="24"/>
                <w:szCs w:val="24"/>
                <w:color w:val="auto"/>
              </w:rPr>
            </w:pPr>
          </w:p>
        </w:tc>
        <w:tc>
          <w:tcPr>
            <w:tcW w:w="2480" w:type="dxa"/>
            <w:vAlign w:val="bottom"/>
            <w:gridSpan w:val="4"/>
          </w:tcPr>
          <w:p>
            <w:pPr>
              <w:spacing w:after="0"/>
              <w:rPr>
                <w:sz w:val="24"/>
                <w:szCs w:val="24"/>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6"/>
                <w:szCs w:val="16"/>
                <w:color w:val="auto"/>
              </w:rPr>
              <w:t>31.2</w:t>
            </w:r>
          </w:p>
        </w:tc>
        <w:tc>
          <w:tcPr>
            <w:tcW w:w="6900" w:type="dxa"/>
            <w:vAlign w:val="bottom"/>
            <w:tcBorders>
              <w:bottom w:val="single" w:sz="8" w:color="0000EE"/>
            </w:tcBorders>
            <w:gridSpan w:val="2"/>
          </w:tcPr>
          <w:p>
            <w:pPr>
              <w:spacing w:after="0"/>
              <w:rPr>
                <w:rFonts w:ascii="Arial" w:cs="Arial" w:eastAsia="Arial" w:hAnsi="Arial"/>
                <w:sz w:val="16"/>
                <w:szCs w:val="16"/>
                <w:color w:val="0000EE"/>
                <w:w w:val="93"/>
              </w:rPr>
            </w:pPr>
            <w:hyperlink w:anchor="page30">
              <w:r>
                <w:rPr>
                  <w:rFonts w:ascii="Arial" w:cs="Arial" w:eastAsia="Arial" w:hAnsi="Arial"/>
                  <w:sz w:val="16"/>
                  <w:szCs w:val="16"/>
                  <w:color w:val="0000EE"/>
                  <w:w w:val="93"/>
                </w:rPr>
                <w:t>Certification of the Principal Financial Officer Pursuant to Section 302 of the Sarbanes-Oxley Act of 2002</w:t>
              </w:r>
            </w:hyperlink>
          </w:p>
        </w:tc>
        <w:tc>
          <w:tcPr>
            <w:tcW w:w="3360" w:type="dxa"/>
            <w:vAlign w:val="bottom"/>
            <w:gridSpan w:val="5"/>
          </w:tcPr>
          <w:p>
            <w:pPr>
              <w:spacing w:after="0"/>
              <w:rPr>
                <w:sz w:val="24"/>
                <w:szCs w:val="24"/>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6"/>
                <w:szCs w:val="16"/>
                <w:color w:val="auto"/>
              </w:rPr>
              <w:t>32.1</w:t>
            </w:r>
          </w:p>
        </w:tc>
        <w:tc>
          <w:tcPr>
            <w:tcW w:w="7880" w:type="dxa"/>
            <w:vAlign w:val="bottom"/>
            <w:tcBorders>
              <w:bottom w:val="single" w:sz="8" w:color="0000EE"/>
            </w:tcBorders>
            <w:gridSpan w:val="5"/>
          </w:tcPr>
          <w:p>
            <w:pPr>
              <w:spacing w:after="0"/>
              <w:rPr>
                <w:rFonts w:ascii="Arial" w:cs="Arial" w:eastAsia="Arial" w:hAnsi="Arial"/>
                <w:sz w:val="16"/>
                <w:szCs w:val="16"/>
                <w:color w:val="0000EE"/>
                <w:w w:val="91"/>
              </w:rPr>
            </w:pPr>
            <w:hyperlink w:anchor="page31">
              <w:r>
                <w:rPr>
                  <w:rFonts w:ascii="Arial" w:cs="Arial" w:eastAsia="Arial" w:hAnsi="Arial"/>
                  <w:sz w:val="16"/>
                  <w:szCs w:val="16"/>
                  <w:color w:val="0000EE"/>
                  <w:w w:val="91"/>
                </w:rPr>
                <w:t>Certification Pursuant to 18 U.S.C. Section 1350, as Adopted Pursuant to Section 906 of the Sarbanes-Oxley Act of 2002</w:t>
              </w:r>
            </w:hyperlink>
          </w:p>
        </w:tc>
        <w:tc>
          <w:tcPr>
            <w:tcW w:w="2380" w:type="dxa"/>
            <w:vAlign w:val="bottom"/>
            <w:gridSpan w:val="2"/>
          </w:tcPr>
          <w:p>
            <w:pPr>
              <w:spacing w:after="0"/>
              <w:rPr>
                <w:sz w:val="24"/>
                <w:szCs w:val="24"/>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6"/>
                <w:szCs w:val="16"/>
                <w:color w:val="auto"/>
              </w:rPr>
              <w:t>32.2</w:t>
            </w:r>
          </w:p>
        </w:tc>
        <w:tc>
          <w:tcPr>
            <w:tcW w:w="10260" w:type="dxa"/>
            <w:vAlign w:val="bottom"/>
            <w:gridSpan w:val="7"/>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Certification Pursuant to 18 U.S.C. Section 1350, as Adopted Pursuant to Section 906 of the Sarbanes-Oxley Act of 2002</w:t>
              </w:r>
            </w:hyperlink>
          </w:p>
        </w:tc>
      </w:tr>
      <w:tr>
        <w:trPr>
          <w:trHeight w:val="352"/>
        </w:trPr>
        <w:tc>
          <w:tcPr>
            <w:tcW w:w="1160" w:type="dxa"/>
            <w:vAlign w:val="bottom"/>
          </w:tcPr>
          <w:p>
            <w:pPr>
              <w:spacing w:after="0"/>
              <w:rPr>
                <w:sz w:val="20"/>
                <w:szCs w:val="20"/>
                <w:color w:val="auto"/>
              </w:rPr>
            </w:pPr>
            <w:r>
              <w:rPr>
                <w:rFonts w:ascii="Arial" w:cs="Arial" w:eastAsia="Arial" w:hAnsi="Arial"/>
                <w:sz w:val="16"/>
                <w:szCs w:val="16"/>
                <w:color w:val="auto"/>
              </w:rPr>
              <w:t>101.1 INS</w:t>
            </w:r>
          </w:p>
        </w:tc>
        <w:tc>
          <w:tcPr>
            <w:tcW w:w="786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auto"/>
              </w:rPr>
              <w:t>XBRL Instance Document</w:t>
            </w:r>
          </w:p>
        </w:tc>
        <w:tc>
          <w:tcPr>
            <w:tcW w:w="2400" w:type="dxa"/>
            <w:vAlign w:val="bottom"/>
            <w:gridSpan w:val="3"/>
          </w:tcPr>
          <w:p>
            <w:pPr>
              <w:spacing w:after="0"/>
              <w:rPr>
                <w:sz w:val="24"/>
                <w:szCs w:val="24"/>
                <w:color w:val="auto"/>
              </w:rPr>
            </w:pPr>
          </w:p>
        </w:tc>
      </w:tr>
      <w:tr>
        <w:trPr>
          <w:trHeight w:val="338"/>
        </w:trPr>
        <w:tc>
          <w:tcPr>
            <w:tcW w:w="1160" w:type="dxa"/>
            <w:vAlign w:val="bottom"/>
          </w:tcPr>
          <w:p>
            <w:pPr>
              <w:spacing w:after="0"/>
              <w:rPr>
                <w:sz w:val="20"/>
                <w:szCs w:val="20"/>
                <w:color w:val="auto"/>
              </w:rPr>
            </w:pPr>
            <w:r>
              <w:rPr>
                <w:rFonts w:ascii="Arial" w:cs="Arial" w:eastAsia="Arial" w:hAnsi="Arial"/>
                <w:sz w:val="16"/>
                <w:szCs w:val="16"/>
                <w:color w:val="auto"/>
              </w:rPr>
              <w:t>101.1 SCH</w:t>
            </w:r>
          </w:p>
        </w:tc>
        <w:tc>
          <w:tcPr>
            <w:tcW w:w="10260" w:type="dxa"/>
            <w:vAlign w:val="bottom"/>
            <w:gridSpan w:val="7"/>
          </w:tcPr>
          <w:p>
            <w:pPr>
              <w:spacing w:after="0"/>
              <w:rPr>
                <w:sz w:val="20"/>
                <w:szCs w:val="20"/>
                <w:color w:val="auto"/>
              </w:rPr>
            </w:pPr>
            <w:r>
              <w:rPr>
                <w:rFonts w:ascii="Arial" w:cs="Arial" w:eastAsia="Arial" w:hAnsi="Arial"/>
                <w:sz w:val="16"/>
                <w:szCs w:val="16"/>
                <w:color w:val="auto"/>
              </w:rPr>
              <w:t>XBRL Taxonomy Extension Schema</w:t>
            </w:r>
          </w:p>
        </w:tc>
      </w:tr>
      <w:tr>
        <w:trPr>
          <w:trHeight w:val="338"/>
        </w:trPr>
        <w:tc>
          <w:tcPr>
            <w:tcW w:w="1160" w:type="dxa"/>
            <w:vAlign w:val="bottom"/>
          </w:tcPr>
          <w:p>
            <w:pPr>
              <w:spacing w:after="0"/>
              <w:rPr>
                <w:sz w:val="20"/>
                <w:szCs w:val="20"/>
                <w:color w:val="auto"/>
              </w:rPr>
            </w:pPr>
            <w:r>
              <w:rPr>
                <w:rFonts w:ascii="Arial" w:cs="Arial" w:eastAsia="Arial" w:hAnsi="Arial"/>
                <w:sz w:val="16"/>
                <w:szCs w:val="16"/>
                <w:color w:val="auto"/>
              </w:rPr>
              <w:t>101.1 CAL</w:t>
            </w:r>
          </w:p>
        </w:tc>
        <w:tc>
          <w:tcPr>
            <w:tcW w:w="10260" w:type="dxa"/>
            <w:vAlign w:val="bottom"/>
            <w:gridSpan w:val="7"/>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38"/>
        </w:trPr>
        <w:tc>
          <w:tcPr>
            <w:tcW w:w="1160" w:type="dxa"/>
            <w:vAlign w:val="bottom"/>
          </w:tcPr>
          <w:p>
            <w:pPr>
              <w:spacing w:after="0"/>
              <w:rPr>
                <w:sz w:val="20"/>
                <w:szCs w:val="20"/>
                <w:color w:val="auto"/>
              </w:rPr>
            </w:pPr>
            <w:r>
              <w:rPr>
                <w:rFonts w:ascii="Arial" w:cs="Arial" w:eastAsia="Arial" w:hAnsi="Arial"/>
                <w:sz w:val="16"/>
                <w:szCs w:val="16"/>
                <w:color w:val="auto"/>
              </w:rPr>
              <w:t>101.1 DEF</w:t>
            </w:r>
          </w:p>
        </w:tc>
        <w:tc>
          <w:tcPr>
            <w:tcW w:w="10260" w:type="dxa"/>
            <w:vAlign w:val="bottom"/>
            <w:gridSpan w:val="7"/>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338"/>
        </w:trPr>
        <w:tc>
          <w:tcPr>
            <w:tcW w:w="1160" w:type="dxa"/>
            <w:vAlign w:val="bottom"/>
          </w:tcPr>
          <w:p>
            <w:pPr>
              <w:spacing w:after="0"/>
              <w:rPr>
                <w:sz w:val="20"/>
                <w:szCs w:val="20"/>
                <w:color w:val="auto"/>
              </w:rPr>
            </w:pPr>
            <w:r>
              <w:rPr>
                <w:rFonts w:ascii="Arial" w:cs="Arial" w:eastAsia="Arial" w:hAnsi="Arial"/>
                <w:sz w:val="16"/>
                <w:szCs w:val="16"/>
                <w:color w:val="auto"/>
              </w:rPr>
              <w:t>101.1 LAB</w:t>
            </w:r>
          </w:p>
        </w:tc>
        <w:tc>
          <w:tcPr>
            <w:tcW w:w="10260" w:type="dxa"/>
            <w:vAlign w:val="bottom"/>
            <w:gridSpan w:val="7"/>
          </w:tcPr>
          <w:p>
            <w:pPr>
              <w:spacing w:after="0"/>
              <w:rPr>
                <w:sz w:val="20"/>
                <w:szCs w:val="20"/>
                <w:color w:val="auto"/>
              </w:rPr>
            </w:pPr>
            <w:r>
              <w:rPr>
                <w:rFonts w:ascii="Arial" w:cs="Arial" w:eastAsia="Arial" w:hAnsi="Arial"/>
                <w:sz w:val="16"/>
                <w:szCs w:val="16"/>
                <w:color w:val="auto"/>
              </w:rPr>
              <w:t>XBRL Taxonomy Extension Label Linkbase</w:t>
            </w:r>
          </w:p>
        </w:tc>
      </w:tr>
      <w:tr>
        <w:trPr>
          <w:trHeight w:val="357"/>
        </w:trPr>
        <w:tc>
          <w:tcPr>
            <w:tcW w:w="1160" w:type="dxa"/>
            <w:vAlign w:val="bottom"/>
          </w:tcPr>
          <w:p>
            <w:pPr>
              <w:spacing w:after="0"/>
              <w:rPr>
                <w:sz w:val="20"/>
                <w:szCs w:val="20"/>
                <w:color w:val="auto"/>
              </w:rPr>
            </w:pPr>
            <w:r>
              <w:rPr>
                <w:rFonts w:ascii="Arial" w:cs="Arial" w:eastAsia="Arial" w:hAnsi="Arial"/>
                <w:sz w:val="18"/>
                <w:szCs w:val="18"/>
                <w:color w:val="auto"/>
              </w:rPr>
              <w:t>101.1 PRE</w:t>
            </w:r>
          </w:p>
        </w:tc>
        <w:tc>
          <w:tcPr>
            <w:tcW w:w="10260" w:type="dxa"/>
            <w:vAlign w:val="bottom"/>
            <w:gridSpan w:val="7"/>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 Management contract or compensatory plan or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780" w:type="dxa"/>
            <w:vAlign w:val="bottom"/>
            <w:gridSpan w:val="2"/>
          </w:tcPr>
          <w:p>
            <w:pPr>
              <w:ind w:left="2540"/>
              <w:spacing w:after="0"/>
              <w:rPr>
                <w:sz w:val="20"/>
                <w:szCs w:val="20"/>
                <w:color w:val="auto"/>
              </w:rPr>
            </w:pPr>
            <w:r>
              <w:rPr>
                <w:rFonts w:ascii="Arial" w:cs="Arial" w:eastAsia="Arial" w:hAnsi="Arial"/>
                <w:sz w:val="18"/>
                <w:szCs w:val="18"/>
                <w:color w:val="auto"/>
              </w:rPr>
              <w:t>HEALTHSTREAM, INC.</w:t>
            </w:r>
          </w:p>
        </w:tc>
      </w:tr>
      <w:tr>
        <w:trPr>
          <w:trHeight w:val="459"/>
        </w:trPr>
        <w:tc>
          <w:tcPr>
            <w:tcW w:w="3640" w:type="dxa"/>
            <w:vAlign w:val="bottom"/>
          </w:tcPr>
          <w:p>
            <w:pPr>
              <w:spacing w:after="0"/>
              <w:rPr>
                <w:sz w:val="20"/>
                <w:szCs w:val="20"/>
                <w:color w:val="auto"/>
              </w:rPr>
            </w:pPr>
            <w:r>
              <w:rPr>
                <w:rFonts w:ascii="Arial" w:cs="Arial" w:eastAsia="Arial" w:hAnsi="Arial"/>
                <w:sz w:val="18"/>
                <w:szCs w:val="18"/>
                <w:color w:val="auto"/>
              </w:rPr>
              <w:t>August 7, 2018</w:t>
            </w:r>
          </w:p>
        </w:tc>
        <w:tc>
          <w:tcPr>
            <w:tcW w:w="7780" w:type="dxa"/>
            <w:vAlign w:val="bottom"/>
            <w:gridSpan w:val="2"/>
          </w:tcPr>
          <w:p>
            <w:pPr>
              <w:ind w:left="2540"/>
              <w:spacing w:after="0"/>
              <w:rPr>
                <w:sz w:val="20"/>
                <w:szCs w:val="20"/>
                <w:color w:val="auto"/>
              </w:rPr>
            </w:pPr>
            <w:r>
              <w:rPr>
                <w:rFonts w:ascii="Arial" w:cs="Arial" w:eastAsia="Arial" w:hAnsi="Arial"/>
                <w:sz w:val="18"/>
                <w:szCs w:val="18"/>
                <w:color w:val="auto"/>
              </w:rPr>
              <w:t>By:  /s/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36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36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5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right="20" w:hanging="3"/>
        <w:spacing w:after="0" w:line="264" w:lineRule="auto"/>
        <w:tabs>
          <w:tab w:leader="none" w:pos="78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80" w:hanging="3"/>
        <w:spacing w:after="0" w:line="264" w:lineRule="auto"/>
        <w:tabs>
          <w:tab w:leader="none" w:pos="81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20" w:hanging="3"/>
        <w:spacing w:after="0" w:line="308" w:lineRule="auto"/>
        <w:tabs>
          <w:tab w:leader="none" w:pos="815"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80" w:hanging="3"/>
        <w:spacing w:after="0" w:line="264" w:lineRule="auto"/>
        <w:tabs>
          <w:tab w:leader="none" w:pos="79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80" w:hanging="3"/>
        <w:spacing w:after="0" w:line="277" w:lineRule="auto"/>
        <w:tabs>
          <w:tab w:leader="none" w:pos="782"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hanging="3"/>
        <w:spacing w:after="0" w:line="277" w:lineRule="auto"/>
        <w:tabs>
          <w:tab w:leader="none" w:pos="78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Date: August 7,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215"/>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Robert A. Frist, Jr.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35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right="20" w:hanging="3"/>
        <w:spacing w:after="0" w:line="264" w:lineRule="auto"/>
        <w:tabs>
          <w:tab w:leader="none" w:pos="78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80" w:hanging="3"/>
        <w:spacing w:after="0" w:line="264" w:lineRule="auto"/>
        <w:tabs>
          <w:tab w:leader="none" w:pos="81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20" w:hanging="3"/>
        <w:spacing w:after="0" w:line="308" w:lineRule="auto"/>
        <w:tabs>
          <w:tab w:leader="none" w:pos="815"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80" w:hanging="3"/>
        <w:spacing w:after="0" w:line="264" w:lineRule="auto"/>
        <w:tabs>
          <w:tab w:leader="none" w:pos="79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80" w:hanging="3"/>
        <w:spacing w:after="0" w:line="277" w:lineRule="auto"/>
        <w:tabs>
          <w:tab w:leader="none" w:pos="782"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hanging="3"/>
        <w:spacing w:after="0" w:line="277" w:lineRule="auto"/>
        <w:tabs>
          <w:tab w:leader="none" w:pos="789"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Date: August 7,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215"/>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Gerard M. Hayden, Jr.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5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2018,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81" w:lineRule="exact"/>
        <w:rPr>
          <w:sz w:val="20"/>
          <w:szCs w:val="20"/>
          <w:color w:val="auto"/>
        </w:rPr>
      </w:pPr>
    </w:p>
    <w:p>
      <w:pPr>
        <w:ind w:left="1740" w:hanging="868"/>
        <w:spacing w:after="0"/>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740" w:right="20" w:hanging="868"/>
        <w:spacing w:after="0" w:line="277" w:lineRule="auto"/>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298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7, 2018</w:t>
      </w:r>
    </w:p>
    <w:p>
      <w:pPr>
        <w:sectPr>
          <w:pgSz w:w="11900" w:h="16838" w:orient="portrait"/>
          <w:cols w:equalWidth="0" w:num="1">
            <w:col w:w="11420"/>
          </w:cols>
          <w:pgMar w:left="240" w:top="35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2018,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181" w:lineRule="exact"/>
        <w:rPr>
          <w:sz w:val="20"/>
          <w:szCs w:val="20"/>
          <w:color w:val="auto"/>
        </w:rPr>
      </w:pPr>
    </w:p>
    <w:p>
      <w:pPr>
        <w:ind w:left="1740" w:hanging="868"/>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740" w:right="20" w:hanging="868"/>
        <w:spacing w:after="0" w:line="277" w:lineRule="auto"/>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29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7, 2018</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Roman"/>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1" Type="http://schemas.openxmlformats.org/officeDocument/2006/relationships/hyperlink" Target="http://www.sec.gov/Archives/edgar/data/0001095565/000119312518164769/d569040dex101.htm" TargetMode="External"/><Relationship Id="rId52" Type="http://schemas.openxmlformats.org/officeDocument/2006/relationships/hyperlink" Target="http://www.sec.gov/Archives/edgar/data/0001095565/000119312518164769/d56904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2019-12-28T20:47:03Z</dcterms:created>
  <dcterms:modified xsi:type="dcterms:W3CDTF">2019-12-28T20:47:03Z</dcterms:modified>
</cp:coreProperties>
</file>