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8"/>
              </w:rPr>
              <w:t>209 10th Avenue South, Suite 450</w:t>
            </w:r>
          </w:p>
        </w:tc>
        <w:tc>
          <w:tcPr>
            <w:tcW w:w="1500" w:type="dxa"/>
            <w:vAlign w:val="bottom"/>
          </w:tcPr>
          <w:p>
            <w:pPr>
              <w:spacing w:after="0"/>
              <w:rPr>
                <w:sz w:val="24"/>
                <w:szCs w:val="24"/>
                <w:color w:val="auto"/>
              </w:rPr>
            </w:pPr>
          </w:p>
        </w:tc>
      </w:tr>
      <w:tr>
        <w:trPr>
          <w:trHeight w:val="227"/>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190"/>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(615) 301-3100</w:t>
            </w:r>
          </w:p>
        </w:tc>
        <w:tc>
          <w:tcPr>
            <w:tcW w:w="1500" w:type="dxa"/>
            <w:vAlign w:val="bottom"/>
          </w:tcPr>
          <w:p>
            <w:pPr>
              <w:spacing w:after="0"/>
              <w:rPr>
                <w:sz w:val="24"/>
                <w:szCs w:val="24"/>
                <w:color w:val="auto"/>
              </w:rPr>
            </w:pPr>
          </w:p>
        </w:tc>
      </w:tr>
      <w:tr>
        <w:trPr>
          <w:trHeight w:val="190"/>
        </w:trPr>
        <w:tc>
          <w:tcPr>
            <w:tcW w:w="610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April 27, 2015, there were 27,784,427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r>
      <w:tr>
        <w:trPr>
          <w:trHeight w:val="2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94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Information</w:t>
              </w:r>
            </w:hyperlink>
          </w:p>
        </w:tc>
        <w:tc>
          <w:tcPr>
            <w:tcW w:w="500" w:type="dxa"/>
            <w:vAlign w:val="bottom"/>
          </w:tcPr>
          <w:p>
            <w:pPr>
              <w:spacing w:after="0"/>
              <w:rPr>
                <w:sz w:val="22"/>
                <w:szCs w:val="22"/>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60" w:type="dxa"/>
            <w:vAlign w:val="bottom"/>
            <w:tcBorders>
              <w:top w:val="single" w:sz="8" w:color="0000EE"/>
            </w:tcBorders>
          </w:tcPr>
          <w:p>
            <w:pPr>
              <w:spacing w:after="0"/>
              <w:rPr>
                <w:sz w:val="24"/>
                <w:szCs w:val="24"/>
                <w:color w:val="auto"/>
              </w:rPr>
            </w:pPr>
          </w:p>
        </w:tc>
        <w:tc>
          <w:tcPr>
            <w:tcW w:w="836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880" w:type="dxa"/>
            <w:vAlign w:val="bottom"/>
          </w:tcPr>
          <w:p>
            <w:pPr>
              <w:spacing w:after="0"/>
              <w:rPr>
                <w:sz w:val="24"/>
                <w:szCs w:val="24"/>
                <w:color w:val="auto"/>
              </w:rPr>
            </w:pPr>
          </w:p>
        </w:tc>
        <w:tc>
          <w:tcPr>
            <w:tcW w:w="994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March 31, 2015 (Unaudited) and December 31, 2014</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94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(Unaudited) - Three Months ended March 31, 2015 and 2014</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94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(Unaudited) - Three Months ended March 31, 2015 and 2014</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880" w:type="dxa"/>
            <w:vAlign w:val="bottom"/>
          </w:tcPr>
          <w:p>
            <w:pPr>
              <w:spacing w:after="0"/>
              <w:rPr>
                <w:sz w:val="24"/>
                <w:szCs w:val="24"/>
                <w:color w:val="auto"/>
              </w:rPr>
            </w:pPr>
          </w:p>
        </w:tc>
        <w:tc>
          <w:tcPr>
            <w:tcW w:w="80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 of Shareholders’ Equity (Unaudited) - Three Months ended March 31, 2015</w:t>
              </w:r>
            </w:hyperlink>
          </w:p>
        </w:tc>
        <w:tc>
          <w:tcPr>
            <w:tcW w:w="960" w:type="dxa"/>
            <w:vAlign w:val="bottom"/>
            <w:tcBorders>
              <w:top w:val="single" w:sz="8" w:color="0000EE"/>
            </w:tcBorders>
            <w:gridSpan w:val="2"/>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880" w:type="dxa"/>
            <w:vAlign w:val="bottom"/>
          </w:tcPr>
          <w:p>
            <w:pPr>
              <w:spacing w:after="0"/>
              <w:rPr>
                <w:sz w:val="24"/>
                <w:szCs w:val="24"/>
                <w:color w:val="auto"/>
              </w:rPr>
            </w:pPr>
          </w:p>
        </w:tc>
        <w:tc>
          <w:tcPr>
            <w:tcW w:w="81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(Unaudited) - Three Months ended March 31, 2015 and 2014</w:t>
              </w:r>
            </w:hyperlink>
          </w:p>
        </w:tc>
        <w:tc>
          <w:tcPr>
            <w:tcW w:w="17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4"/>
        </w:trPr>
        <w:tc>
          <w:tcPr>
            <w:tcW w:w="880" w:type="dxa"/>
            <w:vAlign w:val="bottom"/>
          </w:tcPr>
          <w:p>
            <w:pPr>
              <w:spacing w:after="0"/>
              <w:rPr>
                <w:sz w:val="24"/>
                <w:szCs w:val="24"/>
                <w:color w:val="auto"/>
              </w:rPr>
            </w:pPr>
          </w:p>
        </w:tc>
        <w:tc>
          <w:tcPr>
            <w:tcW w:w="49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 (Unaudited)</w:t>
              </w:r>
            </w:hyperlink>
          </w:p>
        </w:tc>
        <w:tc>
          <w:tcPr>
            <w:tcW w:w="502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15"/>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34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tcPr>
          <w:p>
            <w:pPr>
              <w:spacing w:after="0"/>
              <w:rPr>
                <w:sz w:val="24"/>
                <w:szCs w:val="24"/>
                <w:color w:val="auto"/>
              </w:rPr>
            </w:pPr>
          </w:p>
        </w:tc>
        <w:tc>
          <w:tcPr>
            <w:tcW w:w="55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940" w:type="dxa"/>
            <w:vAlign w:val="bottom"/>
            <w:gridSpan w:val="1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Information</w:t>
              </w:r>
            </w:hyperlink>
          </w:p>
        </w:tc>
        <w:tc>
          <w:tcPr>
            <w:tcW w:w="5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Exhibits</w:t>
              </w:r>
            </w:hyperlink>
          </w:p>
        </w:tc>
        <w:tc>
          <w:tcPr>
            <w:tcW w:w="862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Signature</w:t>
              </w:r>
            </w:hyperlink>
          </w:p>
        </w:tc>
        <w:tc>
          <w:tcPr>
            <w:tcW w:w="924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34,764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$320 and $331 at March 31, 2015 and December 31,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2014,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35,789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124,736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27,563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38,061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(27,238)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10,823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9,442</w:t>
            </w:r>
          </w:p>
        </w:tc>
        <w:tc>
          <w:tcPr>
            <w:tcW w:w="0" w:type="dxa"/>
            <w:vAlign w:val="bottom"/>
          </w:tcPr>
          <w:p>
            <w:pPr>
              <w:spacing w:after="0"/>
              <w:rPr>
                <w:sz w:val="1"/>
                <w:szCs w:val="1"/>
                <w:color w:val="auto"/>
              </w:rPr>
            </w:pPr>
          </w:p>
        </w:tc>
      </w:tr>
      <w:tr>
        <w:trPr>
          <w:trHeight w:val="306"/>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development, net of accumulated amortization of $19,387 and $18,114 at March 31, 2015 and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2014, respectively</w:t>
            </w:r>
          </w:p>
        </w:tc>
        <w:tc>
          <w:tcPr>
            <w:tcW w:w="14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13,456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88,766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41,914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$14,636 and $13,834 at March 31, 2015 and December 31, 2014,</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56,593</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66,531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88,304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77,259</w:t>
            </w:r>
          </w:p>
        </w:tc>
        <w:tc>
          <w:tcPr>
            <w:tcW w:w="0" w:type="dxa"/>
            <w:vAlign w:val="bottom"/>
          </w:tcPr>
          <w:p>
            <w:pPr>
              <w:spacing w:after="0"/>
              <w:rPr>
                <w:sz w:val="1"/>
                <w:szCs w:val="1"/>
                <w:color w:val="auto"/>
              </w:rPr>
            </w:pPr>
          </w:p>
        </w:tc>
      </w:tr>
      <w:tr>
        <w:trPr>
          <w:trHeight w:val="324"/>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14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28,000</w:t>
            </w:r>
          </w:p>
        </w:tc>
        <w:tc>
          <w:tcPr>
            <w:tcW w:w="1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2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27,784 and 27,677 shares issued and outstanding at March 31,</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2015 and December 31, 2014, respectively</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175,369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171,045</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299,442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7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47,156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38,350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20,193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42,366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27,703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27,453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28,068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27,906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8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$ 2,722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5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$ 2,743</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jc w:val="center"/>
              <w:ind w:left="1930"/>
              <w:spacing w:after="0"/>
              <w:rPr>
                <w:sz w:val="20"/>
                <w:szCs w:val="20"/>
                <w:color w:val="auto"/>
              </w:rPr>
            </w:pPr>
            <w:r>
              <w:rPr>
                <w:rFonts w:ascii="Times New Roman" w:cs="Times New Roman" w:eastAsia="Times New Roman" w:hAnsi="Times New Roman"/>
                <w:sz w:val="18"/>
                <w:szCs w:val="18"/>
                <w:color w:val="auto"/>
                <w:w w:val="99"/>
              </w:rPr>
              <w:t>See accompanying notes to the unaudited condensed consolidated financial statements.</w:t>
            </w:r>
          </w:p>
        </w:tc>
        <w:tc>
          <w:tcPr>
            <w:tcW w:w="5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80" w:type="dxa"/>
            <w:vAlign w:val="bottom"/>
            <w:gridSpan w:val="2"/>
          </w:tcPr>
          <w:p>
            <w:pPr>
              <w:jc w:val="right"/>
              <w:ind w:right="353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3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3740" w:type="dxa"/>
            <w:vAlign w:val="bottom"/>
            <w:gridSpan w:val="3"/>
            <w:shd w:val="clear" w:color="auto" w:fill="CCEEFF"/>
          </w:tcPr>
          <w:p>
            <w:pPr>
              <w:ind w:left="3240"/>
              <w:spacing w:after="0"/>
              <w:rPr>
                <w:sz w:val="20"/>
                <w:szCs w:val="20"/>
                <w:color w:val="auto"/>
              </w:rPr>
            </w:pPr>
            <w:r>
              <w:rPr>
                <w:rFonts w:ascii="Times New Roman" w:cs="Times New Roman" w:eastAsia="Times New Roman" w:hAnsi="Times New Roman"/>
                <w:sz w:val="18"/>
                <w:szCs w:val="18"/>
                <w:color w:val="auto"/>
                <w:w w:val="96"/>
              </w:rPr>
              <w:t>27,677</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$174,926</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(7,030)</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w w:val="99"/>
              </w:rPr>
              <w:t>(37)</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8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w w:val="99"/>
              </w:rPr>
              <w:t>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180" w:type="dxa"/>
            <w:vAlign w:val="bottom"/>
          </w:tcPr>
          <w:p>
            <w:pPr>
              <w:spacing w:after="0"/>
              <w:rPr>
                <w:sz w:val="24"/>
                <w:szCs w:val="24"/>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60" w:type="dxa"/>
            <w:vAlign w:val="bottom"/>
            <w:gridSpan w:val="2"/>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1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taxes</w:t>
            </w:r>
          </w:p>
        </w:tc>
        <w:tc>
          <w:tcPr>
            <w:tcW w:w="31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107</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318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27,784</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175,369</w:t>
            </w:r>
          </w:p>
        </w:tc>
        <w:tc>
          <w:tcPr>
            <w:tcW w:w="220" w:type="dxa"/>
            <w:vAlign w:val="bottom"/>
          </w:tcPr>
          <w:p>
            <w:pPr>
              <w:spacing w:after="0"/>
              <w:rPr>
                <w:sz w:val="24"/>
                <w:szCs w:val="24"/>
                <w:color w:val="auto"/>
              </w:rPr>
            </w:pP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(4,308)</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center"/>
              <w:ind w:left="214"/>
              <w:spacing w:after="0"/>
              <w:rPr>
                <w:sz w:val="20"/>
                <w:szCs w:val="20"/>
                <w:color w:val="auto"/>
              </w:rPr>
            </w:pPr>
            <w:r>
              <w:rPr>
                <w:rFonts w:ascii="Times New Roman" w:cs="Times New Roman" w:eastAsia="Times New Roman" w:hAnsi="Times New Roman"/>
                <w:sz w:val="18"/>
                <w:szCs w:val="18"/>
                <w:color w:val="auto"/>
                <w:w w:val="99"/>
              </w:rPr>
              <w:t>(16)</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20" w:type="dxa"/>
            <w:vAlign w:val="bottom"/>
            <w:gridSpan w:val="10"/>
          </w:tcPr>
          <w:p>
            <w:pPr>
              <w:jc w:val="center"/>
              <w:spacing w:after="0"/>
              <w:rPr>
                <w:sz w:val="20"/>
                <w:szCs w:val="20"/>
                <w:color w:val="auto"/>
              </w:rPr>
            </w:pPr>
            <w:r>
              <w:rPr>
                <w:rFonts w:ascii="Times New Roman" w:cs="Times New Roman" w:eastAsia="Times New Roman" w:hAnsi="Times New Roman"/>
                <w:sz w:val="18"/>
                <w:szCs w:val="18"/>
                <w:color w:val="auto"/>
                <w:w w:val="99"/>
              </w:rPr>
              <w:t>See accompanying notes to the unaudited condensed consolidated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2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22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non-marketable equity investments</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royalties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liabilities and accrued compensation and related expenses and other long-term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33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(88,075)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equity method investments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(84,253)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(9,978)</w:t>
            </w:r>
          </w:p>
        </w:tc>
        <w:tc>
          <w:tcPr>
            <w:tcW w:w="0" w:type="dxa"/>
            <w:vAlign w:val="bottom"/>
          </w:tcPr>
          <w:p>
            <w:pPr>
              <w:spacing w:after="0"/>
              <w:rPr>
                <w:sz w:val="1"/>
                <w:szCs w:val="1"/>
                <w:color w:val="auto"/>
              </w:rPr>
            </w:pPr>
          </w:p>
        </w:tc>
      </w:tr>
      <w:tr>
        <w:trPr>
          <w:trHeight w:val="33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borrowings under revolving line of credit facility</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earn-outs related to business combinations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81,995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59,537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business combination</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2015 are not necessarily indicative of the results that may be expected for the year ending December 31, 2015.</w:t>
      </w:r>
    </w:p>
    <w:p>
      <w:pPr>
        <w:spacing w:after="0" w:line="18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2014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2014 (included in the Company’s Annual Report on Form 10-K, filed with the Securities and Exchange Commission on February 27, 2015).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2016, and early adoption is not permitted. The Company is currently reviewing this standard to assess the impact on its future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INCOME TAXES</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2015 and 2014, the Company recorded a provision for income taxes of approximately $2.1 million and $1.4 million, respectively. The Company’s effective tax rate for the three months ended March 31, 2015 and 2014 was 43.3% and 41.7%, respectively. The Company’s effective tax rate primarily reflects the statutory corporate income tax rate, the net effect of state taxes, and the effect of various permanent tax differences.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 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two stock incentive plans. The Company accounts for its stock based compensation plans using the fair-value based method for costs related to share-based payments, including stock options and restricted share units (RSUs). During the three months ended March 31, 2015, the Company issued 73,500 RSUs with a weighted average grant date fair value of $25.59 per share, measured based on the closing fair market value of the Company’s stock on the date of grant. During the three months ended March 31, 2014, the Company issued 62,080 RSUs with a weighted average grant date fair value of $29.15 per share, measured based on the closing fair market value of the Company’s stock on the date of grant.</w:t>
      </w:r>
    </w:p>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recorded for the three months ended March 31, 2015 and 2014, which is recorded in the condensed consolidated statements of income, is as follows (in thousands):</w:t>
      </w:r>
    </w:p>
    <w:p>
      <w:pPr>
        <w:spacing w:after="0" w:line="184"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4280" w:type="dxa"/>
            <w:vAlign w:val="bottom"/>
            <w:tcBorders>
              <w:bottom w:val="single" w:sz="8" w:color="CCEEFF"/>
            </w:tcBorders>
          </w:tcPr>
          <w:p>
            <w:pPr>
              <w:spacing w:after="0"/>
              <w:rPr>
                <w:sz w:val="13"/>
                <w:szCs w:val="13"/>
                <w:color w:val="auto"/>
              </w:rPr>
            </w:pPr>
          </w:p>
        </w:tc>
        <w:tc>
          <w:tcPr>
            <w:tcW w:w="28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3"/>
              <w:spacing w:after="0" w:line="157" w:lineRule="exact"/>
              <w:rPr>
                <w:sz w:val="20"/>
                <w:szCs w:val="20"/>
                <w:color w:val="auto"/>
              </w:rPr>
            </w:pPr>
            <w:r>
              <w:rPr>
                <w:rFonts w:ascii="Times New Roman" w:cs="Times New Roman" w:eastAsia="Times New Roman" w:hAnsi="Times New Roman"/>
                <w:sz w:val="14"/>
                <w:szCs w:val="14"/>
                <w:color w:val="auto"/>
                <w:w w:val="99"/>
              </w:rPr>
              <w:t>2015</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3"/>
              <w:spacing w:after="0" w:line="157" w:lineRule="exact"/>
              <w:rPr>
                <w:sz w:val="20"/>
                <w:szCs w:val="20"/>
                <w:color w:val="auto"/>
              </w:rPr>
            </w:pPr>
            <w:r>
              <w:rPr>
                <w:rFonts w:ascii="Times New Roman" w:cs="Times New Roman" w:eastAsia="Times New Roman" w:hAnsi="Times New Roman"/>
                <w:sz w:val="14"/>
                <w:szCs w:val="14"/>
                <w:color w:val="auto"/>
                <w:w w:val="92"/>
              </w:rPr>
              <w:t>2014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0" w:type="dxa"/>
            <w:vAlign w:val="bottom"/>
            <w:vMerge w:val="restart"/>
          </w:tcPr>
          <w:p>
            <w:pPr>
              <w:jc w:val="right"/>
              <w:ind w:right="2610"/>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13,000 and 165,000 for the three months ended March 31, 2015 and 2014, respectively.</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months ended March 31, 2015 and 2014 (in thousands, except per share data):</w:t>
      </w:r>
    </w:p>
    <w:p>
      <w:pPr>
        <w:spacing w:after="0" w:line="184"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0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27,703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28,068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MARKETABLE SECURITIES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March 31, 2015 and December 31, 2014, the fair value of marketable securities, which were all classified as available for sale, included the following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color w:val="auto"/>
              </w:rPr>
              <w:t>March 31, 2015</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Adjusted Cost</w:t>
            </w: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5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23,342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73"/>
              </w:rPr>
              <w:t>(16)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color w:val="auto"/>
              </w:rPr>
              <w:t>December 31, 2014</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Adjusted Cost</w:t>
            </w: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5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32,732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39,010</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73"/>
              </w:rPr>
              <w:t>(37)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39,010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 approximate the fair value based on quoted market prices or alternative pricing sources and models utilizing market observable inputs. As of March 31, 2015, the Company does not consider any of its marketable securities to be other than temporarily impaired. During the three months ended March 31, 2015 and 2014,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COMBINATIONS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HealthLine Systems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16, 2015, the Company acquired all of the membership interests of HealthLine Systems, LLC (HLS), a San Diego, California based company that specializes in credentialing, privileging, call center, and quality management solutions for the healthcare industry. The acquisition of HLS will enable the Company to provide a comprehensive solution set for healthcare provider credentialing, privileging, enrollment, referral, onboarding, and analytics in support of HealthStream’s approach to talent management for healthcare organizations. The consideration paid for HLS consisted of approximately $88.1 million in cash (taking into account a working capital adjustment). The Company incurred approximately $1.3 million in transaction costs associated with the acquisition, of which $965,000 were incurred during the three months ended March 31, 2015 and $329,000 were incurred during the year ended December 31, 2014. The transaction costs were recorded in other general and administrative expenses in the condensed consolidated statement of income. The results of operations for HLS have been included in the Company’s condensed consolidated financial statements from the date of acquisition, and are also included in the HealthStream Provider Solutions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2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48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held in escrow</w:t>
            </w:r>
          </w:p>
        </w:tc>
        <w:tc>
          <w:tcPr>
            <w:tcW w:w="2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consideration paid</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46,852</w:t>
            </w:r>
          </w:p>
        </w:tc>
        <w:tc>
          <w:tcPr>
            <w:tcW w:w="12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42,600</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(1,890)</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(6,132)</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Preliminary net assets acquired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88,129</w:t>
            </w:r>
          </w:p>
        </w:tc>
        <w:tc>
          <w:tcPr>
            <w:tcW w:w="12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excess of preliminary purchase price over the preliminary fair values of net tangible and intangible assets will be recorded as goodwill. The preliminary fair values of tangible and identifiable intangible assets, deferred tax assets, deferred revenue, and other liabilities are based on management’s estimates and assumptions. The preliminary fair values of assets acquired and liabilities assumed are considered preliminary and are based on the information that was available at the time of the acquisition. The preliminary fair values of assets acquired and liabilities assumed are subject to change during the measurement period (up to one year from the acquisition date) as we finalize the valuation of these items. Included in the preliminary assets and liabilities is an estimated indemnification asset of $500,000 and a contingent liability of $1.5 million, both are associated with tax liabilities. The goodwill balance is primarily attributed to the assembled workforce, additional market opportunities from offering HLS’s products, and expected synergies from integrating HLS with other products or other combined functional areas within the Company. The goodwill balance is deductible for U.S. income tax purposes. The net tangible assets include deferred revenue, which was preliminarily adjusted down from a book value at the acquisition date of $15.3 million to an estimated fair value of $6.1 million. The preliminary $9.2 million write-down of deferred revenue will result in lower revenues than would have otherwise been recognized for such services.</w:t>
      </w:r>
    </w:p>
    <w:p>
      <w:pPr>
        <w:spacing w:after="0" w:line="19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identifiable intangible assets and their estimated useful lives as of the acquisition date (in thousands):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Preliminary fair</w:t>
            </w:r>
          </w:p>
        </w:tc>
        <w:tc>
          <w:tcPr>
            <w:tcW w:w="1200" w:type="dxa"/>
            <w:vAlign w:val="bottom"/>
            <w:gridSpan w:val="2"/>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5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3"/>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preliminary intangible assets subject to amortization</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COMBINATIONS (continued)</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amounts of revenue and operating income (loss) of HLS included in the Company’s condensed consolidated statement of income from the date of acquisition of March 16, 2015 to the period ending March 31, 2015 are as follows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combined results of operations of the Company and HLS, which was significant for purposes of the unaudited pro forma financial information disclosure, as though the companies were combined as of January 1, 2014 (in thousands, except per share data):</w:t>
      </w:r>
    </w:p>
    <w:p>
      <w:pPr>
        <w:spacing w:after="0" w:line="19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6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51,609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adjustment for amortization of intangible assets, depreciation of property and equipment, fair value adjustments of acquired deferred revenue balances, and interest expense associated with borrowings under a revolving credit facility by the Company to partially fund the acquisition. The unaudited pro forma combined results of operations is for informational purposes only and is not indicative of what the Company’s results of operations would have been had such transactions occurred at the beginning of the period presented or to project the Company’s results of operations in any future period.</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the three months ended March 31, 2015 and 2014 combines the historical results of the Company and HLS for the three months ended March 31, 2015 and 2014, and the pro forma adjustments listed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Compliance Strategies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working capital adjustment) and 81,614 shares of our common stock. The Company may make additional payments of up to $750,000, contingent upon the achievement of certain performance milestones within one year post-closing. The Company incurred approximately $515,000 in transaction costs associated with the acquisition, of which $365,000 were incurred during the year ended December 31, 2014 and $150,000 were incurred during the year ended December 31, 2013. The transaction costs were recorded in other general and administrative expenses in the consolidated statements of income. In allocating the purchase price, the Company recorded approximately $6.2 million of goodwill, $8.4 million of identifiable intangible assets, $2.6 million of tangible assets, $625,000 of deferred tax assets, and $2.7 million of liabilities. Included in the recorded liabilities is an accrual for contingent consideration of approximately $600,000. The goodwill balance is primarily attributed to assembled workforce, additional market opportunities of HCCS’s compliance solutions, and expected synergies from integrating HCCS’s products into our platform. The goodwill balance is deductible for U.S. income tax purposes. The net tangible assets include deferred revenue, which was adjusted down from a book value at the acquisition date of $3.2 million to an estimated fair value of $1.7 million. The $1.5 million write-down of deferred revenue will result in lower revenues than would have otherwise been recognized for such services. The results of operations for HCCS have been included in the Company’s consolidated financial statements from the date of acquisition, and are also included in the HealthStream Workforce Development Solutions segment.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three months ended March 31, 2015 are as follows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Patient</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Provider</w:t>
            </w:r>
          </w:p>
        </w:tc>
        <w:tc>
          <w:tcPr>
            <w:tcW w:w="260" w:type="dxa"/>
            <w:vAlign w:val="bottom"/>
          </w:tcPr>
          <w:p>
            <w:pPr>
              <w:spacing w:after="0"/>
              <w:rPr>
                <w:sz w:val="13"/>
                <w:szCs w:val="13"/>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8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2015</w:t>
            </w: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$ 12,336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HLS</w:t>
            </w:r>
          </w:p>
        </w:tc>
        <w:tc>
          <w:tcPr>
            <w:tcW w:w="22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46,852</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2015</w:t>
            </w:r>
          </w:p>
        </w:tc>
        <w:tc>
          <w:tcPr>
            <w:tcW w:w="2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$ 12,336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24,154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52,276</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SEGMENTS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development products and services (HealthStream Workforce Solutions), survey and research services (HealthStream Patient Experience Solutions), as well as provider credentialing, privileging, and enrollment products and services (HealthStream Provider Solutions).</w:t>
      </w:r>
    </w:p>
    <w:p>
      <w:pPr>
        <w:spacing w:after="0" w:line="17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Effective with the acquisition of HLS in March 2015, we launched the HealthStream Provider Solutions segment. HealthStream Provider Solutions reflects the combination of HLS and Sy.Med Development, Inc. (Sy.Med). Upon the acquisition of HLS, we changed our organizational structure, appointing a President of HealthStream Provider Solutions, who reports to our Chief Executive Officer (CEO). Our CEO is also our chief operating decision maker. During the first quarter of 2015, we began reporting and assessing performance of this newly formed segment. The accounting policies of the segments are the same as those described in the summary of significant accounting policies in the Company’s Annual Report on Form 10-K for the year ended December 31, 2014.</w:t>
      </w:r>
    </w:p>
    <w:p>
      <w:pPr>
        <w:spacing w:after="0" w:line="188"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7"/>
          <w:szCs w:val="17"/>
          <w:color w:val="auto"/>
        </w:rPr>
        <w:t>The Company’s historical segment disclosures included the aggregation of Sy.Med within the HealthStream Workforce Solutions segment. We have adjusted the prior period segment disclosures to conform to the current year presentation by including Sy.Med within the HealthStream Provider Solutions segment.</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months ended March 31, 2015 and 2014 (in thousands).</w:t>
      </w:r>
    </w:p>
    <w:p>
      <w:pPr>
        <w:spacing w:after="0" w:line="20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6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net: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$37,594</w:t>
            </w:r>
          </w:p>
        </w:tc>
        <w:tc>
          <w:tcPr>
            <w:tcW w:w="22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29,965</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47,156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38,350</w:t>
            </w:r>
          </w:p>
        </w:tc>
        <w:tc>
          <w:tcPr>
            <w:tcW w:w="100" w:type="dxa"/>
            <w:vAlign w:val="bottom"/>
            <w:shd w:val="clear" w:color="auto" w:fill="CCEEFF"/>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March 31,</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(6,421)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(4,760)</w:t>
            </w:r>
          </w:p>
        </w:tc>
      </w:tr>
      <w:tr>
        <w:trPr>
          <w:trHeight w:val="223"/>
        </w:trPr>
        <w:tc>
          <w:tcPr>
            <w:tcW w:w="5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86"/>
        </w:trPr>
        <w:tc>
          <w:tcPr>
            <w:tcW w:w="5760" w:type="dxa"/>
            <w:vAlign w:val="bottom"/>
          </w:tcPr>
          <w:p>
            <w:pPr>
              <w:spacing w:after="0"/>
              <w:rPr>
                <w:sz w:val="24"/>
                <w:szCs w:val="24"/>
                <w:color w:val="auto"/>
              </w:rPr>
            </w:pPr>
          </w:p>
        </w:tc>
        <w:tc>
          <w:tcPr>
            <w:tcW w:w="13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color w:val="auto"/>
              </w:rPr>
              <w:t>March 31, 2015</w:t>
            </w:r>
          </w:p>
        </w:tc>
        <w:tc>
          <w:tcPr>
            <w:tcW w:w="1620" w:type="dxa"/>
            <w:vAlign w:val="bottom"/>
            <w:gridSpan w:val="9"/>
          </w:tcPr>
          <w:p>
            <w:pPr>
              <w:ind w:left="380"/>
              <w:spacing w:after="0"/>
              <w:rPr>
                <w:sz w:val="20"/>
                <w:szCs w:val="20"/>
                <w:color w:val="auto"/>
              </w:rPr>
            </w:pPr>
            <w:r>
              <w:rPr>
                <w:rFonts w:ascii="Times New Roman" w:cs="Times New Roman" w:eastAsia="Times New Roman" w:hAnsi="Times New Roman"/>
                <w:sz w:val="14"/>
                <w:szCs w:val="14"/>
                <w:color w:val="auto"/>
              </w:rPr>
              <w:t>December 31, 2014</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Segment assets *</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81,116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34,536</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10,976</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130,634</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257,262</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hanging="212"/>
        <w:spacing w:after="0" w:line="266"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as well as an accordion feature that allows the Company to increase the Revolving Credit Facility by a total of up to $25.0 million, subject to securing additional commitments from existing lenders or new lending institutions. The Revolving Credit Facility includes a $5.0 million letter of credit subfacility.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March 31, 2015, the Company was in compliance with all covenants. There was approximately $28.0 million outstanding on the Revolving Credit Facility as of March 31, 2015. The weighted average interest rate was 1.67% for borrowings under Revolving Credit Facility during the three months ended March 31, 2015. The carrying value of the Revolving Credit Facility approximates fair value.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455" w:right="2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Special Cautionary Notice Regarding Forward-Looking Statements</w:t>
      </w:r>
    </w:p>
    <w:p>
      <w:pPr>
        <w:ind w:right="80"/>
        <w:spacing w:after="0" w:line="273" w:lineRule="auto"/>
        <w:rPr>
          <w:sz w:val="20"/>
          <w:szCs w:val="20"/>
          <w:color w:val="auto"/>
        </w:rPr>
      </w:pPr>
      <w:r>
        <w:rPr>
          <w:rFonts w:ascii="Times New Roman" w:cs="Times New Roman" w:eastAsia="Times New Roman" w:hAnsi="Times New Roman"/>
          <w:sz w:val="17"/>
          <w:szCs w:val="17"/>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2014, appearing in our Annual Report on Form 10-K that was filed with the Securities and Exchange Commission (“SEC”) on February 27, 2015, (the “2014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and the information set forth under the caption “Item 1A. Risk Factors” in our 2014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HealthStream provides workforce, patient experience, and provider solutions for healthcare organizations—all designed to assess and develop the people that deliver patient care which, in turn, supports the improvement of business and clinical outcomes. Our workforce products are used by healthcare organizations to meet a broad range of their training, certification, competency assessment, performance appraisal, and development needs. Our patient experience products provide our customers information about patients’ experiences and how to improve them, workforce engagement, physician relations, and community perceptions of their services. Our provider products are used by healthcare organization for provider credentialing, privileging, and enrollment. HealthStream’s customers include healthcare organizations, pharmaceutical and medical device companies, and other participants in the healthcare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indicators for the first quarter of 2015 include:</w:t>
      </w:r>
    </w:p>
    <w:p>
      <w:pPr>
        <w:spacing w:after="0" w:line="13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$47.2 million in the first quarter of 2015, up 23% from $38.3 million in the first quarter of 2014</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$4.8 million in the first quarter of 2015, up 45% from $3.3 million in the first quarter of 2014</w:t>
      </w:r>
    </w:p>
    <w:p>
      <w:pPr>
        <w:spacing w:after="0" w:line="130"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$2.7 million in the first quarter of 2015, up 40% from $1.9 million in the first quarter of 2014, and earnings per share (EPS) of $0.10 per share (diluted) in the first quarter of 2015, compared to $0.07 per share (diluted) in the first quarter of 2014</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of $8.4 million in the first quarter of 2015, up 39% from $6.1 million in the first quarter of 2014</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HealthLine Systems, LLC (HLS) on March 16, 2015 for approximately $88.1 million in cash</w:t>
      </w:r>
    </w:p>
    <w:p>
      <w:pPr>
        <w:spacing w:after="0" w:line="252"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A reconciliation of adjusted EBITDA to net income is included in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March 16, 2015, we acquired for cash the outstanding membership interests of HLS, the legal successor to HealthLine Systems, Inc., a company that specializes in provider credentialing, privileging, call center, and quality management solutions for the healthcare industry. The financial results of HLS are included in our condensed consolidated financial statements from the date of acquisition. The purchase price for HLS was approximately $88.1 million. See Note 7 to the Condensed Consolidated Financial Statements, included within this report, for additional information.</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67"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costs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intangibles, and other long-lived assets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2014 Form 10-K, which contains additional information regarding our accounting policies and other disclosures required by US GAAP. There have been no changes in our critical accounting policies and estimates from those reported in our 2014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2015 Compared to Three Months Ended March 31, 2014</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$8.8 million, or 23.0%, to $47.2 million for the three months ended March 31, 2015 from $38.3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2014. A comparison of revenues by business segment is as follows (in thousands):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 by Business Segment:</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$37,594</w:t>
            </w: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$29,965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7,393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6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47,156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38,350</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2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Workforce</w:t>
            </w:r>
          </w:p>
        </w:tc>
        <w:tc>
          <w:tcPr>
            <w:tcW w:w="32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c>
          <w:tcPr>
            <w:tcW w:w="220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Experience</w:t>
            </w:r>
          </w:p>
        </w:tc>
        <w:tc>
          <w:tcPr>
            <w:tcW w:w="3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22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Provider</w:t>
            </w:r>
          </w:p>
        </w:tc>
        <w:tc>
          <w:tcPr>
            <w:tcW w:w="32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220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HealthStream Workforce Solutions increased approximately $7.6 million, or 25.5%, over the first quarter of 2014. Revenues from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subscription-based workforce products increased approximately $7.4 million, or 25.4%, over the prior year first quarter due to a higher number of subscribers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more courseware consumption by subscribers. Our Workforce Solutions annualized revenue per implemented subscriber metric increased by 3.9%,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$34.63 per subscriber for the first quarter of 2015 compared to $33.33 per subscriber for the first quarter of 2014. Our implemented subscriber base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19.4% over the prior year first quarter to 4.27 million implemented subscribers at March 31, 2015 compared to 3.58 million implemented subscribers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2014. Additionally, we had a 15.1% increase in total subscribers over the prior year first quarter, with 4.43 million total subscribers at 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compared to 3.85 million total subscribers at March 31, 2014. Revenues in 2015 were positively influenced by courseware subscriptions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among other products, ICD-10 training. Revenues from ICD-10 training were approximately $7.1 million for the first quarter of 2015, compared to $6.6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for the first quarter of 2014. In addition, revenues from our acquisition of Health Care Compliance Strategies (HCCS), which was consummated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2014, were approximately $2.1 million during the first quarter of 2015, compared to $89,000 during the first quarter of 2014.</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Revenues for HealthStream Patient Experience Solutions increased approximately $594,000, or 8.0%, over the first quarter of 2014. Revenues from Patient Insights™ surveys, our survey research product that generates recurring revenues, increased by $818,000, or 14.2%, over the prior year first quarter. Revenues from other products, including surveys conducted on annual or bi-annual cycles and consulting/coaching services, collectively decreased $225,000 compared to the prior year first quarter.</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first quarter of 2015, we formed the HealthStream Provider Solutions segment, which is a combination of two previously acquired businesses: HLS and Sy.Med Development (Sy.Med). First quarter 2015 revenues in this segment, which included Sy.Med and approximately two weeks of revenue contributions from HLS, increased $583,000 over the prior year first quarter. Revenues from the HealthLine Systems acquisition, which was consummated on March 16, 2015, were $342,000 during the first quarter of 2015.</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$3.3 million, or 19.3%, to $20.2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2015 from $16.9 million for the three months ended March 31, 2014. Cost of revenues as a percentage of revenues was 42.8% of revenues for the three months ended March 31, 2015 compared to 44.1% of revenues for the three months ended March 31, 2014. Cost of revenues for HealthStream Workforce Solutions increased approximately $2.5 million to $14.5 million and approximated 38.7% and 40.2% of revenues for HealthStream Workforce Solutions for the three months ended March 31, 2015 and 2014, respectively. The increase in amount is primarily associated with increased royalties paid by us resulting from growth in courseware subscription revenues and increased personnel costs. Cost of revenues for HealthStream Patient Experience Solutions increased approximately $602,000 to $5.3 million and approximated 66.7% and 64.0% of revenues for HealthStream Patient Experience Solutions for the three months ended March 31, 2015 and 2014, respectively. The increase in both amount and as a percentage of revenue is primarily the result of increased personnel costs associated with the growth in patient survey volume over the prior year first quarter. Cost of revenues for HealthStream Provider Solutions increased approximately $173,000, or 112.6%, to 327,000 and approximated 20.8% and 15.5% of HealthStream Provider Solutions revenues for the three months ended March 31, 2015 and 2014, respectively. The increase in both amount and as a percentage of revenue is primarily the result of the HLS acquisition.</w:t>
      </w:r>
    </w:p>
    <w:p>
      <w:pPr>
        <w:spacing w:after="0" w:line="19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$1.1 million, or 31.0%, to $4.6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from $3.5 million for the three months ended March 31, 2014. Product development expenses as a percentage of revenues were 9.9% and 9.2% of revenues for the three months ended March 31, 2015 and 2014, respectively.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Product development expenses for HealthStream Workforce Solutions increased approximately $1.2 million and approximated 11.2% and 10.2% of revenues for HealthStream Workforce Solutions for the three months ended March 31, 2015 and 2014, respectively. The increase in both amount and as a percentage of revenues is due to additional personnel expenses associated with new product development initiatives for our subscription-based products. Product development expenses for HealthStream Patient Experience Solutions decreased approximately $182,000 and approximated 2.7% and 5.4% of revenues for HealthStream Patient Experience Solutions for the three months ended March 31, 2015 and 2014, respectively. The decrease in both amount and as a percentage of revenue is due to fewer personnel expenses compared to the prior year period. Product development expenses for HealthStream Provider Solutions increased approximately $116,000 and approximated 13.4% and 9.6% of revenues for HealthStream Provider Solutions for the three months ended March 31, 2015 and 2014, respectively. The increase in amount and as a percentage of revenues is primarily associated with the HLS acquisition.</w:t>
      </w:r>
    </w:p>
    <w:p>
      <w:pPr>
        <w:spacing w:after="0" w:line="183"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approximately $400,000, or 5.8%, to $7.3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2015 from $6.9 million for the three months ended March 31, 2014. Sales and marketing expenses were 15.6% and 18.1% of revenues for the three months ended March 31, 2015 and 2014, respectively.</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Solutions increased approximately $367,000 and approximated 14.9% and 17.4% of revenues for HealthStream Workforce Solutions for the three months ended March 31, 2015 and 2014, respectively. The increase in amount is primarily due to additional personnel and related expenses and increased marketing spending, but was partially offset by lower commissions. Sales and marketing expenses for HealthStream Patient Experience Solutions decreased approximately $80,000, and approximated 15.6% and 17.9% of revenues for HealthStream Patient Experience Solutions for the three months ended March 31, 2015 and 2014, respectively. Sales and marketing expenses for HealthStream Provider Solutions increased approximately $103,000, and approximated 25.9% and 30.7% of revenues for HealthStream Provider Solutions for the three months ended March 31, 2015 and 2014, respectively. The increase in amount is primarily associated with the HLS acquisition.</w:t>
      </w:r>
    </w:p>
    <w:p>
      <w:pPr>
        <w:spacing w:after="0" w:line="18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$1.7 million, or 32.4%, to $6.9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2015 from $5.2 million for the three months ended March 31, 2014. Other general and administrative expenses as a percentage of revenues were 14.7% and 13.6% of revenues for the three months ended March 31, 2015 and 2014, respectively.</w:t>
      </w:r>
    </w:p>
    <w:p>
      <w:pPr>
        <w:sectPr>
          <w:pgSz w:w="11900" w:h="16838" w:orient="portrait"/>
          <w:cols w:equalWidth="0" w:num="1">
            <w:col w:w="11420"/>
          </w:cols>
          <w:pgMar w:left="240" w:top="455" w:right="2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Solutions increased approximately $83,000 over the prior year first quarter. Other general and administrative expenses for HealthStream Patient Experience Solutions increased approximately $131,000 over the prior year first quarter primarily due to increased facilities costs for a new patient interview center in Nashville, Tennessee. Other general and administrative expenses for HealthStream Provider Solutions increased modestly over the prior year first quarter. The unallocated corporate portion of other general and administrative expenses increased approximately $1.5 million over the prior year first</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80"/>
          </w:cols>
          <w:pgMar w:left="240" w:top="121" w:right="4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quarter, primarily associated with additional personnel, professional fees, rent, stock based compensation expense, and other general expenses, as well as higher acquisition related costs during 2015 than in 2014. During the first quarter of 2015, acquisition costs associated with the HLS acquisition were approximately $965,000 while during the first quarter of 2014, acquisition costs associated with the HCCS acquisition were approximately $350,000.</w:t>
      </w:r>
    </w:p>
    <w:p>
      <w:pPr>
        <w:spacing w:after="0" w:line="174"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$852,000, or 35.5%, to $3.3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2015 from $2.4 million for the three months ended March 31, 2014. The increase primarily resulted from amortization of capitalized software development, amortization of intangible assets from recent acquisitions, and depreciation expense associated with capital expenditures.</w:t>
      </w:r>
    </w:p>
    <w:p>
      <w:pPr>
        <w:spacing w:after="0" w:line="1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approximately $9,000 for the three months ended March 31, 2015 compared to $45,000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2014. The decrease is primarily associated with interest expense from borrowings under a revolving credit facility.</w:t>
      </w:r>
    </w:p>
    <w:p>
      <w:pPr>
        <w:spacing w:after="0" w:line="158"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approximately $2.1 million for the three months ended March 31, 2015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$1.4 million for the three months ended March 31, 2014. The Company’s effective tax rate was 43.3% for the three months ended March 31, 2015 compared to 41.7% for the three months ended March 31, 2014.</w:t>
      </w:r>
    </w:p>
    <w:p>
      <w:pPr>
        <w:spacing w:after="0" w:line="17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approximately $775,000, or 39.8%, to $2.7 million for the three months ended March 31, 2015 from $1.9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2014. Earnings per diluted share were $0.10 and $0.07 per share for the three months ended March 31, 2015 and 2014, respectively.</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(which we define as net income before interest, income taxes, stock based compensation, and depreciation and amortization) increased by 38.9% to approximately $8.4 million for the three months ended March 31, 2015 compared to $6.1 million for the three months ended March 31, 2014. This improvement is consistent with the factors mentioned above. See Reconciliation of Non-GAAP Financial Measures below for our reconciliation of this calculation to measures under US GAAP.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deductions in 2014 and 2015,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8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7"/>
          <w:szCs w:val="17"/>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3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completed the acquisitions of HCCS in March 2014 and HLS in March 2015. In accordance with US GAAP reporting requirements for fair value, we recorded a deferred revenue write-down of approximately $1.5 million for HCCS and a preliminary write-down of $9.2 million for HLS. These write-downs result in lower revenues than would have otherwise been recognized for such services.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and in some cases more than one year, so our US GAAP revenues for the one year period after the acquisition will not reflect the full amount of revenues that would have been reported if the acquired deferred revenue was not written down to fair value.</w:t>
      </w:r>
    </w:p>
    <w:p>
      <w:pPr>
        <w:spacing w:after="0" w:line="207"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6860"/>
        <w:spacing w:after="0" w:line="236" w:lineRule="auto"/>
        <w:rPr>
          <w:sz w:val="20"/>
          <w:szCs w:val="20"/>
          <w:color w:val="auto"/>
        </w:rPr>
      </w:pPr>
      <w:r>
        <w:rPr>
          <w:rFonts w:ascii="Times New Roman" w:cs="Times New Roman" w:eastAsia="Times New Roman" w:hAnsi="Times New Roman"/>
          <w:sz w:val="14"/>
          <w:szCs w:val="14"/>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revenues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47,156</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38,350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47,734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$9.0 million and $9.2 million during the three months ended March 31, 2015 and 2014, respectively. The number of days sales outstanding (DSO) was 66 days for the first quarter of 2015 compared to 67 days for the first quarter of 2014.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approximately $84.3 million and $10.0 million for the three months ended March 31, 2015 and 2014, respectively. During 2015, the Company utilized $88.1 million (net of cash acquired) for acquisitions, purchased $2.3 million of property and equipment, spent $2.0 million for capitalized software development, and made $1.0 million in non-marketable equity investments. These uses of cash were partially offset by maturities of marketable securities of $9.2 million. During 2014, the Company purchased $13.2 million of marketable securities, utilized $12.5 million (net of cash acquired) for acquisitions, spent $1.5 million for capitalized software development, purchased $1.1 million of property and equipment, and made $250,000 in non-marketable equity investments. These uses of cash were partially offset by maturities of marketable securities of $18.5 million.</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approximately $28.0 million and $292,000 for the three months ended March 31, 2015 and 2014, respectively. The primary sources of cash from financing activities for 2015 resulted from proceeds from borrowings under the revolving credit facility to fund the acquisition of HLS of $28.0 million and proceeds (net of payroll taxes paid) from the exercise of employee stock options and issuance of RSUs. During 2014 the primary source of cash from financing activities resulted from proceeds (net of payroll taxes paid) from the exercise of employee stock options and issuance of RSUs.</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balance sheet reflects positive working capital of $36.4 million at March 31, 2015 compared to $97.4 million at December 31, 2014. The decrease in working capital was primarily due to the use of cash for the HLS acquisition. The Company’s primary source of liquidity is $64.4 million of cash and cash equivalents and marketable securities. The Company also has a $50.0 million revolving credit facility, of which $22.0 million was available for additional borrowing at March 31, 2015.</w:t>
      </w:r>
    </w:p>
    <w:p>
      <w:pPr>
        <w:sectPr>
          <w:pgSz w:w="11900" w:h="16838" w:orient="portrait"/>
          <w:cols w:equalWidth="0" w:num="1">
            <w:col w:w="11400"/>
          </w:cols>
          <w:pgMar w:left="240" w:top="455" w:right="25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tax liabilities. We anticipate our remaining net operating loss carryforwards will become fully utilized during 2015. Our actual tax payments are expected to increase significantly once the net operating loss carryforwards are fully utilized.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00"/>
          </w:cols>
          <w:pgMar w:left="240" w:top="121"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growth strategy includes acquiring businesses that provide complementary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values at the time of borrowing. As of March 31, 2015, we have an outstanding borrowing under the revolving credit facility of $28.0 million, and have remaining capacity under the credit facility of $22.0 million. As of March 31, 2015,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foreign currency exchange rate risk or commodity price risk. As of March 31, 2015, the Company had approximately $28.0 million of outstanding debt under its revolving credit facility. We are subject to interest rate market risk associated with the borrowings under our revolving credit facility. The interest rate under the revolving credit facility varies depending on the interest rate option selected by the Company plus a margin determined in accordance with a pricing grid. The average interest rate during the three months ended March 31, 2015 was approximately 1.67%. Assuming a hypothetical 10% increase in interest rates, interest expense from the revolving credit facility would increase on an annualized basis by approximately $47,000 based on the current amount of debt outstanding. We are also exposed to market risk with respect to our cash and investment balances, which approximated $64.4 million at March 31, 2015. Assuming a hypothetical 10% decrease in interest rates for invested balances, interest income from cash and investments would decrease on an annualized basis by approximately $30,000.</w:t>
      </w:r>
    </w:p>
    <w:p>
      <w:pPr>
        <w:spacing w:after="0" w:line="18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35"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jc w:val="both"/>
        <w:ind w:left="1720" w:hanging="625"/>
        <w:spacing w:after="0" w:line="266" w:lineRule="auto"/>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 Membership Interest Purchase Agreement, dated as of February 12, 2015, between HealthStream, Inc., Littrell Holdings, Inc., HealthLine Systems, Inc., the Shareholders of HealthLine Systems, Inc., and Dan Littrell in his individual capacity and as the Shareholders’ Representative.</w:t>
      </w:r>
    </w:p>
    <w:p>
      <w:pPr>
        <w:spacing w:after="0" w:line="68" w:lineRule="exact"/>
        <w:rPr>
          <w:sz w:val="20"/>
          <w:szCs w:val="20"/>
          <w:color w:val="auto"/>
        </w:rPr>
      </w:pPr>
    </w:p>
    <w:p>
      <w:pPr>
        <w:ind w:left="1000"/>
        <w:spacing w:after="0"/>
        <w:tabs>
          <w:tab w:leader="none" w:pos="1700" w:val="left"/>
        </w:tabs>
        <w:rPr>
          <w:sz w:val="20"/>
          <w:szCs w:val="20"/>
          <w:color w:val="auto"/>
        </w:rPr>
      </w:pPr>
      <w:r>
        <w:rPr>
          <w:rFonts w:ascii="Times New Roman" w:cs="Times New Roman" w:eastAsia="Times New Roman" w:hAnsi="Times New Roman"/>
          <w:sz w:val="18"/>
          <w:szCs w:val="18"/>
          <w:color w:val="auto"/>
        </w:rPr>
        <w:t>31.1 –</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302 of the Sarbanes-Oxley Act of 2002</w:t>
      </w:r>
    </w:p>
    <w:p>
      <w:pPr>
        <w:spacing w:after="0" w:line="27" w:lineRule="exact"/>
        <w:rPr>
          <w:sz w:val="20"/>
          <w:szCs w:val="20"/>
          <w:color w:val="auto"/>
        </w:rPr>
      </w:pPr>
    </w:p>
    <w:p>
      <w:pPr>
        <w:ind w:left="1000"/>
        <w:spacing w:after="0"/>
        <w:tabs>
          <w:tab w:leader="none" w:pos="1700" w:val="left"/>
        </w:tabs>
        <w:rPr>
          <w:sz w:val="20"/>
          <w:szCs w:val="20"/>
          <w:color w:val="auto"/>
        </w:rPr>
      </w:pPr>
      <w:r>
        <w:rPr>
          <w:rFonts w:ascii="Times New Roman" w:cs="Times New Roman" w:eastAsia="Times New Roman" w:hAnsi="Times New Roman"/>
          <w:sz w:val="18"/>
          <w:szCs w:val="18"/>
          <w:color w:val="auto"/>
        </w:rPr>
        <w:t>31.2 –</w:t>
      </w:r>
      <w:r>
        <w:rPr>
          <w:sz w:val="20"/>
          <w:szCs w:val="20"/>
          <w:color w:val="auto"/>
        </w:rPr>
        <w:tab/>
      </w:r>
      <w:r>
        <w:rPr>
          <w:rFonts w:ascii="Times New Roman" w:cs="Times New Roman" w:eastAsia="Times New Roman" w:hAnsi="Times New Roman"/>
          <w:sz w:val="17"/>
          <w:szCs w:val="17"/>
          <w:color w:val="auto"/>
        </w:rPr>
        <w:t>Certification of the Principal Financial Officer Pursuant to Section 302 of the Sarbanes-Oxley Act of 2002</w:t>
      </w:r>
    </w:p>
    <w:p>
      <w:pPr>
        <w:spacing w:after="0" w:line="9" w:lineRule="exact"/>
        <w:rPr>
          <w:sz w:val="20"/>
          <w:szCs w:val="20"/>
          <w:color w:val="auto"/>
        </w:rPr>
      </w:pPr>
    </w:p>
    <w:p>
      <w:pPr>
        <w:ind w:left="1000"/>
        <w:spacing w:after="0"/>
        <w:tabs>
          <w:tab w:leader="none" w:pos="1700" w:val="left"/>
        </w:tabs>
        <w:rPr>
          <w:sz w:val="20"/>
          <w:szCs w:val="20"/>
          <w:color w:val="auto"/>
        </w:rPr>
      </w:pPr>
      <w:r>
        <w:rPr>
          <w:rFonts w:ascii="Times New Roman" w:cs="Times New Roman" w:eastAsia="Times New Roman" w:hAnsi="Times New Roman"/>
          <w:sz w:val="18"/>
          <w:szCs w:val="18"/>
          <w:color w:val="auto"/>
        </w:rPr>
        <w:t>32.1 –</w:t>
        <w:tab/>
        <w:t>Certification Pursuant to 18 U.S.C. Section 1350, as Adopted Pursuant to Section 906 of the Sarbanes-Oxley Act of 2002</w:t>
      </w:r>
    </w:p>
    <w:p>
      <w:pPr>
        <w:spacing w:after="0" w:line="99" w:lineRule="exact"/>
        <w:rPr>
          <w:sz w:val="20"/>
          <w:szCs w:val="20"/>
          <w:color w:val="auto"/>
        </w:rPr>
      </w:pPr>
    </w:p>
    <w:p>
      <w:pPr>
        <w:ind w:left="1000"/>
        <w:spacing w:after="0"/>
        <w:tabs>
          <w:tab w:leader="none" w:pos="1700" w:val="left"/>
        </w:tabs>
        <w:rPr>
          <w:sz w:val="20"/>
          <w:szCs w:val="20"/>
          <w:color w:val="auto"/>
        </w:rPr>
      </w:pPr>
      <w:r>
        <w:rPr>
          <w:rFonts w:ascii="Times New Roman" w:cs="Times New Roman" w:eastAsia="Times New Roman" w:hAnsi="Times New Roman"/>
          <w:sz w:val="18"/>
          <w:szCs w:val="18"/>
          <w:color w:val="auto"/>
        </w:rPr>
        <w:t>32.2 –</w:t>
        <w:tab/>
        <w:t>Certification Pursuant to 18 U.S.C. Section 1350, as Adopted Pursuant to Section 906 of the Sarbanes-Oxley Act of 2002</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INS – XBRL Instance Document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SCH – XBRL Taxonomy Extension Schema</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CAL – XBRL Taxonomy Extension Calculation Linkbase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DEF – XBRL Taxonomy Extension Definition Linkbase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LAB – XBRL Taxonomy Extension Label Linkbase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101.1 PRE – XBRL Taxonomy Extension Presentation Linkbase</w:t>
      </w:r>
    </w:p>
    <w:p>
      <w:pPr>
        <w:spacing w:after="0" w:line="225" w:lineRule="exact"/>
        <w:rPr>
          <w:sz w:val="20"/>
          <w:szCs w:val="20"/>
          <w:color w:val="auto"/>
        </w:rPr>
      </w:pPr>
    </w:p>
    <w:p>
      <w:pPr>
        <w:ind w:left="5620" w:right="2700" w:hanging="5612"/>
        <w:spacing w:after="0" w:line="454"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Incorporated by reference from exhibit filed on our Current Report on Form 8-K, dated February 13, 2015. 18</w:t>
      </w:r>
    </w:p>
    <w:p>
      <w:pPr>
        <w:sectPr>
          <w:pgSz w:w="11900" w:h="16838" w:orient="portrait"/>
          <w:cols w:equalWidth="0" w:num="1">
            <w:col w:w="10800"/>
          </w:cols>
          <w:pgMar w:left="240" w:top="455" w:right="8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May 1, 2015</w:t>
      </w:r>
      <w:r>
        <w:rPr>
          <w:sz w:val="20"/>
          <w:szCs w:val="20"/>
          <w:color w:val="auto"/>
        </w:rPr>
        <w:tab/>
      </w:r>
      <w:r>
        <w:rPr>
          <w:rFonts w:ascii="Times New Roman" w:cs="Times New Roman" w:eastAsia="Times New Roman" w:hAnsi="Times New Roman"/>
          <w:sz w:val="18"/>
          <w:szCs w:val="18"/>
          <w:color w:val="auto"/>
        </w:rPr>
        <w:t>By: /s/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00"/>
          </w:cols>
          <w:pgMar w:left="240" w:top="455" w:right="8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Table of Contents</w:t>
              </w:r>
            </w:hyperlink>
          </w:p>
        </w:tc>
        <w:tc>
          <w:tcPr>
            <w:tcW w:w="9920" w:type="dxa"/>
            <w:vAlign w:val="bottom"/>
          </w:tcPr>
          <w:p>
            <w:pPr>
              <w:spacing w:after="0"/>
              <w:rPr>
                <w:sz w:val="17"/>
                <w:szCs w:val="17"/>
                <w:color w:val="auto"/>
              </w:rPr>
            </w:pPr>
          </w:p>
        </w:tc>
      </w:tr>
      <w:tr>
        <w:trPr>
          <w:trHeight w:val="534"/>
        </w:trPr>
        <w:tc>
          <w:tcPr>
            <w:tcW w:w="4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HEALTHSTREAM, INC.</w:t>
            </w:r>
          </w:p>
        </w:tc>
      </w:tr>
      <w:tr>
        <w:trPr>
          <w:trHeight w:val="432"/>
        </w:trPr>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1"/>
        </w:trPr>
        <w:tc>
          <w:tcPr>
            <w:tcW w:w="136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(1)</w:t>
            </w:r>
          </w:p>
        </w:tc>
        <w:tc>
          <w:tcPr>
            <w:tcW w:w="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w w:val="99"/>
              </w:rPr>
              <w:t>Membership Interest Purchase Agreement, dated as of February 12, 2015, between HealthStream, Inc., Littrell Holdings, Inc., HealthLine</w:t>
            </w:r>
          </w:p>
        </w:tc>
      </w:tr>
      <w:tr>
        <w:trPr>
          <w:trHeight w:val="216"/>
        </w:trPr>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r>
      <w:tr>
        <w:trPr>
          <w:trHeight w:val="234"/>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INS</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SCH</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 LAB</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 Incorporated by reference from exhibit filed on our Current Report on Form 8-K, dated February 13, 2015.</w:t>
      </w:r>
    </w:p>
    <w:p>
      <w:pPr>
        <w:sectPr>
          <w:pgSz w:w="11900" w:h="16838" w:orient="portrait"/>
          <w:cols w:equalWidth="0" w:num="1">
            <w:col w:w="11300"/>
          </w:cols>
          <w:pgMar w:left="240" w:top="446" w:right="35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100" w:firstLine="4"/>
        <w:spacing w:after="0" w:line="266"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60" w:firstLine="4"/>
        <w:spacing w:after="0" w:line="282" w:lineRule="auto"/>
        <w:tabs>
          <w:tab w:leader="none" w:pos="6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 2015</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5"/>
          <w:szCs w:val="15"/>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6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20" w:firstLine="4"/>
        <w:spacing w:after="0" w:line="266"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6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100" w:firstLine="4"/>
        <w:spacing w:after="0" w:line="266"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64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firstLine="4"/>
        <w:spacing w:after="0" w:line="282" w:lineRule="auto"/>
        <w:tabs>
          <w:tab w:leader="none" w:pos="6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60" w:firstLine="4"/>
        <w:spacing w:after="0" w:line="282" w:lineRule="auto"/>
        <w:tabs>
          <w:tab w:leader="none" w:pos="64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 2015</w:t>
      </w:r>
      <w:r>
        <w:rPr>
          <w:sz w:val="20"/>
          <w:szCs w:val="20"/>
          <w:color w:val="auto"/>
        </w:rPr>
        <w:tab/>
      </w:r>
      <w:r>
        <w:rPr>
          <w:rFonts w:ascii="Times New Roman" w:cs="Times New Roman" w:eastAsia="Times New Roman" w:hAnsi="Times New Roman"/>
          <w:sz w:val="17"/>
          <w:szCs w:val="17"/>
          <w:color w:val="auto"/>
        </w:rPr>
        <w:t>/s/ G</w:t>
      </w:r>
      <w:r>
        <w:rPr>
          <w:rFonts w:ascii="Times New Roman" w:cs="Times New Roman" w:eastAsia="Times New Roman" w:hAnsi="Times New Roman"/>
          <w:sz w:val="14"/>
          <w:szCs w:val="14"/>
          <w:color w:val="auto"/>
        </w:rPr>
        <w:t>ERARD</w:t>
      </w:r>
      <w:r>
        <w:rPr>
          <w:rFonts w:ascii="Times New Roman" w:cs="Times New Roman" w:eastAsia="Times New Roman" w:hAnsi="Times New Roman"/>
          <w:sz w:val="17"/>
          <w:szCs w:val="17"/>
          <w:color w:val="auto"/>
        </w:rPr>
        <w:t xml:space="preserve"> M. H</w:t>
      </w:r>
      <w:r>
        <w:rPr>
          <w:rFonts w:ascii="Times New Roman" w:cs="Times New Roman" w:eastAsia="Times New Roman" w:hAnsi="Times New Roman"/>
          <w:sz w:val="14"/>
          <w:szCs w:val="14"/>
          <w:color w:val="auto"/>
        </w:rPr>
        <w:t>AYDEN</w:t>
      </w:r>
      <w:r>
        <w:rPr>
          <w:rFonts w:ascii="Times New Roman" w:cs="Times New Roman" w:eastAsia="Times New Roman" w:hAnsi="Times New Roman"/>
          <w:sz w:val="17"/>
          <w:szCs w:val="17"/>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March 31, 2015,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5"/>
          <w:szCs w:val="15"/>
          <w:color w:val="auto"/>
        </w:rPr>
        <w:t>ROBERT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FRIST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2015</w:t>
      </w:r>
    </w:p>
    <w:p>
      <w:pPr>
        <w:sectPr>
          <w:pgSz w:w="11900" w:h="16838" w:orient="portrait"/>
          <w:cols w:equalWidth="0" w:num="1">
            <w:col w:w="11420"/>
          </w:cols>
          <w:pgMar w:left="240"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March 31, 2015,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2019-12-29T17:04:29Z</dcterms:created>
  <dcterms:modified xsi:type="dcterms:W3CDTF">2019-12-29T17:04:29Z</dcterms:modified>
</cp:coreProperties>
</file>