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hstm20211231_10k.htm"/>
      <w:bookmarkStart w:id="1" w:name="kshstm20211231_10k"/>
      <w:bookmarkEnd w:id="0"/>
      <w:bookmarkEnd w:id="1"/>
      <w:r>
        <w:rPr/>
        <w:t xml:space="preserve">  </w:t>
      </w:r>
    </w:p>
    <w:p>
      <w:pPr>
        <w:pStyle w:val="TextBody"/>
        <w:spacing w:before="0" w:after="0"/>
        <w:ind w:left="0" w:right="0" w:hanging="0"/>
        <w:rPr/>
      </w:pPr>
      <w:hyperlink w:anchor="toc">
        <w:r>
          <w:rPr>
            <w:rStyle w:val="InternetLink"/>
            <w:rFonts w:ascii="Times New Roman" w:hAnsi="Times New Roman"/>
            <w:caps w:val="false"/>
            <w:smallCaps w:val="false"/>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10-K</w:t>
      </w:r>
    </w:p>
    <w:p>
      <w:pPr>
        <w:pStyle w:val="TextBody"/>
        <w:spacing w:before="0" w:after="0"/>
        <w:ind w:left="0" w:right="0" w:hanging="0"/>
        <w:rPr>
          <w:caps w:val="false"/>
          <w:smallCaps w:val="false"/>
        </w:rPr>
      </w:pPr>
      <w:r>
        <w:rPr>
          <w:caps w:val="false"/>
          <w:smallCaps w:val="false"/>
        </w:rPr>
        <w:t> </w:t>
      </w:r>
    </w:p>
    <w:tbl>
      <w:tblPr>
        <w:tblW w:w="9685" w:type="dxa"/>
        <w:jc w:val="left"/>
        <w:tblInd w:w="0" w:type="dxa"/>
        <w:tblCellMar>
          <w:top w:w="0" w:type="dxa"/>
          <w:left w:w="0" w:type="dxa"/>
          <w:bottom w:w="0" w:type="dxa"/>
          <w:right w:w="0" w:type="dxa"/>
        </w:tblCellMar>
      </w:tblPr>
      <w:tblGrid>
        <w:gridCol w:w="230"/>
        <w:gridCol w:w="9455"/>
      </w:tblGrid>
      <w:tr>
        <w:trPr/>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45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ANNUAL REPORT PURSUANT TO SECTION 13 OR 15(d) OF THE SECURITIES EXCHANGE ACT OF 1934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FISCAL YEAR ENDED </w:t>
      </w:r>
      <w:r>
        <w:rPr>
          <w:rFonts w:ascii="Times New Roman" w:hAnsi="Times New Roman"/>
          <w:b/>
          <w:caps/>
          <w:sz w:val="20"/>
        </w:rPr>
        <w:t>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spacing w:before="0" w:after="0"/>
        <w:ind w:left="0" w:right="0" w:hanging="0"/>
        <w:rPr>
          <w:caps w:val="false"/>
          <w:smallCaps w:val="false"/>
        </w:rPr>
      </w:pPr>
      <w:r>
        <w:rPr>
          <w:caps w:val="false"/>
          <w:smallCaps w:val="false"/>
        </w:rPr>
        <w:t> </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860"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000-27701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HEALTHSTREAM, INC.</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6145" w:type="dxa"/>
        <w:jc w:val="left"/>
        <w:tblInd w:w="0" w:type="dxa"/>
        <w:tblCellMar>
          <w:top w:w="0" w:type="dxa"/>
          <w:left w:w="0" w:type="dxa"/>
          <w:bottom w:w="0" w:type="dxa"/>
          <w:right w:w="0" w:type="dxa"/>
        </w:tblCellMar>
      </w:tblPr>
      <w:tblGrid>
        <w:gridCol w:w="3200"/>
        <w:gridCol w:w="60"/>
        <w:gridCol w:w="2885"/>
      </w:tblGrid>
      <w:tr>
        <w:trPr/>
        <w:tc>
          <w:tcPr>
            <w:tcW w:w="320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Tennessee</w:t>
            </w:r>
          </w:p>
        </w:tc>
        <w:tc>
          <w:tcPr>
            <w:tcW w:w="6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62-1443555</w:t>
            </w:r>
          </w:p>
        </w:tc>
      </w:tr>
      <w:tr>
        <w:trPr/>
        <w:tc>
          <w:tcPr>
            <w:tcW w:w="3200" w:type="dxa"/>
            <w:tcBorders/>
            <w:shd w:fill="auto" w:val="clear"/>
            <w:vAlign w:val="center"/>
          </w:tcPr>
          <w:p>
            <w:pPr>
              <w:pStyle w:val="TableContents"/>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(State or other jurisdiction of</w:t>
            </w:r>
          </w:p>
        </w:tc>
        <w:tc>
          <w:tcPr>
            <w:tcW w:w="6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(I.R.S. Employer Identification No.)</w:t>
            </w:r>
          </w:p>
        </w:tc>
      </w:tr>
      <w:tr>
        <w:trPr/>
        <w:tc>
          <w:tcPr>
            <w:tcW w:w="3200" w:type="dxa"/>
            <w:tcBorders/>
            <w:shd w:fill="auto" w:val="clear"/>
            <w:vAlign w:val="center"/>
          </w:tcPr>
          <w:p>
            <w:pPr>
              <w:pStyle w:val="TableContents"/>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incorporation or organization)</w:t>
            </w:r>
          </w:p>
        </w:tc>
        <w:tc>
          <w:tcPr>
            <w:tcW w:w="6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283"/>
              <w:rPr/>
            </w:pPr>
            <w:r>
              <w:rPr/>
              <w:t> </w:t>
            </w:r>
          </w:p>
        </w:tc>
      </w:tr>
      <w:tr>
        <w:trPr/>
        <w:tc>
          <w:tcPr>
            <w:tcW w:w="32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283"/>
              <w:rPr/>
            </w:pPr>
            <w:r>
              <w:rPr/>
              <w:t> </w:t>
            </w:r>
          </w:p>
        </w:tc>
      </w:tr>
      <w:tr>
        <w:trPr/>
        <w:tc>
          <w:tcPr>
            <w:tcW w:w="320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500 11th Avenue North, Suite 1000</w:t>
            </w:r>
          </w:p>
        </w:tc>
        <w:tc>
          <w:tcPr>
            <w:tcW w:w="6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37203</w:t>
            </w:r>
          </w:p>
        </w:tc>
      </w:tr>
      <w:tr>
        <w:trPr/>
        <w:tc>
          <w:tcPr>
            <w:tcW w:w="320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Nashville, Tennessee</w:t>
            </w:r>
          </w:p>
        </w:tc>
        <w:tc>
          <w:tcPr>
            <w:tcW w:w="6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(Zip Code)</w:t>
            </w:r>
          </w:p>
        </w:tc>
      </w:tr>
      <w:tr>
        <w:trPr/>
        <w:tc>
          <w:tcPr>
            <w:tcW w:w="3200" w:type="dxa"/>
            <w:tcBorders/>
            <w:shd w:fill="auto" w:val="clear"/>
            <w:vAlign w:val="center"/>
          </w:tcPr>
          <w:p>
            <w:pPr>
              <w:pStyle w:val="TableContents"/>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tc>
        <w:tc>
          <w:tcPr>
            <w:tcW w:w="6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(615) 301-3100</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040" w:type="dxa"/>
        <w:jc w:val="left"/>
        <w:tblInd w:w="0" w:type="dxa"/>
        <w:tblCellMar>
          <w:top w:w="0" w:type="dxa"/>
          <w:left w:w="0" w:type="dxa"/>
          <w:bottom w:w="0" w:type="dxa"/>
          <w:right w:w="0" w:type="dxa"/>
        </w:tblCellMar>
      </w:tblPr>
      <w:tblGrid>
        <w:gridCol w:w="2735"/>
        <w:gridCol w:w="1610"/>
        <w:gridCol w:w="3695"/>
      </w:tblGrid>
      <w:tr>
        <w:trPr/>
        <w:tc>
          <w:tcPr>
            <w:tcW w:w="2735" w:type="dxa"/>
            <w:tcBorders/>
            <w:shd w:fill="auto" w:val="clear"/>
            <w:vAlign w:val="center"/>
          </w:tcPr>
          <w:p>
            <w:pPr>
              <w:pStyle w:val="TableContents"/>
              <w:spacing w:before="0" w:after="283"/>
              <w:rPr/>
            </w:pPr>
            <w:r>
              <w:rPr/>
              <w:t> </w:t>
            </w:r>
          </w:p>
        </w:tc>
        <w:tc>
          <w:tcPr>
            <w:tcW w:w="161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283"/>
              <w:rPr/>
            </w:pPr>
            <w:r>
              <w:rPr/>
              <w:t> </w:t>
            </w:r>
          </w:p>
        </w:tc>
      </w:tr>
      <w:tr>
        <w:trPr/>
        <w:tc>
          <w:tcPr>
            <w:tcW w:w="27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16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369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w:t>
      </w:r>
      <w:r>
        <w:rPr>
          <w:rFonts w:ascii="Times New Roman" w:hAnsi="Times New Roman"/>
          <w:caps w:val="false"/>
          <w:smallCaps w:val="false"/>
          <w:sz w:val="20"/>
        </w:rPr>
        <w:t> </w:t>
      </w:r>
      <w:r>
        <w:rPr>
          <w:rFonts w:ascii="Times New Roman" w:hAnsi="Times New Roman"/>
          <w:b/>
          <w:caps w:val="false"/>
          <w:smallCaps w:val="false"/>
          <w:sz w:val="20"/>
        </w:rPr>
        <w:t>12(g) Of The Act: 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of 15(d) of the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8450" w:type="dxa"/>
        <w:jc w:val="left"/>
        <w:tblInd w:w="0" w:type="dxa"/>
        <w:tblCellMar>
          <w:top w:w="0" w:type="dxa"/>
          <w:left w:w="0" w:type="dxa"/>
          <w:bottom w:w="0" w:type="dxa"/>
          <w:right w:w="0" w:type="dxa"/>
        </w:tblCellMar>
      </w:tblPr>
      <w:tblGrid>
        <w:gridCol w:w="2465"/>
        <w:gridCol w:w="1580"/>
        <w:gridCol w:w="1940"/>
        <w:gridCol w:w="2465"/>
      </w:tblGrid>
      <w:tr>
        <w:trPr/>
        <w:tc>
          <w:tcPr>
            <w:tcW w:w="246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Large accelerated filer ☒</w:t>
            </w:r>
          </w:p>
        </w:tc>
        <w:tc>
          <w:tcPr>
            <w:tcW w:w="158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Accelerated filer ☐</w:t>
            </w:r>
          </w:p>
        </w:tc>
        <w:tc>
          <w:tcPr>
            <w:tcW w:w="194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Non-accelerated filer ☐</w:t>
            </w:r>
          </w:p>
        </w:tc>
        <w:tc>
          <w:tcPr>
            <w:tcW w:w="246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Smaller reporting company ☐</w:t>
            </w:r>
          </w:p>
        </w:tc>
      </w:tr>
      <w:tr>
        <w:trPr/>
        <w:tc>
          <w:tcPr>
            <w:tcW w:w="2465" w:type="dxa"/>
            <w:tcBorders/>
            <w:shd w:fill="auto" w:val="clear"/>
            <w:vAlign w:val="center"/>
          </w:tcPr>
          <w:p>
            <w:pPr>
              <w:pStyle w:val="TableContents"/>
              <w:spacing w:before="0" w:after="283"/>
              <w:rPr/>
            </w:pPr>
            <w:r>
              <w:rPr/>
              <w:t> </w:t>
            </w:r>
          </w:p>
        </w:tc>
        <w:tc>
          <w:tcPr>
            <w:tcW w:w="158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283"/>
              <w:rPr/>
            </w:pPr>
            <w:r>
              <w:rPr/>
              <w:t> </w:t>
            </w:r>
          </w:p>
        </w:tc>
      </w:tr>
      <w:tr>
        <w:trPr/>
        <w:tc>
          <w:tcPr>
            <w:tcW w:w="246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Emerging growth company ☐</w:t>
            </w:r>
          </w:p>
        </w:tc>
        <w:tc>
          <w:tcPr>
            <w:tcW w:w="158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aggregate market value of the Common Stock issued and outstanding and held by non-affiliates of the Registrant, based upon the closing sales price for the Common Stock on the Nasdaq Global Select Market on June 30, 2021 was $700.7 million. All executive officers and directors of the registrant have been deemed, solely for the purpose of the foregoing calculation, to be “affiliates” of the registrant.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February 21, 2022, there were 30,937,048 shares of the Registrant’s common stock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Portions of the Registrant’s definitive Proxy Statement for its 2022 Annual Meeting of Shareholders are incorporated by reference into Part III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ANNUAL REPORT ON FORM 10-K</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42"/>
        <w:gridCol w:w="60"/>
        <w:gridCol w:w="8802"/>
        <w:gridCol w:w="60"/>
        <w:gridCol w:w="441"/>
      </w:tblGrid>
      <w:tr>
        <w:trPr/>
        <w:tc>
          <w:tcPr>
            <w:tcW w:w="84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pPr>
            <w:r>
              <w:rPr/>
              <w:t> </w:t>
            </w:r>
          </w:p>
        </w:tc>
      </w:tr>
      <w:tr>
        <w:trPr/>
        <w:tc>
          <w:tcPr>
            <w:tcW w:w="84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42" w:type="dxa"/>
            <w:tcBorders/>
            <w:shd w:fill="auto" w:val="clear"/>
            <w:vAlign w:val="center"/>
          </w:tcPr>
          <w:p>
            <w:pPr>
              <w:pStyle w:val="TableContents"/>
              <w:spacing w:before="0" w:after="0"/>
              <w:ind w:left="0" w:right="0" w:hanging="0"/>
              <w:rPr/>
            </w:pPr>
            <w:hyperlink w:anchor="p1">
              <w:r>
                <w:rPr>
                  <w:rStyle w:val="InternetLink"/>
                  <w:rFonts w:ascii="Times New Roman" w:hAnsi="Times New Roman"/>
                  <w:caps w:val="false"/>
                  <w:smallCaps w:val="false"/>
                  <w:sz w:val="20"/>
                </w:rPr>
                <w:t>PART I</w:t>
              </w:r>
            </w:hyperlink>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pPr>
            <w:r>
              <w:rPr/>
              <w:t> </w:t>
            </w:r>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1.</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1">
              <w:r>
                <w:rPr>
                  <w:rStyle w:val="InternetLink"/>
                  <w:rFonts w:ascii="Times New Roman" w:hAnsi="Times New Roman"/>
                  <w:caps w:val="false"/>
                  <w:smallCaps w:val="false"/>
                  <w:sz w:val="20"/>
                </w:rPr>
                <w:t>Business.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1">
              <w:r>
                <w:rPr>
                  <w:rStyle w:val="InternetLink"/>
                  <w:rFonts w:ascii="Times New Roman" w:hAnsi="Times New Roman"/>
                  <w:caps w:val="false"/>
                  <w:smallCaps w:val="false"/>
                  <w:sz w:val="20"/>
                </w:rPr>
                <w:t>1</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1A.</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1A">
              <w:r>
                <w:rPr>
                  <w:rStyle w:val="InternetLink"/>
                  <w:rFonts w:ascii="Times New Roman" w:hAnsi="Times New Roman"/>
                  <w:caps w:val="false"/>
                  <w:smallCaps w:val="false"/>
                  <w:sz w:val="20"/>
                </w:rPr>
                <w:t>Risk Factors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1A">
              <w:r>
                <w:rPr>
                  <w:rStyle w:val="InternetLink"/>
                  <w:rFonts w:ascii="Times New Roman" w:hAnsi="Times New Roman"/>
                  <w:caps w:val="false"/>
                  <w:smallCaps w:val="false"/>
                  <w:sz w:val="20"/>
                </w:rPr>
                <w:t>11</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1B.</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1B">
              <w:r>
                <w:rPr>
                  <w:rStyle w:val="InternetLink"/>
                  <w:rFonts w:ascii="Times New Roman" w:hAnsi="Times New Roman"/>
                  <w:caps w:val="false"/>
                  <w:smallCaps w:val="false"/>
                  <w:sz w:val="20"/>
                </w:rPr>
                <w:t>Unresolved Staff Comments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1B">
              <w:r>
                <w:rPr>
                  <w:rStyle w:val="InternetLink"/>
                  <w:rFonts w:ascii="Times New Roman" w:hAnsi="Times New Roman"/>
                  <w:caps w:val="false"/>
                  <w:smallCaps w:val="false"/>
                  <w:sz w:val="20"/>
                </w:rPr>
                <w:t>25</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2.</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2">
              <w:r>
                <w:rPr>
                  <w:rStyle w:val="InternetLink"/>
                  <w:rFonts w:ascii="Times New Roman" w:hAnsi="Times New Roman"/>
                  <w:caps w:val="false"/>
                  <w:smallCaps w:val="false"/>
                  <w:sz w:val="20"/>
                </w:rPr>
                <w:t>Properties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2">
              <w:r>
                <w:rPr>
                  <w:rStyle w:val="InternetLink"/>
                  <w:rFonts w:ascii="Times New Roman" w:hAnsi="Times New Roman"/>
                  <w:caps w:val="false"/>
                  <w:smallCaps w:val="false"/>
                  <w:sz w:val="20"/>
                </w:rPr>
                <w:t>25</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3.</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3">
              <w:r>
                <w:rPr>
                  <w:rStyle w:val="InternetLink"/>
                  <w:rFonts w:ascii="Times New Roman" w:hAnsi="Times New Roman"/>
                  <w:caps w:val="false"/>
                  <w:smallCaps w:val="false"/>
                  <w:sz w:val="20"/>
                </w:rPr>
                <w:t>Legal Proceedings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3">
              <w:r>
                <w:rPr>
                  <w:rStyle w:val="InternetLink"/>
                  <w:rFonts w:ascii="Times New Roman" w:hAnsi="Times New Roman"/>
                  <w:caps w:val="false"/>
                  <w:smallCaps w:val="false"/>
                  <w:sz w:val="20"/>
                </w:rPr>
                <w:t>25</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4.</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4">
              <w:r>
                <w:rPr>
                  <w:rStyle w:val="InternetLink"/>
                  <w:rFonts w:ascii="Times New Roman" w:hAnsi="Times New Roman"/>
                  <w:caps w:val="false"/>
                  <w:smallCaps w:val="false"/>
                  <w:sz w:val="20"/>
                </w:rPr>
                <w:t>Mine Safety Disclosures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4">
              <w:r>
                <w:rPr>
                  <w:rStyle w:val="InternetLink"/>
                  <w:rFonts w:ascii="Times New Roman" w:hAnsi="Times New Roman"/>
                  <w:caps w:val="false"/>
                  <w:smallCaps w:val="false"/>
                  <w:sz w:val="20"/>
                </w:rPr>
                <w:t>25</w:t>
              </w:r>
            </w:hyperlink>
          </w:p>
        </w:tc>
      </w:tr>
      <w:tr>
        <w:trPr/>
        <w:tc>
          <w:tcPr>
            <w:tcW w:w="84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pPr>
            <w:r>
              <w:rPr/>
              <w:t> </w:t>
            </w:r>
          </w:p>
        </w:tc>
      </w:tr>
      <w:tr>
        <w:trPr/>
        <w:tc>
          <w:tcPr>
            <w:tcW w:w="842" w:type="dxa"/>
            <w:tcBorders/>
            <w:shd w:fill="auto" w:val="clear"/>
            <w:vAlign w:val="center"/>
          </w:tcPr>
          <w:p>
            <w:pPr>
              <w:pStyle w:val="TableContents"/>
              <w:spacing w:before="0" w:after="0"/>
              <w:ind w:left="0" w:right="0" w:hanging="0"/>
              <w:rPr/>
            </w:pPr>
            <w:hyperlink w:anchor="p2">
              <w:r>
                <w:rPr>
                  <w:rStyle w:val="InternetLink"/>
                  <w:rFonts w:ascii="Times New Roman" w:hAnsi="Times New Roman"/>
                  <w:caps w:val="false"/>
                  <w:smallCaps w:val="false"/>
                  <w:sz w:val="20"/>
                </w:rPr>
                <w:t>PART II</w:t>
              </w:r>
            </w:hyperlink>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pPr>
            <w:r>
              <w:rPr/>
              <w:t> </w:t>
            </w:r>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5.</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5">
              <w:r>
                <w:rPr>
                  <w:rStyle w:val="InternetLink"/>
                  <w:rFonts w:ascii="Times New Roman" w:hAnsi="Times New Roman"/>
                  <w:caps w:val="false"/>
                  <w:smallCaps w:val="false"/>
                  <w:sz w:val="20"/>
                </w:rPr>
                <w:t>Market for Registrant’s Common Equity, Related Stockholder Matters and Issuer Purchases of Equity Securities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5">
              <w:r>
                <w:rPr>
                  <w:rStyle w:val="InternetLink"/>
                  <w:rFonts w:ascii="Times New Roman" w:hAnsi="Times New Roman"/>
                  <w:caps w:val="false"/>
                  <w:smallCaps w:val="false"/>
                  <w:sz w:val="20"/>
                </w:rPr>
                <w:t>26</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6.</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6">
              <w:r>
                <w:rPr>
                  <w:rStyle w:val="InternetLink"/>
                  <w:rFonts w:ascii="Times New Roman" w:hAnsi="Times New Roman"/>
                  <w:caps w:val="false"/>
                  <w:smallCaps w:val="false"/>
                  <w:sz w:val="20"/>
                </w:rPr>
                <w:t>Reserved</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6">
              <w:r>
                <w:rPr>
                  <w:rStyle w:val="InternetLink"/>
                  <w:rFonts w:ascii="Times New Roman" w:hAnsi="Times New Roman"/>
                  <w:caps w:val="false"/>
                  <w:smallCaps w:val="false"/>
                  <w:sz w:val="20"/>
                </w:rPr>
                <w:t>28</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7.</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7">
              <w:r>
                <w:rPr>
                  <w:rStyle w:val="InternetLink"/>
                  <w:rFonts w:ascii="Times New Roman" w:hAnsi="Times New Roman"/>
                  <w:caps w:val="false"/>
                  <w:smallCaps w:val="false"/>
                  <w:sz w:val="20"/>
                </w:rPr>
                <w:t>Management’s Discussion and Analysis of Financial Condition and Results of Operations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7">
              <w:r>
                <w:rPr>
                  <w:rStyle w:val="InternetLink"/>
                  <w:rFonts w:ascii="Times New Roman" w:hAnsi="Times New Roman"/>
                  <w:caps w:val="false"/>
                  <w:smallCaps w:val="false"/>
                  <w:sz w:val="20"/>
                </w:rPr>
                <w:t>28</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7A.</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7A">
              <w:r>
                <w:rPr>
                  <w:rStyle w:val="InternetLink"/>
                  <w:rFonts w:ascii="Times New Roman" w:hAnsi="Times New Roman"/>
                  <w:caps w:val="false"/>
                  <w:smallCaps w:val="false"/>
                  <w:sz w:val="20"/>
                </w:rPr>
                <w:t>Quantitative and Qualitative Disclosures About Market Risk.</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7A">
              <w:r>
                <w:rPr>
                  <w:rStyle w:val="InternetLink"/>
                  <w:rFonts w:ascii="Times New Roman" w:hAnsi="Times New Roman"/>
                  <w:caps w:val="false"/>
                  <w:smallCaps w:val="false"/>
                  <w:sz w:val="20"/>
                </w:rPr>
                <w:t>39</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8.</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8">
              <w:r>
                <w:rPr>
                  <w:rStyle w:val="InternetLink"/>
                  <w:rFonts w:ascii="Times New Roman" w:hAnsi="Times New Roman"/>
                  <w:caps w:val="false"/>
                  <w:smallCaps w:val="false"/>
                  <w:sz w:val="20"/>
                </w:rPr>
                <w:t>Financial Statements and Supplementary Data.</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8">
              <w:r>
                <w:rPr>
                  <w:rStyle w:val="InternetLink"/>
                  <w:rFonts w:ascii="Times New Roman" w:hAnsi="Times New Roman"/>
                  <w:caps w:val="false"/>
                  <w:smallCaps w:val="false"/>
                  <w:sz w:val="20"/>
                </w:rPr>
                <w:t>40</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9.</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9">
              <w:r>
                <w:rPr>
                  <w:rStyle w:val="InternetLink"/>
                  <w:rFonts w:ascii="Times New Roman" w:hAnsi="Times New Roman"/>
                  <w:caps w:val="false"/>
                  <w:smallCaps w:val="false"/>
                  <w:sz w:val="20"/>
                </w:rPr>
                <w:t>Changes in and Disagreements with Accountants on Accounting and Financial Disclosure</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9">
              <w:r>
                <w:rPr>
                  <w:rStyle w:val="InternetLink"/>
                  <w:rFonts w:ascii="Times New Roman" w:hAnsi="Times New Roman"/>
                  <w:caps w:val="false"/>
                  <w:smallCaps w:val="false"/>
                  <w:sz w:val="20"/>
                </w:rPr>
                <w:t>69</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9A.</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9A">
              <w:r>
                <w:rPr>
                  <w:rStyle w:val="InternetLink"/>
                  <w:rFonts w:ascii="Times New Roman" w:hAnsi="Times New Roman"/>
                  <w:caps w:val="false"/>
                  <w:smallCaps w:val="false"/>
                  <w:sz w:val="20"/>
                </w:rPr>
                <w:t>Controls and Procedures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9A">
              <w:r>
                <w:rPr>
                  <w:rStyle w:val="InternetLink"/>
                  <w:rFonts w:ascii="Times New Roman" w:hAnsi="Times New Roman"/>
                  <w:caps w:val="false"/>
                  <w:smallCaps w:val="false"/>
                  <w:sz w:val="20"/>
                </w:rPr>
                <w:t>69</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9B.</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9B">
              <w:r>
                <w:rPr>
                  <w:rStyle w:val="InternetLink"/>
                  <w:rFonts w:ascii="Times New Roman" w:hAnsi="Times New Roman"/>
                  <w:caps w:val="false"/>
                  <w:smallCaps w:val="false"/>
                  <w:sz w:val="20"/>
                </w:rPr>
                <w:t>Other Information</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9B">
              <w:r>
                <w:rPr>
                  <w:rStyle w:val="InternetLink"/>
                  <w:rFonts w:ascii="Times New Roman" w:hAnsi="Times New Roman"/>
                  <w:caps w:val="false"/>
                  <w:smallCaps w:val="false"/>
                  <w:sz w:val="20"/>
                </w:rPr>
                <w:t>70</w:t>
              </w:r>
            </w:hyperlink>
          </w:p>
        </w:tc>
      </w:tr>
      <w:tr>
        <w:trPr/>
        <w:tc>
          <w:tcPr>
            <w:tcW w:w="842" w:type="dxa"/>
            <w:tcBorders/>
            <w:shd w:fill="auto" w:val="clear"/>
            <w:vAlign w:val="center"/>
          </w:tcPr>
          <w:p>
            <w:pPr>
              <w:pStyle w:val="TableContents"/>
              <w:spacing w:before="0" w:after="283"/>
              <w:rPr/>
            </w:pPr>
            <w:r>
              <w:rPr/>
              <w:t>Item 9C.</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283"/>
              <w:rPr/>
            </w:pPr>
            <w:hyperlink w:anchor="i9B">
              <w:r>
                <w:rPr>
                  <w:rStyle w:val="InternetLink"/>
                </w:rPr>
                <w:t>Disclosure Regarding Foreign Jurisdictions that Prevent Inspections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jc w:val="right"/>
              <w:rPr/>
            </w:pPr>
            <w:hyperlink w:anchor="i9B">
              <w:r>
                <w:rPr>
                  <w:rStyle w:val="InternetLink"/>
                </w:rPr>
                <w:t>70</w:t>
              </w:r>
            </w:hyperlink>
          </w:p>
        </w:tc>
      </w:tr>
      <w:tr>
        <w:trPr/>
        <w:tc>
          <w:tcPr>
            <w:tcW w:w="84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pPr>
            <w:r>
              <w:rPr/>
              <w:t> </w:t>
            </w:r>
          </w:p>
        </w:tc>
      </w:tr>
      <w:tr>
        <w:trPr/>
        <w:tc>
          <w:tcPr>
            <w:tcW w:w="842" w:type="dxa"/>
            <w:tcBorders/>
            <w:shd w:fill="auto" w:val="clear"/>
            <w:vAlign w:val="center"/>
          </w:tcPr>
          <w:p>
            <w:pPr>
              <w:pStyle w:val="TableContents"/>
              <w:spacing w:before="0" w:after="0"/>
              <w:ind w:left="0" w:right="0" w:hanging="0"/>
              <w:rPr/>
            </w:pPr>
            <w:hyperlink w:anchor="p3">
              <w:r>
                <w:rPr>
                  <w:rStyle w:val="InternetLink"/>
                  <w:rFonts w:ascii="Times New Roman" w:hAnsi="Times New Roman"/>
                  <w:caps w:val="false"/>
                  <w:smallCaps w:val="false"/>
                  <w:sz w:val="20"/>
                </w:rPr>
                <w:t>PART III</w:t>
              </w:r>
            </w:hyperlink>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pPr>
            <w:r>
              <w:rPr/>
              <w:t> </w:t>
            </w:r>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10.</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10">
              <w:r>
                <w:rPr>
                  <w:rStyle w:val="InternetLink"/>
                  <w:rFonts w:ascii="Times New Roman" w:hAnsi="Times New Roman"/>
                  <w:caps w:val="false"/>
                  <w:smallCaps w:val="false"/>
                  <w:sz w:val="20"/>
                </w:rPr>
                <w:t>Directors, Executive Officers and Corporate Governance</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10">
              <w:r>
                <w:rPr>
                  <w:rStyle w:val="InternetLink"/>
                  <w:rFonts w:ascii="Times New Roman" w:hAnsi="Times New Roman"/>
                  <w:caps w:val="false"/>
                  <w:smallCaps w:val="false"/>
                  <w:sz w:val="20"/>
                </w:rPr>
                <w:t>71</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11.</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11">
              <w:r>
                <w:rPr>
                  <w:rStyle w:val="InternetLink"/>
                  <w:rFonts w:ascii="Times New Roman" w:hAnsi="Times New Roman"/>
                  <w:caps w:val="false"/>
                  <w:smallCaps w:val="false"/>
                  <w:sz w:val="20"/>
                </w:rPr>
                <w:t>Executive Compensation</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11">
              <w:r>
                <w:rPr>
                  <w:rStyle w:val="InternetLink"/>
                  <w:rFonts w:ascii="Times New Roman" w:hAnsi="Times New Roman"/>
                  <w:caps w:val="false"/>
                  <w:smallCaps w:val="false"/>
                  <w:sz w:val="20"/>
                </w:rPr>
                <w:t>71</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12.</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12">
              <w:r>
                <w:rPr>
                  <w:rStyle w:val="InternetLink"/>
                  <w:rFonts w:ascii="Times New Roman" w:hAnsi="Times New Roman"/>
                  <w:caps w:val="false"/>
                  <w:smallCaps w:val="false"/>
                  <w:sz w:val="20"/>
                </w:rPr>
                <w:t>Security Ownership of Certain Beneficial Owners and Management and Related Stockholder Matters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12">
              <w:r>
                <w:rPr>
                  <w:rStyle w:val="InternetLink"/>
                  <w:rFonts w:ascii="Times New Roman" w:hAnsi="Times New Roman"/>
                  <w:caps w:val="false"/>
                  <w:smallCaps w:val="false"/>
                  <w:sz w:val="20"/>
                </w:rPr>
                <w:t>71</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13.</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13">
              <w:r>
                <w:rPr>
                  <w:rStyle w:val="InternetLink"/>
                  <w:rFonts w:ascii="Times New Roman" w:hAnsi="Times New Roman"/>
                  <w:caps w:val="false"/>
                  <w:smallCaps w:val="false"/>
                  <w:sz w:val="20"/>
                </w:rPr>
                <w:t>Certain Relationships and Related Transactions, and Director Independence</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13">
              <w:r>
                <w:rPr>
                  <w:rStyle w:val="InternetLink"/>
                  <w:rFonts w:ascii="Times New Roman" w:hAnsi="Times New Roman"/>
                  <w:caps w:val="false"/>
                  <w:smallCaps w:val="false"/>
                  <w:sz w:val="20"/>
                </w:rPr>
                <w:t>71</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14.</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14">
              <w:r>
                <w:rPr>
                  <w:rStyle w:val="InternetLink"/>
                  <w:rFonts w:ascii="Times New Roman" w:hAnsi="Times New Roman"/>
                  <w:caps w:val="false"/>
                  <w:smallCaps w:val="false"/>
                  <w:sz w:val="20"/>
                </w:rPr>
                <w:t>Principal Accounting Fees and Services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14">
              <w:r>
                <w:rPr>
                  <w:rStyle w:val="InternetLink"/>
                  <w:rFonts w:ascii="Times New Roman" w:hAnsi="Times New Roman"/>
                  <w:caps w:val="false"/>
                  <w:smallCaps w:val="false"/>
                  <w:sz w:val="20"/>
                </w:rPr>
                <w:t>71</w:t>
              </w:r>
            </w:hyperlink>
          </w:p>
        </w:tc>
      </w:tr>
      <w:tr>
        <w:trPr/>
        <w:tc>
          <w:tcPr>
            <w:tcW w:w="84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pPr>
            <w:r>
              <w:rPr/>
              <w:t> </w:t>
            </w:r>
          </w:p>
        </w:tc>
      </w:tr>
      <w:tr>
        <w:trPr/>
        <w:tc>
          <w:tcPr>
            <w:tcW w:w="842" w:type="dxa"/>
            <w:tcBorders/>
            <w:shd w:fill="auto" w:val="clear"/>
            <w:vAlign w:val="center"/>
          </w:tcPr>
          <w:p>
            <w:pPr>
              <w:pStyle w:val="TableContents"/>
              <w:spacing w:before="0" w:after="0"/>
              <w:ind w:left="0" w:right="0" w:hanging="0"/>
              <w:rPr/>
            </w:pPr>
            <w:hyperlink w:anchor="p4">
              <w:r>
                <w:rPr>
                  <w:rStyle w:val="InternetLink"/>
                  <w:rFonts w:ascii="Times New Roman" w:hAnsi="Times New Roman"/>
                  <w:caps w:val="false"/>
                  <w:smallCaps w:val="false"/>
                  <w:sz w:val="20"/>
                </w:rPr>
                <w:t>PART IV</w:t>
              </w:r>
            </w:hyperlink>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283"/>
              <w:rPr/>
            </w:pPr>
            <w:r>
              <w:rPr/>
              <w:t> </w:t>
            </w:r>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15.</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15">
              <w:r>
                <w:rPr>
                  <w:rStyle w:val="InternetLink"/>
                  <w:rFonts w:ascii="Times New Roman" w:hAnsi="Times New Roman"/>
                  <w:caps w:val="false"/>
                  <w:smallCaps w:val="false"/>
                  <w:sz w:val="20"/>
                </w:rPr>
                <w:t>Exhibits, Financial Statement Schedules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15">
              <w:r>
                <w:rPr>
                  <w:rStyle w:val="InternetLink"/>
                  <w:rFonts w:ascii="Times New Roman" w:hAnsi="Times New Roman"/>
                  <w:caps w:val="false"/>
                  <w:smallCaps w:val="false"/>
                  <w:sz w:val="20"/>
                </w:rPr>
                <w:t>72</w:t>
              </w:r>
            </w:hyperlink>
          </w:p>
        </w:tc>
      </w:tr>
      <w:tr>
        <w:trPr/>
        <w:tc>
          <w:tcPr>
            <w:tcW w:w="8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Item 16.</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i16">
              <w:r>
                <w:rPr>
                  <w:rStyle w:val="InternetLink"/>
                  <w:rFonts w:ascii="Times New Roman" w:hAnsi="Times New Roman"/>
                  <w:caps w:val="false"/>
                  <w:smallCaps w:val="false"/>
                  <w:sz w:val="20"/>
                </w:rPr>
                <w:t>Form 10-K Summary</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i16">
              <w:r>
                <w:rPr>
                  <w:rStyle w:val="InternetLink"/>
                  <w:rFonts w:ascii="Times New Roman" w:hAnsi="Times New Roman"/>
                  <w:caps w:val="false"/>
                  <w:smallCaps w:val="false"/>
                  <w:sz w:val="20"/>
                </w:rPr>
                <w:t>73</w:t>
              </w:r>
            </w:hyperlink>
          </w:p>
        </w:tc>
      </w:tr>
      <w:tr>
        <w:trPr/>
        <w:tc>
          <w:tcPr>
            <w:tcW w:w="84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02" w:type="dxa"/>
            <w:tcBorders/>
            <w:shd w:fill="auto" w:val="clear"/>
            <w:vAlign w:val="center"/>
          </w:tcPr>
          <w:p>
            <w:pPr>
              <w:pStyle w:val="TableContents"/>
              <w:spacing w:before="0" w:after="0"/>
              <w:ind w:left="0" w:right="0" w:hanging="0"/>
              <w:rPr/>
            </w:pPr>
            <w:hyperlink w:anchor="sigs">
              <w:r>
                <w:rPr>
                  <w:rStyle w:val="InternetLink"/>
                  <w:rFonts w:ascii="Times New Roman" w:hAnsi="Times New Roman"/>
                  <w:caps w:val="false"/>
                  <w:smallCaps w:val="false"/>
                  <w:sz w:val="20"/>
                </w:rPr>
                <w:t>Signatures</w:t>
              </w:r>
            </w:hyperlink>
          </w:p>
        </w:tc>
        <w:tc>
          <w:tcPr>
            <w:tcW w:w="60" w:type="dxa"/>
            <w:tcBorders/>
            <w:shd w:fill="auto" w:val="clear"/>
            <w:vAlign w:val="center"/>
          </w:tcPr>
          <w:p>
            <w:pPr>
              <w:pStyle w:val="TableContents"/>
              <w:spacing w:before="0" w:after="283"/>
              <w:rPr/>
            </w:pPr>
            <w:r>
              <w:rPr/>
              <w:t> </w:t>
            </w:r>
          </w:p>
        </w:tc>
        <w:tc>
          <w:tcPr>
            <w:tcW w:w="441" w:type="dxa"/>
            <w:tcBorders/>
            <w:shd w:fill="auto" w:val="clear"/>
            <w:vAlign w:val="center"/>
          </w:tcPr>
          <w:p>
            <w:pPr>
              <w:pStyle w:val="TableContents"/>
              <w:spacing w:before="0" w:after="0"/>
              <w:ind w:left="0" w:right="0" w:hanging="0"/>
              <w:jc w:val="right"/>
              <w:rPr/>
            </w:pPr>
            <w:hyperlink w:anchor="sigs">
              <w:r>
                <w:rPr>
                  <w:rStyle w:val="InternetLink"/>
                  <w:rFonts w:ascii="Times New Roman" w:hAnsi="Times New Roman"/>
                  <w:caps w:val="false"/>
                  <w:smallCaps w:val="false"/>
                  <w:sz w:val="20"/>
                </w:rPr>
                <w:t>74</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center"/>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3" w:name="p1"/>
      <w:bookmarkEnd w:id="3"/>
      <w:r>
        <w:rPr>
          <w:rFonts w:ascii="Times New Roman;Times;serif" w:hAnsi="Times New Roman;Times;serif"/>
          <w:b/>
          <w:sz w:val="20"/>
        </w:rPr>
        <w:t>PART 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Annual Report on Form 10-K contains forward-looking statements within the meaning of Section 27A of the Securities Act of 1933, Section 21E of the Securities Exchange Act of 1934, and the Private Securities Litigation Reform Act of 1995. Such forward-looking statements include, among others, those statements including the words “expects,” “anticipates,” “intends,” “believes,” “may,” “will,” “should,” “continue,” and similar language or the negative of such terms or other comparable terminology. Forward-looking statements involve known and unknown risks, uncertainties, and other factors that may cause our actual results, performance, or achievements to be materially different from future results, performance, or achievements expressed or implied by the forward-looking statements included herein. Factors that might cause or contribute to such differences include, but are not limited to, those discussed in the section Risk Factors in Item 1A of this Annual Report on Form 10-K and elsewhere in this document. In addition, factors that we are not currently aware of, or that we currently deem immaterial,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to reflect future events or circumstances after the date of this document.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4" w:name="i1"/>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i/>
          <w:caps w:val="false"/>
          <w:smallCaps w:val="false"/>
          <w:sz w:val="20"/>
        </w:rPr>
        <w:t>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 AND HISTORY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focus is and has always been on improving the quality of healthcare through the development of the dedicated professionals who deliver care. We helped originally introduce online learning to hospitals, which began with courses specifically tailored to educate healthcare professionals and meet hospitals' required regulatory needs, and we remain a leading innovator in those areas today. Since our inception, the scope of HealthStream’s Software-as-a-Service (SaaS) solutions has expanded well beyond our governance, risk, and compliance (GRC) offerings to include a diverse ecosystem of applications that optimize and support the healthcare workforce.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healthcare organizations—our primary customers—HealthStream’s solutions help to effectively onboard, retain, engage, educate, manage, and develop workforce talent; meet rigorous GRC requirements; optimize staff scheduling and capacity management; and automate the management of medical staff credentialing, privileging, and enrollment.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healthcare professionals—our primary end users—HealthStream’s solutions help them to professionally develop their knowledge and skills, manage and fulfill their required continuing education and certifications, manage their schedules, including swapping and filling shifts, engage with peers, provide personalized competency development, and optimize their career pathways.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both healthcare organizations and healthcare professionals, HealthStream’s solutions are generally accessed through SaaS application suites that are increasingly enhanced through our emerging hStream technology platform. Our learning and development, credentialing and privileging, and scheduling and capacity management application suites are designed to help solve the most critical problems facing the healthcare workforce today. They accomplish this by utilizing a combination of established and cutting-edge technologies, such as initiative and workflow management capabilities; proprietary taxonomy engines; dynamic engagement models; artificial intelligence (AI) driven clinical assessments; virtual reality (VR), augmented reality (AR), and physical based simulations; healthcare-specific benchmarks; and automated license monitoring and validation.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Times;serif" w:hAnsi="Times New Roman;Times;serif"/>
          <w:caps w:val="false"/>
          <w:smallCaps w:val="false"/>
          <w:sz w:val="20"/>
        </w:rPr>
        <w:t>HealthStream’s success in offering the largest, most diverse ecosystem of workforce solutions in healthcare has made it a thought leader and barometer of innovation for the industry. From its roots in pioneering online learning for healthcare organizations to the Company's more recent release of</w:t>
      </w:r>
      <w:r>
        <w:rPr>
          <w:rFonts w:ascii="Times New Roman" w:hAnsi="Times New Roman"/>
          <w:caps w:val="false"/>
          <w:smallCaps w:val="false"/>
          <w:sz w:val="20"/>
        </w:rPr>
        <w:t> "Jane," </w:t>
      </w:r>
      <w:r>
        <w:rPr>
          <w:rFonts w:ascii="Times New Roman;Times;serif" w:hAnsi="Times New Roman;Times;serif"/>
          <w:caps w:val="false"/>
          <w:smallCaps w:val="false"/>
          <w:sz w:val="20"/>
        </w:rPr>
        <w:t>the first AI-driven clinical assessment application, HealthStream continues to believe that the key to quality patient care lies in the people who deliver care. To that end, every solution that HealthStream offers is intended to support the Company's vision "to improve the quality of healthcare by developing the people who deliver care."</w:t>
      </w:r>
    </w:p>
    <w:p>
      <w:pPr>
        <w:pStyle w:val="TextBody"/>
        <w:spacing w:before="0" w:after="0"/>
        <w:jc w:val="both"/>
        <w:rPr/>
      </w:pPr>
      <w:r>
        <w:rPr/>
        <w:t xml:space="preserve">  </w:t>
      </w:r>
    </w:p>
    <w:p>
      <w:pPr>
        <w:pStyle w:val="TextBody"/>
        <w:jc w:val="both"/>
        <w:rPr>
          <w:rFonts w:ascii="Times New Roman" w:hAnsi="Times New Roman"/>
          <w:sz w:val="20"/>
        </w:rPr>
      </w:pPr>
      <w:r>
        <w:rPr>
          <w:rFonts w:ascii="Times New Roman" w:hAnsi="Times New Roman"/>
          <w:sz w:val="20"/>
        </w:rPr>
        <w:t xml:space="preserve">The Company was incorporated in 1990. It began providing its SaaS-based workforce solutions in 1999, its provider solutions in 2012, and launched the hStream technology platform in 2018. HealthStream is headquartered in Nashville, Tennessee and had 1,074 full-time and 27 part-time employees as of December 31, 2021.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INDUSTRY BACKGROUND</w:t>
      </w:r>
    </w:p>
    <w:p>
      <w:pPr>
        <w:pStyle w:val="TextBody"/>
        <w:spacing w:before="0" w:after="0"/>
        <w:ind w:left="0" w:right="0" w:hanging="0"/>
        <w:jc w:val="both"/>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According to the Centers for Medicare &amp; Medicaid Services (CMS), spending in the healthcare industry reached $4.1 trillion in 2020, or 19.7% of the U.S. gross domestic product. Hospital care expenditures in 2020 accounted for approximately 31% of the $4.1 trillion industry. The growth in national healthcare expenditures in 2020 was driven primarily by federal spending in response to the COVID-19 pandemic. According to the Bureau of Labor Statistics, as of January 2022, approximately 20.2 million professionals are employed in the healthcare segment of the domestic economy, with approximately 5.1 million employed in acute-care hospitals and, according to CMS, approximately 5.8 million employed in healthcare organizations throughout the continuum of care, the primary target markets for our products. (Organizations in the continuum of care employ approximately 2.1 million employees in ambulatory centers, approximately 2.8 million employees in post-acute care facilities, and over 0.9 million employees in health &amp; human services facilities.)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of the approximately 5.1 million hospital-based healthcare professionals that work in the nation’s approximately 6,000 inpatient hospitals that are registered with Medicare are required by federal and state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of 1996 (HIPAA).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rPr/>
      </w:pPr>
      <w:r>
        <w:rPr/>
      </w:r>
    </w:p>
    <w:p>
      <w:pPr>
        <w:pStyle w:val="TextBody"/>
        <w:jc w:val="both"/>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hospitals, staffing issues and personnel shortages have contributed to the need for more effective and efficient workflows, including scheduling and capacity management as well as credentialing and privileging. Staffing shortages have also increased the need for facility-based workforce development as well as additional assessment and competency-based training. An ongoing nursing shortage, for example, is resulting in skill gaps and rising costs. From 2020 to 2030, more than 276,800 new Registered Nurse (RN) jobs are projected to be added to the workforce, surging from approximately 3.8 million registered nurses currently employed in the U.S., according to the U.S. Bureau of Labor Statistics. We believe that offering training &amp; education and other engagement solutions for hospital personnel is increasingly being utilized as a retention and recruitment incentive.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healthcare professionals use continuing education to keep abreast of clinical and other industry developments as well as to meet licensing and certification requirements. Continuing education is required for nurses, emergency medical services personnel, first responder personnel, radiologic personnel, and physicians, among many other healthcare professionals.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healthcare education and training industry is highly fragmented, varies significantly in delivery methods (i.e., online products, live events, written materials, and technology-enabled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can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an automated method for tracking training completion. The effectiveness of these traditional methods, both from a business and compliance standpoint, is difficult to track and measure.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Provider data management has become more complex and arduous for healthcare organizations. Spurred by The Joint Commission Medical Staff standards and other regulatory requirements, credentialing and privileging has been transformed from a periodic review to a continuous, evidence-driven analysis of professional competency and provider performance. This transformation requires ongoing, automatic monitoring of licenses, sanctions, and exclusions, as well as expanding the scope of review at initial credentialing and re-credentialing. In addition, provider enrollment processes have compounded in difficulty. For example, a single provider may need to enroll annually with some 30 to 40 payers, with each payer application often taking two to four hours to complete.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hospital industry continues to operate under ongoing pressure to reduce costs as a result of actual and potential reductions in government reimbursement rates and increased focus on cost containment consistent with participation of patients in managed care programs, among other factors. In addition, many hospitals, as well as pharmaceutical and medical device companies, may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HEALTHSTREAM</w:t>
      </w:r>
      <w:r>
        <w:rPr>
          <w:rFonts w:ascii="Times New Roman" w:hAnsi="Times New Roman"/>
          <w:caps w:val="false"/>
          <w:smallCaps w:val="false"/>
          <w:sz w:val="20"/>
        </w:rPr>
        <w:t>’</w:t>
      </w:r>
      <w:r>
        <w:rPr>
          <w:rFonts w:ascii="Times New Roman" w:hAnsi="Times New Roman"/>
          <w:b/>
          <w:caps w:val="false"/>
          <w:smallCaps w:val="false"/>
          <w:sz w:val="20"/>
        </w:rPr>
        <w:t>S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2021, HealthStream’s products, services, and operations were organized and managed under two business segments—Workforce Solutions and Provider Solutions—that collectively help healthcare organizations meet their ongoing clinical development, talent management, training, education, assessment, competency management, safety and compliance, scheduling, and provider credentialing, privileging and enrollment needs. HealthStream’s solutions are provided to a wide range of customers within the healthcare industry across the continuum of care.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HealthStream Workforce Solutions</w:t>
      </w:r>
      <w:r>
        <w:rPr>
          <w:rFonts w:ascii="Times New Roman" w:hAnsi="Times New Roman"/>
          <w:caps w:val="false"/>
          <w:smallCaps w:val="false"/>
          <w:sz w:val="20"/>
        </w:rPr>
        <w:t xml:space="preserve"> — Our workforce solutions, which are comprised primarily of SaaS, subscription-based products, are used by healthcare organizations to meet a broad range of their clinical development, talent management, training, certification, engagement, scheduling, competency assessment, performance appraisal, and additional needs. Our numerous content libraries allow customers to subscribe to a wide array of courseware, which includes content from leading healthcare and nursing associations, medical and healthcare publishers, and other content providers. Additionally, medical device companies and other industry partners offer online training support through HealthStream’s platform for their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SaaS-based learning application has long been one of the most widely adopted workforce development applications in healthcare. To facilitate innovation and growth of our ecosystem, the hStream technology platform was launched in 2018 and is becoming the platform that enables activity across HealthStream's diverse ecosystem of solutions. At December 31, 2021, HealthStream had contracts with customers for approximately 5.04 million subscriptions to hStream, compared to 4.22 million subscriptions as of December 31, 2020. The transition to the hStream technology platform supports our strategic advancement toward a single, unified platform strategy and approach intended to benefit both customers and partners.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Pricing for hStream and HealthStream’s workforce applications is primarily subscription-based, with fees based on the number of subscriptions, solutions provided, and other factors. We offer implementation, training, and account management services to facilitate adoption of our subscription-based solutions. Fees for implementation services are based on the time and efforts of the personnel involved. Training fees vary based on the size, scope, and complexity of the project. Our platform and subscription-based solutions are hosted on a combination of private-cloud infrastructure and public-cloud infrastructure, leveraging Amazon Web Services and Azure, which allows authorized personnel access to our services through the Internet, thereby eliminating the need for onsite local implementations of installed workforce development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Applications on our Platform</w:t>
      </w:r>
      <w:r>
        <w:rPr>
          <w:rFonts w:ascii="Times New Roman" w:hAnsi="Times New Roman"/>
          <w:caps w:val="false"/>
          <w:smallCaps w:val="false"/>
          <w:sz w:val="20"/>
        </w:rPr>
        <w:t xml:space="preserve"> — HealthStream offers an array of other applications on our platform, each serving a unique function for healthcare customers. Each application on our platform has its own value. Examples of individual applications that are offered on our platform include applications for learning, performance appraisal, competency management, disclosure management, clinical assessment and development, simulation-based education, quality management, scheduling, and industry training.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HealthStream Provider Solutions</w:t>
      </w:r>
      <w:r>
        <w:rPr>
          <w:rFonts w:ascii="Times New Roman" w:hAnsi="Times New Roman"/>
          <w:caps w:val="false"/>
          <w:smallCaps w:val="false"/>
          <w:sz w:val="20"/>
        </w:rPr>
        <w:t xml:space="preserve"> – Our provider solutions are offered through our business segment that is branded in the marketplace as VerityStream. VerityStream delivers enterprise-class solutions to transform the healthcare provider experience for healthcare organizations and providers. We currently serve hospitals and outpatient facilities, including ambulatory surgery centers, urgent care facilities, clinics, medical groups, and other healthcare organizations.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legacy products include EchoCredentialing and MSOW, comprehensive platforms that manage medical staff credentialing, enrollment, and privileging processes for hospitals; EchoOneApp, a provider enrollment platform for medical groups; and CredentialMyDoc, a credentialing and enrollment SaaS solution for medical groups and surgery centers.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2018, we launched our SaaS-based provider credentialing, privileging, and enrollment solution branded as CredentialStream. As a SaaS-solution, CredentialStream includes an intuitive, modern user experience that delivers a continual stream of platform enhancements, evidence-based content, and curated data. A subscription to this application provides healthcare organizations with tools to support the provider lifecycle from recruiting, application submission, verification of licensure and other credentials, privileging, appointments by credentialing committees, enrollment, network management, onboarding, and performance evaluation of providers. As of December 31, 2021, more than 450 healthcare organizations had contracted for the CredentialStream application.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BUSINESS ACQUISITIONS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our overall growth strategy, we evaluate opportunities for mergers and acquisitions, and since the beginning of 2020, we have completed six acquisitions. In March 2020, we acquired NurseGrid; in October 2020, we acquired ShiftWizard; and in December 2020, we acquired ANSOS as well as substantially all of the assets of myClinicalExchange. In January 2021, we acquired ComplyALIGN; and in December 2021, we acquired substantially all of the assets of Rievent. For additional information regarding acquisitions, please see Note 8 of the Consolidated Financial Statements and “Management’s Discussion and Analysis of Financial Condition and Results of Operations” in Part II, Item 7 of this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COVID-19 PANDEMIC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focused on providing solutions to healthcare organizations and the healthcare workforce. As such, the pandemic’s adverse impact on healthcare organizations and the healthcare workforce has resulted in an adverse impact on certain aspects of the Company's business while benefitting certain other aspects. For information regarding the ongoing impact of the COVID-19 pandemic on the Company and our response to the pandemic, see the discussion below under “Impact of and Response to COVID-19 Pandemic” included in “Management’s Discussion and Analysis of Financial Condition and Results of Operations” in Part II, Item 7 of this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provide our solutions to customers across a broad range of entities within the healthcare industry, including private, not-for-profit, and government entities, as well as pharmaceutical and medical device companies. We derive a substantial portion of our revenues from a relatively small number of customers that are healthcare providers. However, during the year ended December 31, 2021, no single customer accounted for 10 percent or more of our annual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SALES AND MARKETING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market our products and services primarily through our direct sales teams, who are located throughout the United States and, to a lesser extent, in Canada, Australia, and New Zealand. As of December 31, 2021, our Workforce Solutions sales personnel consisted of 168 employees who carried sales quotas, and our Provider Solutions sales personnel consisted of 37 employees who carried sales quotas.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 a variety of marketing programs to promote our products and services, including product catalogs, user groups, trade shows, social media, internet promotion and demonstrations, telemarketing campaigns, public relations, distribution of product-specific literature, direct mail, advertising, and in partnership with third parties. We have marketing teams that are responsible for these initiatives and for working with and supporting our product management and sales teams. At December 31, 2021, our marketing personnel consisted of 35 employees.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OPERATIONS AND TECHNOLOGY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our ability to establish and maintain long-term customer relationships, obtain recurring sales, and develop and maintain new and existing products are dependent on the strength of our operations, customer service, product development and maintenance, training, and other support teams. As of December 31, 2021, our Workforce Solutions operations team consisted of 514 employees and our Provider Solutions operations team consisted of 244 employees. Our operations teams for each of these segments are primarily associated with technical support, customer implementation and training, product management, software development and quality assurance, and other functions.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services are designed to be reliable, secure, and scalable. Our software is a combination of proprietary and commercially available software and operating systems. Our software solutions support hosting and management of content, publication of our websites, execution of courseware, registration and tracking of users, tracking and reporting of physician credentialing and provider enrollment information,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software applications, servers, and network infrastructure that deliver our services are hosted by a combination of third party data center providers and cloud-based infrastructure. We maintain fully redundant disaster recovery data centers that are located in geographically separate locations. Our technology equipment is maintained in secure, limited access environments, supported by redundant power, environmental conditioning, and network connectivity, and we follow industry best practices for backup and disaster recovery. Company personnel monitor all servers, networks, and systems on a continuous basis, and we employ enterprise firewall systems and data abstraction to protect our databases, customer information, and courseware library from unauthorized access.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competing healthcare education delivery methods in the industry, we also have direct competitors. In our Workforce Solutions business segment, a number of companies offer competitive learning management products, scheduling solutions, and talent management modules to the healthcare industry. We compete with companies such as Cornerstone OnDemand, Symplr, Ultimate Kronos Group, Oracle, SAP, Infor, and Workday, who provide their services to multiple industries, including healthcare. We also compete with large medical publishers that have operating units that focus on healthcare, such as Relias Learning. In our Provider Solutions business segment, we have competition primarily from several large companies, such as Symplr, Verisys, MD-Staff, AMN Healthcare, as well as from a broadening array of smaller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our Workforce Solutions, which include applications that are increasingly enabled by a single technology platform known as hStream, provide us a competitive advantage by facilitating education, training, assessment, engagement, scheduling, and development for healthcare professionals through a wide assortment of content, functionality, and applications. In our Provider Solutions business segment, we believe the scope and quality of our products, capability to connect medical staff credentialing with provider enrollment, and innovative new predictive analytics, as well as the increasing connection of Provider Solutions to hStream, provide us with a competitive advantage. We believe that the principal competitive factors affecting the marketing of our Workforce and Provider Solutions to the healthcare industry include: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technology platform, which combines SaaS-based capabilities and certain Platform-as-a-Service (PaaS) capabilities to help capture, track, manage, and report on activities, such as learning, performance, scheduling, credentialing, and privileging across various modalities, and provides interoperability with external systems such as HRIS and other systems utilized by our customers;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scope and variety of Internet-based solutions available, including, without limitation, learning and education, clinical, GRC, resuscitation, revenue cycle, talent management, scheduling, credentialing, and privileging solutions;</w:t>
            </w:r>
          </w:p>
        </w:tc>
      </w:tr>
    </w:tbl>
    <w:p>
      <w:pPr>
        <w:pStyle w:val="TextBody"/>
        <w:spacing w:before="0" w:after="0"/>
        <w:ind w:left="0" w:right="0" w:hanging="0"/>
        <w:rPr>
          <w:caps w:val="false"/>
          <w:smallCaps w:val="false"/>
        </w:rPr>
      </w:pPr>
      <w:r>
        <w:rPr>
          <w:caps w:val="false"/>
          <w:smallCaps w:val="false"/>
        </w:rPr>
        <w:t> </w:t>
      </w:r>
    </w:p>
    <w:tbl>
      <w:tblPr>
        <w:tblW w:w="6625" w:type="dxa"/>
        <w:jc w:val="left"/>
        <w:tblInd w:w="0" w:type="dxa"/>
        <w:tblCellMar>
          <w:top w:w="0" w:type="dxa"/>
          <w:left w:w="0" w:type="dxa"/>
          <w:bottom w:w="0" w:type="dxa"/>
          <w:right w:w="0" w:type="dxa"/>
        </w:tblCellMar>
      </w:tblPr>
      <w:tblGrid>
        <w:gridCol w:w="60"/>
        <w:gridCol w:w="110"/>
        <w:gridCol w:w="645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4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singular focus on the healthcare industry and our deep healthcare expertise;</w:t>
            </w:r>
          </w:p>
        </w:tc>
      </w:tr>
    </w:tbl>
    <w:p>
      <w:pPr>
        <w:pStyle w:val="TextBody"/>
        <w:spacing w:before="0" w:after="0"/>
        <w:ind w:left="0" w:right="0" w:hanging="0"/>
        <w:rPr>
          <w:caps w:val="false"/>
          <w:smallCaps w:val="false"/>
        </w:rPr>
      </w:pPr>
      <w:r>
        <w:rPr>
          <w:caps w:val="false"/>
          <w:smallCaps w:val="false"/>
        </w:rPr>
        <w:t> </w:t>
      </w:r>
    </w:p>
    <w:tbl>
      <w:tblPr>
        <w:tblW w:w="8800" w:type="dxa"/>
        <w:jc w:val="left"/>
        <w:tblInd w:w="0" w:type="dxa"/>
        <w:tblCellMar>
          <w:top w:w="0" w:type="dxa"/>
          <w:left w:w="0" w:type="dxa"/>
          <w:bottom w:w="0" w:type="dxa"/>
          <w:right w:w="0" w:type="dxa"/>
        </w:tblCellMar>
      </w:tblPr>
      <w:tblGrid>
        <w:gridCol w:w="60"/>
        <w:gridCol w:w="110"/>
        <w:gridCol w:w="863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6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scope and quality of professional services offered, including implementation, benchmarking, and training;</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competitive pricing, which supports a return on investment to customers when compared to other alternative delivery methods;</w:t>
            </w:r>
          </w:p>
        </w:tc>
      </w:tr>
    </w:tbl>
    <w:p>
      <w:pPr>
        <w:pStyle w:val="TextBody"/>
        <w:spacing w:before="0" w:after="0"/>
        <w:ind w:left="0" w:right="0" w:hanging="0"/>
        <w:rPr>
          <w:caps w:val="false"/>
          <w:smallCaps w:val="false"/>
        </w:rPr>
      </w:pPr>
      <w:r>
        <w:rPr>
          <w:caps w:val="false"/>
          <w:smallCaps w:val="false"/>
        </w:rPr>
        <w:t> </w:t>
      </w:r>
    </w:p>
    <w:tbl>
      <w:tblPr>
        <w:tblW w:w="2605" w:type="dxa"/>
        <w:jc w:val="left"/>
        <w:tblInd w:w="0" w:type="dxa"/>
        <w:tblCellMar>
          <w:top w:w="0" w:type="dxa"/>
          <w:left w:w="0" w:type="dxa"/>
          <w:bottom w:w="0" w:type="dxa"/>
          <w:right w:w="0" w:type="dxa"/>
        </w:tblCellMar>
      </w:tblPr>
      <w:tblGrid>
        <w:gridCol w:w="60"/>
        <w:gridCol w:w="110"/>
        <w:gridCol w:w="24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4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customer service and support;</w:t>
            </w:r>
          </w:p>
        </w:tc>
      </w:tr>
    </w:tbl>
    <w:p>
      <w:pPr>
        <w:pStyle w:val="TextBody"/>
        <w:spacing w:before="0" w:after="0"/>
        <w:ind w:left="0" w:right="0" w:hanging="0"/>
        <w:rPr>
          <w:caps w:val="false"/>
          <w:smallCaps w:val="false"/>
        </w:rPr>
      </w:pPr>
      <w:r>
        <w:rPr>
          <w:caps w:val="false"/>
          <w:smallCaps w:val="false"/>
        </w:rPr>
        <w:t> </w:t>
      </w:r>
    </w:p>
    <w:tbl>
      <w:tblPr>
        <w:tblW w:w="7360" w:type="dxa"/>
        <w:jc w:val="left"/>
        <w:tblInd w:w="0" w:type="dxa"/>
        <w:tblCellMar>
          <w:top w:w="0" w:type="dxa"/>
          <w:left w:w="0" w:type="dxa"/>
          <w:bottom w:w="0" w:type="dxa"/>
          <w:right w:w="0" w:type="dxa"/>
        </w:tblCellMar>
      </w:tblPr>
      <w:tblGrid>
        <w:gridCol w:w="60"/>
        <w:gridCol w:w="110"/>
        <w:gridCol w:w="719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mobility, security, uniqueness, and value of underlying data sets and embedded content;</w:t>
            </w:r>
          </w:p>
        </w:tc>
      </w:tr>
    </w:tbl>
    <w:p>
      <w:pPr>
        <w:pStyle w:val="TextBody"/>
        <w:spacing w:before="0" w:after="0"/>
        <w:ind w:left="0" w:right="0" w:hanging="0"/>
        <w:rPr>
          <w:caps w:val="false"/>
          <w:smallCaps w:val="false"/>
        </w:rPr>
      </w:pPr>
      <w:r>
        <w:rPr>
          <w:caps w:val="false"/>
          <w:smallCaps w:val="false"/>
        </w:rPr>
        <w:t> </w:t>
      </w:r>
    </w:p>
    <w:tbl>
      <w:tblPr>
        <w:tblW w:w="4060" w:type="dxa"/>
        <w:jc w:val="left"/>
        <w:tblInd w:w="0" w:type="dxa"/>
        <w:tblCellMar>
          <w:top w:w="0" w:type="dxa"/>
          <w:left w:w="0" w:type="dxa"/>
          <w:bottom w:w="0" w:type="dxa"/>
          <w:right w:w="0" w:type="dxa"/>
        </w:tblCellMar>
      </w:tblPr>
      <w:tblGrid>
        <w:gridCol w:w="60"/>
        <w:gridCol w:w="110"/>
        <w:gridCol w:w="389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8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effectiveness of sales and marketing efforts; and</w:t>
            </w:r>
          </w:p>
        </w:tc>
      </w:tr>
    </w:tbl>
    <w:p>
      <w:pPr>
        <w:pStyle w:val="TextBody"/>
        <w:spacing w:before="0" w:after="0"/>
        <w:ind w:left="0" w:right="0" w:hanging="0"/>
        <w:rPr>
          <w:caps w:val="false"/>
          <w:smallCaps w:val="false"/>
        </w:rPr>
      </w:pPr>
      <w:r>
        <w:rPr>
          <w:caps w:val="false"/>
          <w:smallCaps w:val="false"/>
        </w:rPr>
        <w:t> </w:t>
      </w:r>
    </w:p>
    <w:tbl>
      <w:tblPr>
        <w:tblW w:w="1870" w:type="dxa"/>
        <w:jc w:val="left"/>
        <w:tblInd w:w="0" w:type="dxa"/>
        <w:tblCellMar>
          <w:top w:w="0" w:type="dxa"/>
          <w:left w:w="0" w:type="dxa"/>
          <w:bottom w:w="0" w:type="dxa"/>
          <w:right w:w="0" w:type="dxa"/>
        </w:tblCellMar>
      </w:tblPr>
      <w:tblGrid>
        <w:gridCol w:w="60"/>
        <w:gridCol w:w="110"/>
        <w:gridCol w:w="170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70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company reputation.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these capabilities provide us with the ability to improve the quality of healthcare by developing the people who deliver care.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GOVERNMENT REGULATION OF THE INTERNET AND THE HEALTHCARE INDUSTRY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Regulation of the Internet and the Privacy and Security of Personal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various legal requirements related to the internet and the privacy and security of personal information, which legal requirements may change rapidly. The following are areas of law in this regard that are significant to our business: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Privacy and Security Laws.</w:t>
            </w:r>
            <w:r>
              <w:rPr>
                <w:rFonts w:ascii="Times New Roman" w:hAnsi="Times New Roman"/>
                <w:caps w:val="false"/>
                <w:smallCaps w:val="false"/>
                <w:sz w:val="20"/>
              </w:rPr>
              <w:t> Federal, state, and foreign privacy and security laws and regulations restricting the collection, use, retention, deletion, security, and disclosure of personal information limit our ability to collect information or use and disclose the information in our databases or that we derive from other sources to generate revenues. These laws and regulations are rapidly evolving and could have an adverse effect on our operations. For example, the California Privacy Rights Act significantly expanded and amended existing California privacy law, and there are additional states that have enacted, or may in the future enact, their own privacy legislation. Moreover, we have expanded our business over the past two years into new jurisdictions (including foreign jurisdictions), which may subject our business to additional privacy and data protections laws and regulations in those jurisdictions. There are significant differences among these various privacy laws, which introduces complexity in our compliance efforts and additional costs and expenses. It may be costly to implement measures such as certain security requirements, contracting terms, assessments, and registrations with authorities that are designed to comply with new legal requirements, changes to existing legal requirements, or legal requirements in jurisdictions into which we have recently expanded. The obligations and requirements applicable to companies under these laws and regulations are subject to uncertainty in how they may be interpreted by government authorities and regulators. We may be audited or subject to an investigation by a federal, state, or foreign regulator regarding our compliance with privacy and security laws. If the Company is determined by a regulator or court to fail to comply with such laws and regulations, the Company’s business could be negatively impacted.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Content Regulation.</w:t>
            </w:r>
            <w:r>
              <w:rPr>
                <w:rFonts w:ascii="Times New Roman" w:hAnsi="Times New Roman"/>
                <w:caps w:val="false"/>
                <w:smallCaps w:val="false"/>
                <w:sz w:val="20"/>
              </w:rPr>
              <w:t> Both foreign and domestic governments have adopted and proposed laws governing content and materials transmitted over the Internet. These include laws relating to obscenity, indecency, libel, and defamation. We could be liable if content created, stored, or delivered by us is determined to be in violation of these regulations.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Information Security Accountability Regulation.</w:t>
            </w:r>
            <w:r>
              <w:rPr>
                <w:rFonts w:ascii="Times New Roman" w:hAnsi="Times New Roman"/>
                <w:caps w:val="false"/>
                <w:smallCaps w:val="false"/>
                <w:sz w:val="20"/>
              </w:rPr>
              <w:t> As a business associate of certain of our customers, we are required to report certain breaches of protected health information to our customers, who must in turn notify affected individuals, the U.S. Department of Health and Human Services (HHS) and/or other governmental agencies, and, in certain situations, the media. In addition, we are subject to certain foreign and state laws that relate to data security or the reporting of security breaches. For example, California law requires notification of security breaches involving personal information and medical information. We may incur costs to comply with these security requirements. Because there is little guidance related to many of these laws, it is difficult to estimate the cost of our compliance with these laws. Further, Congress has considered legislation that would require companies to engage independent third parties to audit the companies’ computer information security. If the Company experiences a breach of security or if one of the Company’s customers is required to report a breach of security by the Company, the Company’s business could be negatively impacted.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Use Tax.</w:t>
            </w:r>
            <w:r>
              <w:rPr>
                <w:rFonts w:ascii="Times New Roman" w:hAnsi="Times New Roman"/>
                <w:caps w:val="false"/>
                <w:smallCaps w:val="false"/>
                <w:sz w:val="20"/>
              </w:rPr>
              <w:t> We collect sales, use, or other taxes on taxable transactions in states and foreign jurisdictions in which we have employees, have a significant level of sales activity, or otherwise determine that such collection is appropriate. While HealthStream believes that this approach is appropriate, other states or foreign jurisdictions may seek to impose tax collection obligations on companies like us that engage in online commerce. If they do, these obligations could limit the growth of electronic commerce in general and adversely impact our business.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Laws and regulations directly applicable to content regulation, e-commerce, Internet communications, and the privacy and security of personal information are becoming more prevalent and/or broader in scope.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Regulation of Education, Training, and Other Services for Healthcare Professionals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Occupational Safety and Health Administration.</w:t>
      </w:r>
      <w:r>
        <w:rPr>
          <w:rFonts w:ascii="Times New Roman" w:hAnsi="Times New Roman"/>
          <w:caps w:val="false"/>
          <w:smallCaps w:val="false"/>
          <w:sz w:val="20"/>
        </w:rPr>
        <w:t xml:space="preserve"> OSHA regulations require employers to provide training to employees to minimize the risk of injury from various potential workplace hazards. Employers in the healthcare industry are required to provide training with respect to various topics, including, but not limited to, blood borne pathogens exposure control, laboratory safety, and tuberculosis infection control. OSHA regulations require employers to keep records of their employees’ completion of training with respect to these workplace hazards.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Joint Commission.</w:t>
      </w:r>
      <w:r>
        <w:rPr>
          <w:rFonts w:ascii="Times New Roman" w:hAnsi="Times New Roman"/>
          <w:caps w:val="false"/>
          <w:smallCaps w:val="false"/>
          <w:sz w:val="20"/>
        </w:rPr>
        <w:t xml:space="preserve"> The Joint Commission accreditation and certification standards require employers in the healthcare industry to provide certain workplace safety and patient interaction 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Health Insurance Portability and Accountability Act of 1996.</w:t>
      </w:r>
      <w:r>
        <w:rPr>
          <w:rFonts w:ascii="Times New Roman" w:hAnsi="Times New Roman"/>
          <w:caps w:val="false"/>
          <w:smallCaps w:val="false"/>
          <w:sz w:val="20"/>
        </w:rPr>
        <w:t xml:space="preserve"> HIPAA and its implementing regulations restrict how certain organizations (known as covered entities), including most healthcare providers and health plans, use and disclose certain protected health information. HIPAA regulations also require these organizations to provide reasonable and appropriate safeguards to protect the privacy, integrity, and confidentiality of protected health information, whether in paper, oral, or electronic form. Covered entities are required to establish, maintain, and provide training with regard to their policies and procedures for protecting the integrity and confidentiality of protected health information and must document training on these topics to support their compliance. Certain HIPAA privacy and security requirements apply to entities (known as business associates) that handle protected health information on behalf of covered entities or other business associates. Covered entities, business associates, and their subcontractors may be directly subject to criminal and civil sanctions for violations of HIPAA privacy and security standards.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American Nurses Credentialing Center (ANCC).</w:t>
      </w:r>
      <w:r>
        <w:rPr>
          <w:rFonts w:ascii="Times New Roman" w:hAnsi="Times New Roman"/>
          <w:caps w:val="false"/>
          <w:smallCaps w:val="false"/>
          <w:sz w:val="20"/>
        </w:rPr>
        <w:t xml:space="preserve"> ANCC, a subsidiary of the American Nurses Association (ANA), provides individuals and organizations throughout the nursing profession with the resources they need to achieve practice excellence. ANCC’s internationally renowned credentialing programs certify nurses in specialty practice areas; recognize healthcare organizations for promoting safe, positive work environments through the Magnet Recognition Program® and the Pathway to Excellence® Program; and accredit providers of continuing nursing education. ANCC maintains twenty-three certification exams to validate nurses’ skills, knowledge, and abilities, and more than a quarter million nurses have been certified by ANCC since 1990. The ANCC Magnet Recognition Program recognizes healthcare organizations that provide the very best in nursing care and professionalism in nursing practice. The program also provides a vehicle for disseminating best practices and strategies among nursing systems. The ANCC Magnet Recognition Program is a highly regarded standard for nursing excellence. The Pathway to Excellence Program recognizes the essential elements of a high standard nursing practice environment. The designation is earned by healthcare organizations that create work environments where nurses can develop professionally. The award substantiates the professional satisfaction of nurses and identifies best places to work.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Continuing Nursing Education (CNE).</w:t>
      </w:r>
      <w:r>
        <w:rPr>
          <w:rFonts w:ascii="Times New Roman" w:hAnsi="Times New Roman"/>
          <w:caps w:val="false"/>
          <w:smallCaps w:val="false"/>
          <w:sz w:val="20"/>
        </w:rPr>
        <w:t xml:space="preserve"> State nurse practice laws generally authorize a state’s board of nursing to establish CNE requirements for professional nurses to maintain valid licensure. CNE requirements vary widely from state to state, with reporting generally on a bi-annual basis. In some states, the CNE requirement only applies to re-licensure of advance practice nurses, while in other states, additional CNEs may be required of this category of nurses. Board certifications (e.g., Certified Nurse Operating Room (CNOR) – certification of perioperative nursing) also require CNE hours/credits, with certain percentages required in specific categories based on the certification type. Failure to obtain the requisite and type of CNE could result in non-renewal of the license or certification. The ANCC Commission on Accreditation is responsible for accrediting or approving organizations to award ANCC nursing continuing professional development (NCPD) credit (contact hours) to activities for a national audience of nurses. State boards of nursing approve individual CNE activities or CE providers that offer CNE activities primarily for nurses within the state. ANCC NCPD credit for online activities is accepted by all state boards of nursing. Our HealthStream CNE Provider Unit is accredited as a provider of NCPD by ANCC. We are also approved by the California Board of Registered Nursing and the Florida Board of Nursing.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Continuing Medical Education (CME).</w:t>
      </w:r>
      <w:r>
        <w:rPr>
          <w:rFonts w:ascii="Times New Roman" w:hAnsi="Times New Roman"/>
          <w:caps w:val="false"/>
          <w:smallCaps w:val="false"/>
          <w:sz w:val="20"/>
        </w:rPr>
        <w:t xml:space="preserve"> State licensing boards, professional organizations, and employers require physicians to certify that they have accumulated a minimum number of CME hours to maintain their licenses. Generally, each state’s medical practice laws authorize the state’s board of medicine to establish and track CME requirements. Medical licensing boards in most U.S. states and territories currently have CME requirements.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The American Medical Association (AMA) classifies CME activities as either Category 1, which includes formal CME activities, or Category 2, which includes self-designated credit for informal activities that meet certain requirements. CME providers that certify educational activities can only designate those activities for </w:t>
      </w:r>
      <w:r>
        <w:rPr>
          <w:rFonts w:ascii="Times New Roman" w:hAnsi="Times New Roman"/>
          <w:i/>
          <w:caps w:val="false"/>
          <w:smallCaps w:val="false"/>
          <w:sz w:val="20"/>
        </w:rPr>
        <w:t>AMA PRA Category 1 Credit</w:t>
      </w:r>
      <w:r>
        <w:rPr>
          <w:rFonts w:ascii="Times New Roman" w:hAnsi="Times New Roman"/>
          <w:caps w:val="false"/>
          <w:smallCaps w:val="false"/>
          <w:sz w:val="20"/>
        </w:rPr>
        <w:t xml:space="preserve">™. Most boards of medical examiners nationwide that require CME participation specify </w:t>
      </w:r>
      <w:r>
        <w:rPr>
          <w:rFonts w:ascii="Times New Roman" w:hAnsi="Times New Roman"/>
          <w:i/>
          <w:caps w:val="false"/>
          <w:smallCaps w:val="false"/>
          <w:sz w:val="20"/>
        </w:rPr>
        <w:t>AMA PRA Category 1 Credit</w:t>
      </w:r>
      <w:r>
        <w:rPr>
          <w:rFonts w:ascii="Times New Roman" w:hAnsi="Times New Roman"/>
          <w:caps w:val="false"/>
          <w:smallCaps w:val="false"/>
          <w:sz w:val="20"/>
        </w:rPr>
        <w:t xml:space="preserve">™. Only institutions and organizations accredited to provide CME can designate an activity for </w:t>
      </w:r>
      <w:r>
        <w:rPr>
          <w:rFonts w:ascii="Times New Roman" w:hAnsi="Times New Roman"/>
          <w:i/>
          <w:caps w:val="false"/>
          <w:smallCaps w:val="false"/>
          <w:sz w:val="20"/>
        </w:rPr>
        <w:t>AMA PRA Category 1 Credit</w:t>
      </w:r>
      <w:r>
        <w:rPr>
          <w:rFonts w:ascii="Times New Roman" w:hAnsi="Times New Roman"/>
          <w:caps w:val="false"/>
          <w:smallCaps w:val="false"/>
          <w:sz w:val="20"/>
        </w:rPr>
        <w:t>™. The Accreditation Council for Continuing Medical Education (ACCME) is responsible for awarding accreditation status to state medical societies, medical schools, and other institutions and organizations that provide CME activities, typically for a national audience of physicians. State medical societies, operating under the aegis of the ACCME, accredit institutions and organizations that provide CME activities primarily for physicians within the state or bordering states. We are recognized as an accredited provider of CME for physicians by the ACCME.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Centers for Medicare</w:t>
      </w:r>
      <w:r>
        <w:rPr>
          <w:rFonts w:ascii="Times New Roman" w:hAnsi="Times New Roman"/>
          <w:caps w:val="false"/>
          <w:smallCaps w:val="false"/>
          <w:sz w:val="20"/>
        </w:rPr>
        <w:t xml:space="preserve"> </w:t>
      </w:r>
      <w:r>
        <w:rPr>
          <w:rFonts w:ascii="Times New Roman" w:hAnsi="Times New Roman"/>
          <w:i/>
          <w:caps w:val="false"/>
          <w:smallCaps w:val="false"/>
          <w:sz w:val="20"/>
        </w:rPr>
        <w:t>&amp; Medicaid Services (CMS).</w:t>
      </w:r>
      <w:r>
        <w:rPr>
          <w:rFonts w:ascii="Times New Roman" w:hAnsi="Times New Roman"/>
          <w:caps w:val="false"/>
          <w:smallCaps w:val="false"/>
          <w:sz w:val="20"/>
        </w:rPr>
        <w:t xml:space="preserve"> CMS has summarized its quality strategy vision as “better, smarter, healthier.” The agency is focused on using incentives to improve care; changing how care is delivered, including through improved teamwork and coordination across healthcare settings, increased attention to population health, and utilization of healthcare information; and tying payment to value through new payment models. Value-based purchasing (VBP), which links payment more directly to the quality of care provided, is a strategy that aims to transform the current payment system by rewarding providers for delivering high quality, efficient clinical care. Through a number of public reporting programs, demonstration projects, pilot programs, and other initiatives, some voluntary and some mandatory, CMS has launched VBP initiatives in various settings, including hospitals, physician offices, nursing homes, home health services, and dialysis facilities. Through its “Meaningful Measures” initiative, CMS identifies priorities for quality measurement and improvement. The framework is intended to improve patient outcomes while also reducing burdens on providers.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Promoting Interoperability Programs. </w:t>
      </w:r>
      <w:r>
        <w:rPr>
          <w:rFonts w:ascii="Times New Roman" w:hAnsi="Times New Roman"/>
          <w:caps w:val="false"/>
          <w:smallCaps w:val="false"/>
          <w:sz w:val="20"/>
        </w:rPr>
        <w:t>The CMS Promoting Interoperability Programs encourage eligible professionals, eligible hospitals, and critical access hospitals (CAHs) to adopt electronic health record (EHR) technology by imposing payment reductions for failure to demonstrate meaningful use of certified EHR technology. Providers that meaningfully use an EHR system may reap benefits such as reduction in errors, availability of records and data, reminders and alerts, clinical decision support, and e-prescribing/refill automation. Further, the 21st Century Cures Act and implementing regulations promote interoperability and the exchange of patient health information through a number of requirements including a ban on information blocking by healthcare providers, health IT developers, and certain other entities. Information blocking is generally defined as engaging in activities that are likely to interfere with the access, exchange, or use of electronic health information, subject to limited exceptions.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Allied Disciplines.</w:t>
      </w:r>
      <w:r>
        <w:rPr>
          <w:rFonts w:ascii="Times New Roman" w:hAnsi="Times New Roman"/>
          <w:caps w:val="false"/>
          <w:smallCaps w:val="false"/>
          <w:sz w:val="20"/>
        </w:rPr>
        <w:t xml:space="preserve"> Various allied health professionals are required to obtain continuing education to maintain their licenses. For example, emergency medical services personnel may be required to attain up to 20 continuing education hours per year, all or a portion of which can be fulfilled online. These requirements vary by state and depend on the professional classification of the individual. HealthStream is an organization accredited by the Commission on Accreditation for Prehospital Continuing Education (CAPCE) and the Florida Board of Emergency Medical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Regulation of Educational Program Sponsorship and Support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a variety of laws and regulations that affect the relationships between our medical device and pharmaceutical customers and the users of our products and services, including the sponsorship and support of educational programs. For example, the Physician Payments Sunshine Act (Sunshine Act) requires manufacturers of drugs, biological devices, and medical devices covered by Medicare, Medicaid, or the Children’s Health Insurance Program to report annually to CMS payments and other transfers of value given by such manufacturers to physicians, certain other healthcare professionals, and teaching hospitals, including educational programs for physicians, with limited exceptions. CMS regulations require manufacturers to report the recipient’s name, business address, and national provider identifier as well as other information about the payment or transfer of value including the amount, date, form, and nature of what is offered. CMS publishes the information on its Open Payments website. Manufacturers that do not meet the reporting obligations are subject to significant monetary penalties.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 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regarding Gifts to Physicians from Industry to provide standards of conduct for the medical profession.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follow all standards/criteria/guidelines set-forth by ACCME, ANCC, and other continuing education organizations regarding the regulation of educational program sponsorship and support. This includes full compliance with the </w:t>
      </w:r>
      <w:r>
        <w:rPr>
          <w:rFonts w:ascii="Times New Roman" w:hAnsi="Times New Roman"/>
          <w:i/>
          <w:caps w:val="false"/>
          <w:smallCaps w:val="false"/>
          <w:sz w:val="20"/>
        </w:rPr>
        <w:t>Standards for Integrity and Independence in Accredited Continuing Education</w:t>
      </w:r>
      <w:r>
        <w:rPr>
          <w:rFonts w:ascii="Times New Roman" w:hAnsi="Times New Roman"/>
          <w:caps w:val="false"/>
          <w:smallCaps w:val="false"/>
          <w:sz w:val="20"/>
        </w:rPr>
        <w:t>, to ensure that our CME and CNE activities are evidence-based, designed to improve patient care and/or community health, and are free from commercial influence.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U.S. Food and Drug Administration (FDA) and the Federal Trade Commission (FTC)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indications. Therefore, any information that promotes the use of pharmaceutical or medical device products that is presented with our services is subject to the FDA and FTC requirements and regulatory oversight including criminal, civil and administrative actions. We believe that banner advertisements, sponsorship links, and any educational programs we may present with our services, even if we lack independent editorial control over it,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ENVIRONMENTAL MATTERS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a number of federal, state, and local environmental laws, rules, and regulations. In addition, we could be affected by climate change to the extent that climate change results in severe weather conditions or other disruptions impacting the communities in which we have office locations and/or where we have network infrastructure or adversely impacts general economic conditions. At the current time, our compliance with environmental legal requirements, including legal requirements relating to climate change, does not have a material effect on our capital expenditures, financial results, or operations, and we did not incur material capital expenditures with respect to environmental matters during the year ended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INTELLECTUAL PROPERTY AND OTHER PROPRIETARY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protect our proprietary rights, we rely generally on copyright, trademark, patent, and trade secret laws; confidentiality agreements, contracts, and procedures with employees, consultants and other third parties; contractual provisions in license agreements with consultants, vendors, and customers; and use measures designed to control access to our software, documentation, and other proprietary information. We own federal trademark and service mark registrations for several marks, including, without limitation “HEALTHSTREAM”, “HEALTHSTREAM LEARNING CENTER”, "JANE", “HEALTHSTREAM EPORTFOLIO”, “KNOWLEDGEQ”, and “VERITYSTREAM.” We also have obtained registration of the “HEALTHSTREAM” mark in certain other countries. Additionally, we hold a number of patents related to the solutions we provide. Applications for several trademarks and patents are currently pending. However, there can be no assurance that we will be successful in obtaining registration of trademarks and patents for which we have applied.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content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 party intellectual property rights and that they have the right to provide their content and have obtained all third party consents necessary to do so. Our publishers, authors, and other third parties also agree to indemnify us against certain liability we might sustain due to the content they provide.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 third party asserts a claim that we or our third party partners have infringed its patents or other intellectual property right, we may be required to redesign or discontinue products that we currently offer or enter into royalty or licensing agreements, which may result in negative publicity, harm to our reputation, or decreasing our revenues. In addition, we license technologies from third parties for incorporation into our services. Licensing agreements with these third parties may not be available on terms acceptable to us, if at all. Additionally, despite the steps we have taken to protect our intellectual property and proprietary rights, our efforts may not be adequate. Third parties may infringe or misappropriate our intellectual property, and such violations of our intellectual property are difficult to detect and police. Competitors may also independently develop technologies that are substantially equivalent or superior to the technologies we employ in our products or services. If we are unable to safeguard our proprietary rights adequately, our competitors could offer similar services, potentially significantly harming our competitive position and decreasing our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hold inbound licenses for certain intellectual property that is used internally, and in some cases, utilized in HealthStream’s products or services. While it may be necessary in the future to seek or renew licenses relating to various aspects of our products and services, we believe, based upon past experience and industry practice, such licenses generally can be obtained on commercially reasonable terms. We believe our operations and products and services are not materially dependent on any single license or other agreement with any third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files reports with the SEC, including annual reports on Form 10-K, quarterly reports on Form 10-Q, and other reports from time to time. The SEC maintains an Internet site at http://www.sec.gov that contains the reports, proxy, and other filings made by us electronically. Our website address is www.healthstream.com. Please note that our website address is provided as an inactive textual reference only. We make available, free of charge through our website, our annual report on Form 10-K, quarterly reports on Form 10-Q, current reports on Form 8-K, all amendments to those reports, and other filings made by us with the SEC, as soon as reasonably practicable after such material is electronically filed with or furnished to the SEC. The information provided on our website is not part of this report and is not incorporated by reference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HUMAN 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2021, the Company had 1,074 full-time and 27 part-time employees.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March 16, 2020 through November 30, 2021, all employees were required to work from home as a matter of safety during the COVID-19 pandemic. Beginning December 1, 2021, employees showing proof of full vaccination status were provided the option to work from one of our offices at their discretion, but none of our employees have been required to return to office work to date. Additionally, the Company has adopted a hybrid work policy that allows employees to work remotely if they so choose, even after the pandemic ends. Prior to the pandemic, approximately 25 percent of employees worked remotely, while approximately 45 percent worked in our corporate office in Nashville, Tennessee and the surrounding area, with the remaining 30 percent working across the Company’s other offices.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culture is both exemplified and driven by our Constitution, which is a living document and the lens through which we endeavor to view and shape our actions. Our Constitution is comprised of the Company’s vision statement, values, and business principles. Upon being hired at HealthStream, each employee completes a course on our Constitution, which we view to be an important step in engagement, development, and training of our employees. Our Constitution is available on our website on the Investor Relations page. This and other information on our website is not a part of this Annual Report on Form 10-K and is not incorporated by reference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is committed to recruiting, maintaining, and growing a diverse, equitable, and inclusive workforce that helps us live our Constitutional values as we strive to achieve positive results for our shareholders, employees, customers, and community.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labor market for personnel, including technical personnel, has recently been very competitive. For additional information regarding risks related to the current competitive labor market, see “See Item 1A. “Risk Factors — “We operate in a challenging market for talent and may fail to attract and retain qualified personnel, including key management personnel.”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INFORMATION ABOUT OUR EXECUTIVE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brief summary of the business experience of each of the executive officers of the Company. Executive officers of the Company are elected by the Board of Directors and serve at the pleasure of the Board of Directors. The following table sets forth certain information regarding the executive officers of the Company:</w:t>
      </w:r>
    </w:p>
    <w:p>
      <w:pPr>
        <w:pStyle w:val="TextBody"/>
        <w:spacing w:before="0" w:after="0"/>
        <w:ind w:left="0" w:right="0" w:hanging="0"/>
        <w:rPr>
          <w:caps w:val="false"/>
          <w:smallCaps w:val="false"/>
        </w:rPr>
      </w:pPr>
      <w:r>
        <w:rPr>
          <w:caps w:val="false"/>
          <w:smallCaps w:val="false"/>
        </w:rPr>
        <w:t> </w:t>
      </w:r>
    </w:p>
    <w:tbl>
      <w:tblPr>
        <w:tblW w:w="8820" w:type="dxa"/>
        <w:jc w:val="left"/>
        <w:tblInd w:w="0" w:type="dxa"/>
        <w:tblCellMar>
          <w:top w:w="0" w:type="dxa"/>
          <w:left w:w="0" w:type="dxa"/>
          <w:bottom w:w="0" w:type="dxa"/>
          <w:right w:w="0" w:type="dxa"/>
        </w:tblCellMar>
      </w:tblPr>
      <w:tblGrid>
        <w:gridCol w:w="1895"/>
        <w:gridCol w:w="60"/>
        <w:gridCol w:w="350"/>
        <w:gridCol w:w="60"/>
        <w:gridCol w:w="6455"/>
      </w:tblGrid>
      <w:tr>
        <w:trPr/>
        <w:tc>
          <w:tcPr>
            <w:tcW w:w="1895" w:type="dxa"/>
            <w:tcBorders/>
            <w:shd w:fill="auto" w:val="clear"/>
            <w:vAlign w:val="center"/>
          </w:tcPr>
          <w:p>
            <w:pPr>
              <w:pStyle w:val="TableContents"/>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Name</w:t>
            </w:r>
          </w:p>
        </w:tc>
        <w:tc>
          <w:tcPr>
            <w:tcW w:w="6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Age</w:t>
            </w:r>
          </w:p>
        </w:tc>
        <w:tc>
          <w:tcPr>
            <w:tcW w:w="60" w:type="dxa"/>
            <w:tcBorders/>
            <w:shd w:fill="auto" w:val="clear"/>
            <w:vAlign w:val="center"/>
          </w:tcPr>
          <w:p>
            <w:pPr>
              <w:pStyle w:val="TableContents"/>
              <w:spacing w:before="0" w:after="283"/>
              <w:rPr/>
            </w:pPr>
            <w:r>
              <w:rPr/>
              <w:t> </w:t>
            </w:r>
          </w:p>
        </w:tc>
        <w:tc>
          <w:tcPr>
            <w:tcW w:w="6455" w:type="dxa"/>
            <w:tcBorders/>
            <w:shd w:fill="auto" w:val="clear"/>
            <w:vAlign w:val="center"/>
          </w:tcPr>
          <w:p>
            <w:pPr>
              <w:pStyle w:val="TableContents"/>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Position</w:t>
            </w:r>
          </w:p>
        </w:tc>
      </w:tr>
      <w:tr>
        <w:trPr/>
        <w:tc>
          <w:tcPr>
            <w:tcW w:w="1895"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c>
          <w:tcPr>
            <w:tcW w:w="60" w:type="dxa"/>
            <w:tcBorders/>
            <w:shd w:fill="CCEEFF" w:val="clear"/>
            <w:vAlign w:val="center"/>
          </w:tcPr>
          <w:p>
            <w:pPr>
              <w:pStyle w:val="TableContents"/>
              <w:spacing w:before="0" w:after="283"/>
              <w:rPr/>
            </w:pPr>
            <w:r>
              <w:rPr/>
              <w:t> </w:t>
            </w:r>
          </w:p>
        </w:tc>
        <w:tc>
          <w:tcPr>
            <w:tcW w:w="350"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54</w:t>
            </w:r>
          </w:p>
        </w:tc>
        <w:tc>
          <w:tcPr>
            <w:tcW w:w="60" w:type="dxa"/>
            <w:tcBorders/>
            <w:shd w:fill="CCEEFF" w:val="clear"/>
            <w:vAlign w:val="center"/>
          </w:tcPr>
          <w:p>
            <w:pPr>
              <w:pStyle w:val="TableContents"/>
              <w:spacing w:before="0" w:after="283"/>
              <w:rPr/>
            </w:pPr>
            <w:r>
              <w:rPr/>
              <w:t> </w:t>
            </w:r>
          </w:p>
        </w:tc>
        <w:tc>
          <w:tcPr>
            <w:tcW w:w="6455"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 and Chairman of the Board of Directors</w:t>
            </w:r>
          </w:p>
        </w:tc>
      </w:tr>
      <w:tr>
        <w:trPr/>
        <w:tc>
          <w:tcPr>
            <w:tcW w:w="1895"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 Edward Pearson</w:t>
            </w:r>
          </w:p>
        </w:tc>
        <w:tc>
          <w:tcPr>
            <w:tcW w:w="60" w:type="dxa"/>
            <w:tcBorders/>
            <w:shd w:fill="FFFFFF" w:val="clear"/>
            <w:vAlign w:val="center"/>
          </w:tcPr>
          <w:p>
            <w:pPr>
              <w:pStyle w:val="TableContents"/>
              <w:spacing w:before="0" w:after="283"/>
              <w:rPr/>
            </w:pPr>
            <w:r>
              <w:rPr/>
              <w:t> </w:t>
            </w:r>
          </w:p>
        </w:tc>
        <w:tc>
          <w:tcPr>
            <w:tcW w:w="350"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59</w:t>
            </w:r>
          </w:p>
        </w:tc>
        <w:tc>
          <w:tcPr>
            <w:tcW w:w="60" w:type="dxa"/>
            <w:tcBorders/>
            <w:shd w:fill="FFFFFF" w:val="clear"/>
            <w:vAlign w:val="center"/>
          </w:tcPr>
          <w:p>
            <w:pPr>
              <w:pStyle w:val="TableContents"/>
              <w:spacing w:before="0" w:after="283"/>
              <w:rPr/>
            </w:pPr>
            <w:r>
              <w:rPr/>
              <w:t> </w:t>
            </w:r>
          </w:p>
        </w:tc>
        <w:tc>
          <w:tcPr>
            <w:tcW w:w="6455"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and Chief Operating Officer</w:t>
            </w:r>
          </w:p>
        </w:tc>
      </w:tr>
      <w:tr>
        <w:trPr/>
        <w:tc>
          <w:tcPr>
            <w:tcW w:w="1895"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Sousa</w:t>
            </w:r>
          </w:p>
        </w:tc>
        <w:tc>
          <w:tcPr>
            <w:tcW w:w="60" w:type="dxa"/>
            <w:tcBorders/>
            <w:shd w:fill="CCEEFF" w:val="clear"/>
            <w:vAlign w:val="center"/>
          </w:tcPr>
          <w:p>
            <w:pPr>
              <w:pStyle w:val="TableContents"/>
              <w:spacing w:before="0" w:after="283"/>
              <w:rPr/>
            </w:pPr>
            <w:r>
              <w:rPr/>
              <w:t> </w:t>
            </w:r>
          </w:p>
        </w:tc>
        <w:tc>
          <w:tcPr>
            <w:tcW w:w="350"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53</w:t>
            </w:r>
          </w:p>
        </w:tc>
        <w:tc>
          <w:tcPr>
            <w:tcW w:w="60" w:type="dxa"/>
            <w:tcBorders/>
            <w:shd w:fill="CCEEFF" w:val="clear"/>
            <w:vAlign w:val="center"/>
          </w:tcPr>
          <w:p>
            <w:pPr>
              <w:pStyle w:val="TableContents"/>
              <w:spacing w:before="0" w:after="283"/>
              <w:rPr/>
            </w:pPr>
            <w:r>
              <w:rPr/>
              <w:t> </w:t>
            </w:r>
          </w:p>
        </w:tc>
        <w:tc>
          <w:tcPr>
            <w:tcW w:w="6455"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and President, VerityStream</w:t>
            </w:r>
          </w:p>
        </w:tc>
      </w:tr>
      <w:tr>
        <w:trPr/>
        <w:tc>
          <w:tcPr>
            <w:tcW w:w="1895"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c>
          <w:tcPr>
            <w:tcW w:w="60" w:type="dxa"/>
            <w:tcBorders/>
            <w:shd w:fill="FFFFFF" w:val="clear"/>
            <w:vAlign w:val="center"/>
          </w:tcPr>
          <w:p>
            <w:pPr>
              <w:pStyle w:val="TableContents"/>
              <w:spacing w:before="0" w:after="283"/>
              <w:rPr/>
            </w:pPr>
            <w:r>
              <w:rPr/>
              <w:t> </w:t>
            </w:r>
          </w:p>
        </w:tc>
        <w:tc>
          <w:tcPr>
            <w:tcW w:w="350"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45</w:t>
            </w:r>
          </w:p>
        </w:tc>
        <w:tc>
          <w:tcPr>
            <w:tcW w:w="60" w:type="dxa"/>
            <w:tcBorders/>
            <w:shd w:fill="FFFFFF" w:val="clear"/>
            <w:vAlign w:val="center"/>
          </w:tcPr>
          <w:p>
            <w:pPr>
              <w:pStyle w:val="TableContents"/>
              <w:spacing w:before="0" w:after="283"/>
              <w:rPr/>
            </w:pPr>
            <w:r>
              <w:rPr/>
              <w:t> </w:t>
            </w:r>
          </w:p>
        </w:tc>
        <w:tc>
          <w:tcPr>
            <w:tcW w:w="6455"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and Chief Financial Officer</w:t>
            </w:r>
          </w:p>
        </w:tc>
      </w:tr>
      <w:tr>
        <w:trPr/>
        <w:tc>
          <w:tcPr>
            <w:tcW w:w="1895"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Jeffrey D. Cunningham</w:t>
            </w:r>
          </w:p>
        </w:tc>
        <w:tc>
          <w:tcPr>
            <w:tcW w:w="60" w:type="dxa"/>
            <w:tcBorders/>
            <w:shd w:fill="CCEEFF" w:val="clear"/>
            <w:vAlign w:val="center"/>
          </w:tcPr>
          <w:p>
            <w:pPr>
              <w:pStyle w:val="TableContents"/>
              <w:spacing w:before="0" w:after="283"/>
              <w:rPr/>
            </w:pPr>
            <w:r>
              <w:rPr/>
              <w:t> </w:t>
            </w:r>
          </w:p>
        </w:tc>
        <w:tc>
          <w:tcPr>
            <w:tcW w:w="350"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55</w:t>
            </w:r>
          </w:p>
        </w:tc>
        <w:tc>
          <w:tcPr>
            <w:tcW w:w="60" w:type="dxa"/>
            <w:tcBorders/>
            <w:shd w:fill="CCEEFF" w:val="clear"/>
            <w:vAlign w:val="center"/>
          </w:tcPr>
          <w:p>
            <w:pPr>
              <w:pStyle w:val="TableContents"/>
              <w:spacing w:before="0" w:after="283"/>
              <w:rPr/>
            </w:pPr>
            <w:r>
              <w:rPr/>
              <w:t> </w:t>
            </w:r>
          </w:p>
        </w:tc>
        <w:tc>
          <w:tcPr>
            <w:tcW w:w="6455"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and Chief Technology Officer</w:t>
            </w:r>
          </w:p>
        </w:tc>
      </w:tr>
      <w:tr>
        <w:trPr/>
        <w:tc>
          <w:tcPr>
            <w:tcW w:w="1895"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M. Collier</w:t>
            </w:r>
          </w:p>
        </w:tc>
        <w:tc>
          <w:tcPr>
            <w:tcW w:w="60" w:type="dxa"/>
            <w:tcBorders/>
            <w:shd w:fill="FFFFFF" w:val="clear"/>
            <w:vAlign w:val="center"/>
          </w:tcPr>
          <w:p>
            <w:pPr>
              <w:pStyle w:val="TableContents"/>
              <w:spacing w:before="0" w:after="283"/>
              <w:rPr/>
            </w:pPr>
            <w:r>
              <w:rPr/>
              <w:t> </w:t>
            </w:r>
          </w:p>
        </w:tc>
        <w:tc>
          <w:tcPr>
            <w:tcW w:w="350"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46</w:t>
            </w:r>
          </w:p>
        </w:tc>
        <w:tc>
          <w:tcPr>
            <w:tcW w:w="60" w:type="dxa"/>
            <w:tcBorders/>
            <w:shd w:fill="FFFFFF" w:val="clear"/>
            <w:vAlign w:val="center"/>
          </w:tcPr>
          <w:p>
            <w:pPr>
              <w:pStyle w:val="TableContents"/>
              <w:spacing w:before="0" w:after="283"/>
              <w:rPr/>
            </w:pPr>
            <w:r>
              <w:rPr/>
              <w:t> </w:t>
            </w:r>
          </w:p>
        </w:tc>
        <w:tc>
          <w:tcPr>
            <w:tcW w:w="6455"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Corporate Development and General Counsel</w:t>
            </w:r>
          </w:p>
        </w:tc>
      </w:tr>
      <w:tr>
        <w:trPr/>
        <w:tc>
          <w:tcPr>
            <w:tcW w:w="1895"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Trisha L. Coady</w:t>
            </w:r>
          </w:p>
        </w:tc>
        <w:tc>
          <w:tcPr>
            <w:tcW w:w="60" w:type="dxa"/>
            <w:tcBorders/>
            <w:shd w:fill="CCEEFF" w:val="clear"/>
            <w:vAlign w:val="center"/>
          </w:tcPr>
          <w:p>
            <w:pPr>
              <w:pStyle w:val="TableContents"/>
              <w:spacing w:before="0" w:after="283"/>
              <w:rPr/>
            </w:pPr>
            <w:r>
              <w:rPr/>
              <w:t> </w:t>
            </w:r>
          </w:p>
        </w:tc>
        <w:tc>
          <w:tcPr>
            <w:tcW w:w="350"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46</w:t>
            </w:r>
          </w:p>
        </w:tc>
        <w:tc>
          <w:tcPr>
            <w:tcW w:w="60" w:type="dxa"/>
            <w:tcBorders/>
            <w:shd w:fill="CCEEFF" w:val="clear"/>
            <w:vAlign w:val="center"/>
          </w:tcPr>
          <w:p>
            <w:pPr>
              <w:pStyle w:val="TableContents"/>
              <w:spacing w:before="0" w:after="283"/>
              <w:rPr/>
            </w:pPr>
            <w:r>
              <w:rPr/>
              <w:t> </w:t>
            </w:r>
          </w:p>
        </w:tc>
        <w:tc>
          <w:tcPr>
            <w:tcW w:w="6455"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and General Manager, Workforce Development Solutions</w:t>
            </w:r>
          </w:p>
        </w:tc>
      </w:tr>
      <w:tr>
        <w:trPr/>
        <w:tc>
          <w:tcPr>
            <w:tcW w:w="1895"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 Scott McQuigg</w:t>
            </w:r>
          </w:p>
        </w:tc>
        <w:tc>
          <w:tcPr>
            <w:tcW w:w="60" w:type="dxa"/>
            <w:tcBorders/>
            <w:shd w:fill="FFFFFF" w:val="clear"/>
            <w:vAlign w:val="center"/>
          </w:tcPr>
          <w:p>
            <w:pPr>
              <w:pStyle w:val="TableContents"/>
              <w:spacing w:before="0" w:after="283"/>
              <w:rPr/>
            </w:pPr>
            <w:r>
              <w:rPr/>
              <w:t> </w:t>
            </w:r>
          </w:p>
        </w:tc>
        <w:tc>
          <w:tcPr>
            <w:tcW w:w="350"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54</w:t>
            </w:r>
          </w:p>
        </w:tc>
        <w:tc>
          <w:tcPr>
            <w:tcW w:w="60" w:type="dxa"/>
            <w:tcBorders/>
            <w:shd w:fill="FFFFFF" w:val="clear"/>
            <w:vAlign w:val="center"/>
          </w:tcPr>
          <w:p>
            <w:pPr>
              <w:pStyle w:val="TableContents"/>
              <w:spacing w:before="0" w:after="283"/>
              <w:rPr/>
            </w:pPr>
            <w:r>
              <w:rPr/>
              <w:t> </w:t>
            </w:r>
          </w:p>
        </w:tc>
        <w:tc>
          <w:tcPr>
            <w:tcW w:w="6455"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and General Manager, Workforce Scheduling Solutions</w:t>
            </w:r>
          </w:p>
        </w:tc>
      </w:tr>
      <w:tr>
        <w:trPr/>
        <w:tc>
          <w:tcPr>
            <w:tcW w:w="1895"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Kevin O’Hara</w:t>
            </w:r>
          </w:p>
        </w:tc>
        <w:tc>
          <w:tcPr>
            <w:tcW w:w="60" w:type="dxa"/>
            <w:tcBorders/>
            <w:shd w:fill="CCEEFF" w:val="clear"/>
            <w:vAlign w:val="center"/>
          </w:tcPr>
          <w:p>
            <w:pPr>
              <w:pStyle w:val="TableContents"/>
              <w:spacing w:before="0" w:after="283"/>
              <w:rPr/>
            </w:pPr>
            <w:r>
              <w:rPr/>
              <w:t> </w:t>
            </w:r>
          </w:p>
        </w:tc>
        <w:tc>
          <w:tcPr>
            <w:tcW w:w="350"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w:t>
            </w:r>
          </w:p>
        </w:tc>
        <w:tc>
          <w:tcPr>
            <w:tcW w:w="60" w:type="dxa"/>
            <w:tcBorders/>
            <w:shd w:fill="CCEEFF" w:val="clear"/>
            <w:vAlign w:val="center"/>
          </w:tcPr>
          <w:p>
            <w:pPr>
              <w:pStyle w:val="TableContents"/>
              <w:spacing w:before="0" w:after="283"/>
              <w:rPr/>
            </w:pPr>
            <w:r>
              <w:rPr/>
              <w:t> </w:t>
            </w:r>
          </w:p>
        </w:tc>
        <w:tc>
          <w:tcPr>
            <w:tcW w:w="6455" w:type="dxa"/>
            <w:tcBorders/>
            <w:shd w:fill="CCEE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and General Manager, Platform Solutions</w:t>
            </w:r>
          </w:p>
        </w:tc>
      </w:tr>
      <w:tr>
        <w:trPr/>
        <w:tc>
          <w:tcPr>
            <w:tcW w:w="1895"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Fenstermacher</w:t>
            </w:r>
          </w:p>
        </w:tc>
        <w:tc>
          <w:tcPr>
            <w:tcW w:w="60" w:type="dxa"/>
            <w:tcBorders/>
            <w:shd w:fill="FFFFFF" w:val="clear"/>
            <w:vAlign w:val="center"/>
          </w:tcPr>
          <w:p>
            <w:pPr>
              <w:pStyle w:val="TableContents"/>
              <w:spacing w:before="0" w:after="283"/>
              <w:rPr/>
            </w:pPr>
            <w:r>
              <w:rPr/>
              <w:t> </w:t>
            </w:r>
          </w:p>
        </w:tc>
        <w:tc>
          <w:tcPr>
            <w:tcW w:w="350"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53</w:t>
            </w:r>
          </w:p>
        </w:tc>
        <w:tc>
          <w:tcPr>
            <w:tcW w:w="60" w:type="dxa"/>
            <w:tcBorders/>
            <w:shd w:fill="FFFFFF" w:val="clear"/>
            <w:vAlign w:val="center"/>
          </w:tcPr>
          <w:p>
            <w:pPr>
              <w:pStyle w:val="TableContents"/>
              <w:spacing w:before="0" w:after="283"/>
              <w:rPr/>
            </w:pPr>
            <w:r>
              <w:rPr/>
              <w:t> </w:t>
            </w:r>
          </w:p>
        </w:tc>
        <w:tc>
          <w:tcPr>
            <w:tcW w:w="6455" w:type="dxa"/>
            <w:tcBorders/>
            <w:shd w:fill="FFFFFF"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Senior Vice President, Sales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 one of our co-founders, has served as our chief executive officer and chairman of the board of directors since 1990 and served as our president since 2001. On May 15, 2018, following the appointment of Mr. Pearson as the president of the Company, Mr. Frist no longer served in such position. Mr. Frist is the company’s chief operating decision maker. He graduated with a Bachelor of Science in Business with concentrations in Finance, Economics, and Marketing from Trinity University.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 Edward Pearson joined the Company in June 2006 as senior vice president and was promoted to chief operating officer in 2011 and to president on May 15, 2018. He earned a Bachelor of Business Administration in Accounting from Middle Tennessee State University.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Sousa joined the Company in October 2004 and served as senior vice president of sales from January 2010 to June 2014. In June 2014, he was promoted to senior vice president of business development. In February 2015, he was named president of Echo, Inc. (now known as VerityStream), HealthStream’s Provider Solutions business segment, while continuing to serve as a senior vice president of the Company. He earned a Bachelor of Science degree from Boston College and a Master of Business Administration from Boston University.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 joined the Company in January 2002 and served as vice president of accounting and finance beginning in January 2015, following service in multiple positions to which he was promoted. Thereafter, Mr. Roberts was appointed as interim chief financial officer in February 2019 and was appointed as chief financial officer and senior vice president of the Company in September 2019. He earned a Bachelor of Business Administration degree from Middle Tennessee State University.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Jeffrey D. Cunningham joined the Company in July 2017 as senior vice president and chief technology officer. Prior to joining the Company, he founded and served as chief technology officer and chief strategy officer for Informatics Corporation of America for twelve years. He earned a Bachelor of Science in Computer Science from University of North Texas.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M. Collier joined the Company in August 2011 as vice president and general counsel, began serving as the vice president of business development and general counsel shortly thereafter, and was promoted to senior vice president of corporate development and general counsel in July 2017. Mr. Collier also serves as the Company’s Corporate Secretary. He graduated with bachelors and masters degrees in Philosophy and Religion from University of Tennessee-Knoxville and earned a Juris Doctorate (J.D.) from University of California, Berkeley – School of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Trisha L. Coady joined the Company in January 2014 and served as associate vice president and subsequently vice president and general manager of clinical development solutions from June 2015 to November 2018. In November 2018, she was promoted to senior vice president and general manager of clinical solutions. Ms. Coady currently serves as general manager of workforce development solutions. She earned a Science in Nursing degree from Université de Moncton.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 Scott McQuigg joined the Company in January 2019 as senior vice president of hStream solutions. Mr. McQuigg currently serves as general manager of scheduling solutions. Prior to joining the Company, he co-founded and served as chief executive officer for GoNoodle for thirteen years. Before this role, he co-founded and served as chief executive officer of HealthLeaders.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Kevin O’Hara joined the Company in January 2021 as senior vice president and general manager of platform solutions. Prior to joining the Company, he served as chief product officer for Caresyntax for one year and as chief executive officer for Syus, a predecessor entity, for eight years. He earned a Bachelor of Arts in Public Policy Studies and a J.D. from Vanderbilt University.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Fenstermacher joined the Company in 2012 and served as vice president of sales beginning in 2017 and was promoted to senior vice president of sales in January 2021. He graduated from University of Pittsburgh with a Bachelor of Arts and a Bachelor of Science.</w:t>
      </w:r>
    </w:p>
    <w:p>
      <w:pPr>
        <w:pStyle w:val="TextBody"/>
        <w:rPr/>
      </w:pPr>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bookmarkStart w:id="5" w:name="i1A"/>
      <w:bookmarkEnd w:id="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w:t>
      </w:r>
      <w:r>
        <w:rPr>
          <w:rFonts w:ascii="Times New Roman" w:hAnsi="Times New Roman"/>
          <w:b/>
          <w:i/>
          <w:caps w:val="false"/>
          <w:smallCaps w:val="false"/>
          <w:sz w:val="20"/>
        </w:rPr>
        <w:t>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risks and uncertainties described below are the material risks facing the Company as of the date of this Annual Report on Form 10-K. Our business, reputation, financial condition, results of operations, and/or prospects could be materially and adversely affected by the occurrence of any of the following risks and uncertainties. The considerations and risks that follow are organized within relevant headings but may be relevant to other headings as well. Additional risks or uncertainties not presently known to us, or that we currently deem immaterial, also may adversely affect our business, reputation, financial condition, results of operations, and prospects. Therefore, the risk factors below should not be considered a complete list of potential risks we may face. The trading price of our common stock could also decline due to the occurrence of any of the following risks, as well as risks and uncertainties not presently known to us, or that we currently deem immaterial.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the COVID-19 Pandemic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coronavirus pandemic has adversely impacted our business and could have material adverse impacts on our business or financial results if public health and/or economic conditions in the United States deteriorate.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COVID-19 pandemic, which was first declared to be a national public health emergency by HHS in January 2020, continues to significantly impact economic and public health conditions in the United States. Although vaccines have become widely available in the United States, COVID-19 continues to result in a significant number of hospitalizations and deaths in the United States, and restrictive measures, including mask and vaccine requirements, have continued or been reinstated by various governmental authorities and private businesses.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provider of solutions to healthcare organizations, we have been, and expect to continue to be, adversely impacted by the pandemic's adverse impact on healthcare organizations. We believe that certain developments related to the pandemic negatively impacted our business in 2021, and are expected to continue to negatively impact our business during 2022 and potentially thereafter. In particular, sales cycles have been delayed or postponed such that declines in sales bookings by customers since the beginning of the pandemic will result in negative impact to revenue and earnings in 2022 and potentially thereafter. Conditions and uncertainty related to the pandemic have caused some customers to delay purchasing decisions they would have otherwise made. Such conditions have also adversely impacted the ability or willingness of some customers to renew their contracts with us or to renew contracts at the same levels. Pandemic-related conditions have also delayed or adversely impacted our ability to enter into contracts with new potential customers, as some potential customers have been focused on dealing with the demands of the COVID-19 pandemic on their workforce and business. Moreover, since mid-March 2020, our sales organization has had to readjust their sales strategy to accommodate virtual meetings as opposed to onsite meetings with customers. This readjustment period, along with our customers’ need to focus pandemic-related demands, has reduced, and may continue to reduce, the ability of our sales team to make sales they might otherwise make absent such conditions. Further, given that we sell multiple year subscriptions to our solutions, the revenue impact of lost or delayed bookings through sales in a given period generally does not manifest until future periods, just as the revenue we recognize in a given period is generally the result of bookings from a prior period.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the timing of implementation of our services is relevant to our business because our software solutions do not result in revenue recognition until made available for use. To the extent our customers delay or fail to implement products they have purchased, our financial results will be adversely impacted. While we have experienced certain implementation delays related to the pandemic that have negatively impacted us, these delays have not been consistent across products or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also relies on a network of partners whose solutions we resell or whose solutions are sold and delivered over our platform. To the extent that the pandemic results in ongoing or increased business disruption or adverse impacts to our partners, such disruptions and adverse impacts could adversely impact our business as well, though we have not yet experienced significant adverse impacts in this respect.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to the pandemic, we have adopted a hybrid work policy that provides our employees with the ability to choose to work remotely or from one of our offices. Moreover, our offices remained closed to employees until December 2021, when we provided employees demonstrating proof of vaccination with the option to work from one of our offices, if they so choose. Despite this option, a large majority of our employees continue to work on a fully remote basis. While we have not observed a negative disruption to productivity to date, operating on a prolonged basis as a remote workforce could result in decreases in productivity, increased security risks, impair our ability to manage our business, and harm our ability to attract, retain, and onboard employees. Moreover, the implementation of local, state, and federal vaccine mandates, some of which may conflict with one another, could have an adverse impact on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healthcare organizations have been, and may continue to be, adversely impacted by the pandemic. Moreover, adverse conditions related to the pandemic have caused, and could continue to cause, certain of our customers to be unable to pay for our products and services in a timely and complete manner, or unable to pay at all, which has had, and may continue to have, an adverse impact on our financial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continues to be significant uncertainties associated with the COVID-19 pandemic, including with respect to the severity and duration of the pandemic, the availability, acceptance and sustained efficacy of medical treatments and vaccines (including additional doses of vaccines) with respect to COVID-19, the spread of potentially more contagious and/or virulent forms of the virus, including any variants for which currently available vaccines, treatments, and/or tests may not be effective or authorized, actions that have been and may continue to be taken by governmental authorities and private businesses to mitigate against the impact of the pandemic, including through existing and any future stimulus efforts as well as vaccine and testing requirements, and the ongoing impact of the pandemic on healthcare organizations and on economic conditions. Moreover, developments related to the pandemic continue to evolve quickly, and additional developments may occur that we are unable to predict, particularly given that various new strains of the virus have emerged and may continue to proliferate.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Developments related to the pandemic have adversely impacted our business and are expected to continue to adversely impact our business. In addition, the pandemic could have a material adverse effect on our business, financial condition, results of operations, and/or cash flows if public health and/or economic conditions in the United States deteriorate. In addition, the impact of the pandemic may exacerbate other risks discussed in Part I, Item 1A, Risk Factors, of this Annual Report on Form 10-K.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Business Model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effectively execute our business strategy which could have an adverse effect on our business and competitive position in the industry.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strategy includes increasing our market share and presence through sales to new customers, additional sales to existing customers, introductions of new products and services, participation in our ecosystem, interoperability and integration with our platform, and maintaining strong relationships with our existing customers. Risks that we may encounter in executing our growth strategy include: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expenses, delays, and difficulties in identifying and developing new products or services and integrating such new products or services into our existing organization;</w:t>
            </w:r>
          </w:p>
        </w:tc>
      </w:tr>
    </w:tbl>
    <w:p>
      <w:pPr>
        <w:pStyle w:val="TextBody"/>
        <w:spacing w:before="0" w:after="0"/>
        <w:ind w:left="0" w:right="0" w:hanging="0"/>
        <w:rPr>
          <w:caps w:val="false"/>
          <w:smallCaps w:val="false"/>
        </w:rPr>
      </w:pPr>
      <w:r>
        <w:rPr>
          <w:caps w:val="false"/>
          <w:smallCaps w:val="false"/>
        </w:rPr>
        <w:t> </w:t>
      </w:r>
    </w:p>
    <w:tbl>
      <w:tblPr>
        <w:tblW w:w="6970" w:type="dxa"/>
        <w:jc w:val="left"/>
        <w:tblInd w:w="0" w:type="dxa"/>
        <w:tblCellMar>
          <w:top w:w="0" w:type="dxa"/>
          <w:left w:w="0" w:type="dxa"/>
          <w:bottom w:w="0" w:type="dxa"/>
          <w:right w:w="0" w:type="dxa"/>
        </w:tblCellMar>
      </w:tblPr>
      <w:tblGrid>
        <w:gridCol w:w="110"/>
        <w:gridCol w:w="6860"/>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6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leverage or evolve our customer and partner facing technology platform;</w:t>
            </w:r>
          </w:p>
        </w:tc>
      </w:tr>
    </w:tbl>
    <w:p>
      <w:pPr>
        <w:pStyle w:val="TextBody"/>
        <w:spacing w:before="0" w:after="0"/>
        <w:ind w:left="0" w:right="0" w:hanging="0"/>
        <w:rPr>
          <w:caps w:val="false"/>
          <w:smallCaps w:val="false"/>
        </w:rPr>
      </w:pPr>
      <w:r>
        <w:rPr>
          <w:caps w:val="false"/>
          <w:smallCaps w:val="false"/>
        </w:rPr>
        <w:t> </w:t>
      </w:r>
    </w:p>
    <w:tbl>
      <w:tblPr>
        <w:tblW w:w="8845" w:type="dxa"/>
        <w:jc w:val="left"/>
        <w:tblInd w:w="0" w:type="dxa"/>
        <w:tblCellMar>
          <w:top w:w="0" w:type="dxa"/>
          <w:left w:w="0" w:type="dxa"/>
          <w:bottom w:w="0" w:type="dxa"/>
          <w:right w:w="0" w:type="dxa"/>
        </w:tblCellMar>
      </w:tblPr>
      <w:tblGrid>
        <w:gridCol w:w="110"/>
        <w:gridCol w:w="873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7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leverage our operational and financial systems and processes sufficiently to support our growth;</w:t>
            </w:r>
          </w:p>
        </w:tc>
      </w:tr>
    </w:tbl>
    <w:p>
      <w:pPr>
        <w:pStyle w:val="TextBody"/>
        <w:spacing w:before="0" w:after="0"/>
        <w:ind w:left="0" w:right="0" w:hanging="0"/>
        <w:rPr>
          <w:caps w:val="false"/>
          <w:smallCaps w:val="false"/>
        </w:rPr>
      </w:pPr>
      <w:r>
        <w:rPr>
          <w:caps w:val="false"/>
          <w:smallCaps w:val="false"/>
        </w:rPr>
        <w:t> </w:t>
      </w:r>
    </w:p>
    <w:tbl>
      <w:tblPr>
        <w:tblW w:w="6925" w:type="dxa"/>
        <w:jc w:val="left"/>
        <w:tblInd w:w="0" w:type="dxa"/>
        <w:tblCellMar>
          <w:top w:w="0" w:type="dxa"/>
          <w:left w:w="0" w:type="dxa"/>
          <w:bottom w:w="0" w:type="dxa"/>
          <w:right w:w="0" w:type="dxa"/>
        </w:tblCellMar>
      </w:tblPr>
      <w:tblGrid>
        <w:gridCol w:w="110"/>
        <w:gridCol w:w="681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generate sufficient revenue from our products to offset investment costs;</w:t>
            </w:r>
          </w:p>
        </w:tc>
      </w:tr>
    </w:tbl>
    <w:p>
      <w:pPr>
        <w:pStyle w:val="TextBody"/>
        <w:spacing w:before="0" w:after="0"/>
        <w:ind w:left="0" w:right="0" w:hanging="0"/>
        <w:rPr>
          <w:caps w:val="false"/>
          <w:smallCaps w:val="false"/>
        </w:rPr>
      </w:pPr>
      <w:r>
        <w:rPr>
          <w:caps w:val="false"/>
          <w:smallCaps w:val="false"/>
        </w:rPr>
        <w:t> </w:t>
      </w:r>
    </w:p>
    <w:tbl>
      <w:tblPr>
        <w:tblW w:w="8455" w:type="dxa"/>
        <w:jc w:val="left"/>
        <w:tblInd w:w="0" w:type="dxa"/>
        <w:tblCellMar>
          <w:top w:w="0" w:type="dxa"/>
          <w:left w:w="0" w:type="dxa"/>
          <w:bottom w:w="0" w:type="dxa"/>
          <w:right w:w="0" w:type="dxa"/>
        </w:tblCellMar>
      </w:tblPr>
      <w:tblGrid>
        <w:gridCol w:w="110"/>
        <w:gridCol w:w="834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3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effectively identify, manage, and benefit from existing and emerging market opportunities;</w:t>
            </w:r>
          </w:p>
        </w:tc>
      </w:tr>
    </w:tbl>
    <w:p>
      <w:pPr>
        <w:pStyle w:val="TextBody"/>
        <w:spacing w:before="0" w:after="0"/>
        <w:ind w:left="0" w:right="0" w:hanging="0"/>
        <w:rPr>
          <w:caps w:val="false"/>
          <w:smallCaps w:val="false"/>
        </w:rPr>
      </w:pPr>
      <w:r>
        <w:rPr>
          <w:caps w:val="false"/>
          <w:smallCaps w:val="false"/>
        </w:rPr>
        <w:t> </w:t>
      </w:r>
    </w:p>
    <w:tbl>
      <w:tblPr>
        <w:tblW w:w="4765" w:type="dxa"/>
        <w:jc w:val="left"/>
        <w:tblInd w:w="0" w:type="dxa"/>
        <w:tblCellMar>
          <w:top w:w="0" w:type="dxa"/>
          <w:left w:w="0" w:type="dxa"/>
          <w:bottom w:w="0" w:type="dxa"/>
          <w:right w:w="0" w:type="dxa"/>
        </w:tblCellMar>
      </w:tblPr>
      <w:tblGrid>
        <w:gridCol w:w="110"/>
        <w:gridCol w:w="465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6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maintain our existing customer relationships;</w:t>
            </w:r>
          </w:p>
        </w:tc>
      </w:tr>
    </w:tbl>
    <w:p>
      <w:pPr>
        <w:pStyle w:val="TextBody"/>
        <w:spacing w:before="0" w:after="0"/>
        <w:ind w:left="0" w:right="0" w:hanging="0"/>
        <w:rPr>
          <w:caps w:val="false"/>
          <w:smallCaps w:val="false"/>
        </w:rPr>
      </w:pPr>
      <w:r>
        <w:rPr>
          <w:caps w:val="false"/>
          <w:smallCaps w:val="false"/>
        </w:rPr>
        <w:t> </w:t>
      </w:r>
    </w:p>
    <w:tbl>
      <w:tblPr>
        <w:tblW w:w="3985" w:type="dxa"/>
        <w:jc w:val="left"/>
        <w:tblInd w:w="0" w:type="dxa"/>
        <w:tblCellMar>
          <w:top w:w="0" w:type="dxa"/>
          <w:left w:w="0" w:type="dxa"/>
          <w:bottom w:w="0" w:type="dxa"/>
          <w:right w:w="0" w:type="dxa"/>
        </w:tblCellMar>
      </w:tblPr>
      <w:tblGrid>
        <w:gridCol w:w="110"/>
        <w:gridCol w:w="387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8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identify, attract, and retain partners;</w:t>
            </w:r>
          </w:p>
        </w:tc>
      </w:tr>
    </w:tbl>
    <w:p>
      <w:pPr>
        <w:pStyle w:val="TextBody"/>
        <w:spacing w:before="0" w:after="0"/>
        <w:ind w:left="0" w:right="0" w:hanging="0"/>
        <w:rPr>
          <w:caps w:val="false"/>
          <w:smallCaps w:val="false"/>
        </w:rPr>
      </w:pPr>
      <w:r>
        <w:rPr>
          <w:caps w:val="false"/>
          <w:smallCaps w:val="false"/>
        </w:rPr>
        <w:t> </w:t>
      </w:r>
    </w:p>
    <w:tbl>
      <w:tblPr>
        <w:tblW w:w="3610" w:type="dxa"/>
        <w:jc w:val="left"/>
        <w:tblInd w:w="0" w:type="dxa"/>
        <w:tblCellMar>
          <w:top w:w="0" w:type="dxa"/>
          <w:left w:w="0" w:type="dxa"/>
          <w:bottom w:w="0" w:type="dxa"/>
          <w:right w:w="0" w:type="dxa"/>
        </w:tblCellMar>
      </w:tblPr>
      <w:tblGrid>
        <w:gridCol w:w="110"/>
        <w:gridCol w:w="3500"/>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50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maintain our corporate culture;</w:t>
            </w:r>
          </w:p>
        </w:tc>
      </w:tr>
    </w:tbl>
    <w:p>
      <w:pPr>
        <w:pStyle w:val="TextBody"/>
        <w:spacing w:before="0" w:after="0"/>
        <w:ind w:left="0" w:right="0" w:hanging="0"/>
        <w:rPr>
          <w:caps w:val="false"/>
          <w:smallCaps w:val="false"/>
        </w:rPr>
      </w:pPr>
      <w:r>
        <w:rPr>
          <w:caps w:val="false"/>
          <w:smallCaps w:val="false"/>
        </w:rPr>
        <w:t> </w:t>
      </w:r>
    </w:p>
    <w:tbl>
      <w:tblPr>
        <w:tblW w:w="4840" w:type="dxa"/>
        <w:jc w:val="left"/>
        <w:tblInd w:w="0" w:type="dxa"/>
        <w:tblCellMar>
          <w:top w:w="0" w:type="dxa"/>
          <w:left w:w="0" w:type="dxa"/>
          <w:bottom w:w="0" w:type="dxa"/>
          <w:right w:w="0" w:type="dxa"/>
        </w:tblCellMar>
      </w:tblPr>
      <w:tblGrid>
        <w:gridCol w:w="110"/>
        <w:gridCol w:w="4730"/>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7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increased competition from new and existing competitors;</w:t>
            </w:r>
          </w:p>
        </w:tc>
      </w:tr>
    </w:tbl>
    <w:p>
      <w:pPr>
        <w:pStyle w:val="TextBody"/>
        <w:spacing w:before="0" w:after="0"/>
        <w:ind w:left="0" w:right="0" w:hanging="0"/>
        <w:rPr>
          <w:caps w:val="false"/>
          <w:smallCaps w:val="false"/>
        </w:rPr>
      </w:pPr>
      <w:r>
        <w:rPr>
          <w:caps w:val="false"/>
          <w:smallCaps w:val="false"/>
        </w:rPr>
        <w:t> </w:t>
      </w:r>
    </w:p>
    <w:tbl>
      <w:tblPr>
        <w:tblW w:w="8785" w:type="dxa"/>
        <w:jc w:val="left"/>
        <w:tblInd w:w="0" w:type="dxa"/>
        <w:tblCellMar>
          <w:top w:w="0" w:type="dxa"/>
          <w:left w:w="0" w:type="dxa"/>
          <w:bottom w:w="0" w:type="dxa"/>
          <w:right w:w="0" w:type="dxa"/>
        </w:tblCellMar>
      </w:tblPr>
      <w:tblGrid>
        <w:gridCol w:w="110"/>
        <w:gridCol w:w="867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lengthy sales cycles, or customers delaying purchasing decisions or payments due to economic conditions;</w:t>
            </w:r>
          </w:p>
        </w:tc>
      </w:tr>
    </w:tbl>
    <w:p>
      <w:pPr>
        <w:pStyle w:val="TextBody"/>
        <w:spacing w:before="0" w:after="0"/>
        <w:ind w:left="0" w:right="0" w:hanging="0"/>
        <w:rPr>
          <w:caps w:val="false"/>
          <w:smallCaps w:val="false"/>
        </w:rPr>
      </w:pPr>
      <w:r>
        <w:rPr>
          <w:caps w:val="false"/>
          <w:smallCaps w:val="false"/>
        </w:rPr>
        <w:t> </w:t>
      </w:r>
    </w:p>
    <w:tbl>
      <w:tblPr>
        <w:tblW w:w="4810" w:type="dxa"/>
        <w:jc w:val="left"/>
        <w:tblInd w:w="0" w:type="dxa"/>
        <w:tblCellMar>
          <w:top w:w="0" w:type="dxa"/>
          <w:left w:w="0" w:type="dxa"/>
          <w:bottom w:w="0" w:type="dxa"/>
          <w:right w:w="0" w:type="dxa"/>
        </w:tblCellMar>
      </w:tblPr>
      <w:tblGrid>
        <w:gridCol w:w="110"/>
        <w:gridCol w:w="4700"/>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70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reduced spending by customers within our target markets;</w:t>
            </w:r>
          </w:p>
        </w:tc>
      </w:tr>
    </w:tbl>
    <w:p>
      <w:pPr>
        <w:pStyle w:val="TextBody"/>
        <w:spacing w:before="0" w:after="0"/>
        <w:ind w:left="0" w:right="0" w:hanging="0"/>
        <w:rPr>
          <w:caps w:val="false"/>
          <w:smallCaps w:val="false"/>
        </w:rPr>
      </w:pPr>
      <w:r>
        <w:rPr>
          <w:caps w:val="false"/>
          <w:smallCaps w:val="false"/>
        </w:rPr>
        <w:t> </w:t>
      </w:r>
    </w:p>
    <w:tbl>
      <w:tblPr>
        <w:tblW w:w="6910" w:type="dxa"/>
        <w:jc w:val="left"/>
        <w:tblInd w:w="0" w:type="dxa"/>
        <w:tblCellMar>
          <w:top w:w="0" w:type="dxa"/>
          <w:left w:w="0" w:type="dxa"/>
          <w:bottom w:w="0" w:type="dxa"/>
          <w:right w:w="0" w:type="dxa"/>
        </w:tblCellMar>
      </w:tblPr>
      <w:tblGrid>
        <w:gridCol w:w="110"/>
        <w:gridCol w:w="6800"/>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0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loss of a significant customer, including through acquisitions or consolidations;</w:t>
            </w:r>
          </w:p>
        </w:tc>
      </w:tr>
    </w:tbl>
    <w:p>
      <w:pPr>
        <w:pStyle w:val="TextBody"/>
        <w:spacing w:before="0" w:after="0"/>
        <w:ind w:left="0" w:right="0" w:hanging="0"/>
        <w:rPr>
          <w:caps w:val="false"/>
          <w:smallCaps w:val="false"/>
        </w:rPr>
      </w:pPr>
      <w:r>
        <w:rPr>
          <w:caps w:val="false"/>
          <w:smallCaps w:val="false"/>
        </w:rPr>
        <w:t> </w:t>
      </w:r>
    </w:p>
    <w:tbl>
      <w:tblPr>
        <w:tblW w:w="6745" w:type="dxa"/>
        <w:jc w:val="left"/>
        <w:tblInd w:w="0" w:type="dxa"/>
        <w:tblCellMar>
          <w:top w:w="0" w:type="dxa"/>
          <w:left w:w="0" w:type="dxa"/>
          <w:bottom w:w="0" w:type="dxa"/>
          <w:right w:w="0" w:type="dxa"/>
        </w:tblCellMar>
      </w:tblPr>
      <w:tblGrid>
        <w:gridCol w:w="110"/>
        <w:gridCol w:w="663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6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negative change in the financial condition or creditworthiness of our customers;</w:t>
            </w:r>
          </w:p>
        </w:tc>
      </w:tr>
    </w:tbl>
    <w:p>
      <w:pPr>
        <w:pStyle w:val="TextBody"/>
        <w:spacing w:before="0" w:after="0"/>
        <w:ind w:left="0" w:right="0" w:hanging="0"/>
        <w:rPr>
          <w:caps w:val="false"/>
          <w:smallCaps w:val="false"/>
        </w:rPr>
      </w:pPr>
      <w:r>
        <w:rPr>
          <w:caps w:val="false"/>
          <w:smallCaps w:val="false"/>
        </w:rPr>
        <w:t> </w:t>
      </w:r>
    </w:p>
    <w:tbl>
      <w:tblPr>
        <w:tblW w:w="8065" w:type="dxa"/>
        <w:jc w:val="left"/>
        <w:tblInd w:w="0" w:type="dxa"/>
        <w:tblCellMar>
          <w:top w:w="0" w:type="dxa"/>
          <w:left w:w="0" w:type="dxa"/>
          <w:bottom w:w="0" w:type="dxa"/>
          <w:right w:w="0" w:type="dxa"/>
        </w:tblCellMar>
      </w:tblPr>
      <w:tblGrid>
        <w:gridCol w:w="110"/>
        <w:gridCol w:w="795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9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failure of the market for our products and services to grow to a sufficient size or at a sufficient rate;</w:t>
            </w:r>
          </w:p>
        </w:tc>
      </w:tr>
    </w:tbl>
    <w:p>
      <w:pPr>
        <w:pStyle w:val="TextBody"/>
        <w:spacing w:before="0" w:after="0"/>
        <w:ind w:left="0" w:right="0" w:hanging="0"/>
        <w:rPr>
          <w:caps w:val="false"/>
          <w:smallCaps w:val="false"/>
        </w:rPr>
      </w:pPr>
      <w:r>
        <w:rPr>
          <w:caps w:val="false"/>
          <w:smallCaps w:val="false"/>
        </w:rPr>
        <w:t> </w:t>
      </w:r>
    </w:p>
    <w:tbl>
      <w:tblPr>
        <w:tblW w:w="8455" w:type="dxa"/>
        <w:jc w:val="left"/>
        <w:tblInd w:w="0" w:type="dxa"/>
        <w:tblCellMar>
          <w:top w:w="0" w:type="dxa"/>
          <w:left w:w="0" w:type="dxa"/>
          <w:bottom w:w="0" w:type="dxa"/>
          <w:right w:w="0" w:type="dxa"/>
        </w:tblCellMar>
      </w:tblPr>
      <w:tblGrid>
        <w:gridCol w:w="110"/>
        <w:gridCol w:w="834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3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negative impact on our customers and our business related to the ongoing impact of the pandemic; and</w:t>
            </w:r>
          </w:p>
        </w:tc>
      </w:tr>
    </w:tbl>
    <w:p>
      <w:pPr>
        <w:pStyle w:val="TextBody"/>
        <w:spacing w:before="0" w:after="0"/>
        <w:ind w:left="0" w:right="0" w:hanging="0"/>
        <w:rPr>
          <w:caps w:val="false"/>
          <w:smallCaps w:val="false"/>
        </w:rPr>
      </w:pPr>
      <w:r>
        <w:rPr>
          <w:caps w:val="false"/>
          <w:smallCaps w:val="false"/>
        </w:rPr>
        <w:t> </w:t>
      </w:r>
    </w:p>
    <w:tbl>
      <w:tblPr>
        <w:tblW w:w="8980" w:type="dxa"/>
        <w:jc w:val="left"/>
        <w:tblInd w:w="0" w:type="dxa"/>
        <w:tblCellMar>
          <w:top w:w="0" w:type="dxa"/>
          <w:left w:w="0" w:type="dxa"/>
          <w:bottom w:w="0" w:type="dxa"/>
          <w:right w:w="0" w:type="dxa"/>
        </w:tblCellMar>
      </w:tblPr>
      <w:tblGrid>
        <w:gridCol w:w="110"/>
        <w:gridCol w:w="8870"/>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8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hire sufficient number of qualified employees to execute and support the growth of the Company.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these risks are realized, our business, and our competitive position in the industry, could suffer.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Unfavorable conditions in our industry or the U.S. economy, or reductions in information technology spending, could limit our ability to grow our business and negatively affect our operating results.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results may vary based on the impact of changes in our industry or the economy on us or our clients. The revenue growth and potential profitability of our business depends on demand for our solutions by healthcare providers. We sell our products and services to large, mid-sized, and small organizations whose businesses fluctuate based on general economic and business conditions. In addition, a portion of our revenue is attributable to the number of users of our products at each of our clients, which in turn is influenced by the employment and hiring patterns of our clients and potential clients. To the extent that economic uncertainty or weak economic conditions cause our clients and potential clients to freeze or reduce their headcount or operations, demand for our products may be negatively affected. Moreover, prior economic downturns have resulted in overall reductions in spending by some healthcare providers as well as pressure from clients and potential clients for extended billing terms. If economic conditions deteriorate, our clients and potential clients may elect to decrease their budgets for our solutions by deferring or reconsidering purchases, which would limit our ability to grow our business and negatively affect our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other economic, regulatory or other developments that adversely or disproportionately impact the healthcare industry may reduce spending on information technology by healthcare organizations and otherwise adversely affect our customer base. Furthermore, the margins of many healthcare providers are modest, and potential decreases in reimbursement for healthcare costs may reduce the overall solvency of our customers or cause further deterioration in their financial or business condition. These developments could reduce our sales or adversely impact the ability of our customers to pay for our products and services.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as noted above, there continue to be significant uncertainties associated with the extent and duration of the pandemic’s ongoing impact on the economy, the healthcare sector, and our financial results. Our business also could be adversely impacted by catastrophic events (particularly in areas where we have office locations and/or where we have network infrastructure), such as fires, earthquakes, hurricanes, natural disasters, civil unrest, military conflicts or warfare (such as that escalating in Europe), geographic instability, terrorist attacks, pandemics or other public health emergencies, or the effects of climate change (such as drought, flooding, wildfires, increased storm severity and sea level rise).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the U.S. economy has improved in comparison to 2020, it has recently experienced various disruptions, including inflationary pressures, significant disruptions to global supply networks, and challenging labor market conditions. In this regard, we have recently experienced, and believe that some of our customers have experienced, increased labor, supply chain, capital, and other expenditures associated with current inflationary pressures. We may be unable to fully offset the impact of these increased expenditures, which may adversely impact our business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unable to effectively identify, complete, or integrate the operations of acquisitions, joint ventures, collaborative arrangements, or other strategic investments, which would inhibit our ability to execute upon our growth strategy.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our growth strategy, we actively review possible acquisitions, joint ventures, collaborative arrangements, or strategic investments that complement or enhance our business, and we completed two acquisitions in 2021 and four acquisitions in 2020 as part of this growth strategy. However, we may be unable to source or complete future acquisitions, joint ventures, collaborative arrangements, or other strategic investments on acceptable terms or at all. In addition, if we finance acquisitions, joint ventures, collaborative arrangements, or other strategic initiatives by issuing equity securities, our existing shareholders may be diluted, which could affect the market price of our stock. As a result, if we fail to properly evaluate and execute acquisitions, joint ventures, collaborative arrangements, or strategic investments, our performance or prospects may be seriously harmed. Risks that we may encounter in implementing our acquisition, joint venture, collaborative arrangement, or strategic investment strategies include: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expenses, delays, or difficulties in identifying and integrating acquired companies or joint venture operations, collaborative arrangements, or other strategic investments into our organization and to otherwise realize expected synergies;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possibility that we may become responsible for substantial contingent or unanticipated liabilities as the result of an acquisition, joint venture, collaborative arrangement, or other strategic investment;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retain key personnel associated with acquired companies, joint ventures, collaborative arrangements, or other strategic investments;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of material customers or contracts and other key business relations associated with acquired companies, joint ventures, collaborative arrangements, or other strategic investments;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diversion of management’s attention from other initiatives and/or day-to-day operations to effectively execute our growth strategy;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incorporation of products associated with acquired companies, joint ventures, collaborative arrangements, or other strategic investments into our product lines;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increasing demands on our operational and informational technology systems which may arise from any such acquired companies or joint venture operations, collaborative arrangements, or other strategic investments;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potentially insufficient internal controls over financial activities or financial reporting at any such acquired company that could impact us on a consolidated basis;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performance of acquired entities, joint ventures, collaborative arrangements, or other strategic investments may have a negative impact on our financial performance;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inability to generate sufficient revenue, profit, and cash flow from acquisitions, joint ventures, collaborative arrangements, or other strategic investments to offset our investment costs.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although we conduct what we believe to be a prudent level of investigation regarding the operating, financial, and information security conditions of acquired companies, joint ventures, collaborative arrangements, or other strategic investments, an unavoidable level of risk remains regarding the operating performance, financial condition, information and cyber security, and potential liabilities of these businesses, and we may not be able to fully assess these risks until a transaction has been completed.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a significant portion of the purchase price of companies we acquire may be allocated to acquired goodwill, which must be assessed for impairment at least annually, or to intangible assets, which are assessed for impairment upon certain triggering events. In the future, if our acquisitions do not yield expected returns, we may be required to take charges to our operating results based on this impairment assessment process, which could harm our operating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risks associated with our equity investments, including partial or complete loss of invested capital, and significant changes in the fair value of these investments could adversely impact our financial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invested in, and may continue to invest in, early-to-late stage companies for strategic reasons and to support key business initiatives, and we may not realize a return on our equity investments. Many such companies generate net losses and the market for their products, services, or technologies may be slow to develop or never materialize.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valuations of non-marketable equity investments are inherently complex due to the lack of readily available market data. We may experience additional volatility to our financial results due to changes in market prices of our marketable equity investments, the valuation and timing of observable price changes or impairments of our non-marketable equity investments, including impairments to such investments due to the COVID-19 pandemic, and changes in the proportionate share of earnings and losses or impairment of our equity investments accounted for under the equity method. This volatility could be material to our results in any particular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financial performance may be difficult to predict as the result of lengthy and widely varying sales cycles and other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period from our initial contact with a potential customer and such customer’s first purchase of our solution typically ranges from three to nine months, and in some cases may be significantly longer. Sales of additional solutions to existing customers may also experience sales cycles ranging from three to nine months, or longer. The range in the sales cycle can be impacted by multiple factors, including an increasing trend towards more formal request for proposal processes and more competition within our industry, delays associated with the impact of the pandemic, as well as formal budget timelines which impact timing of purchases by target customers. New products, including those that may compete with or replace our former product offerings, tend to have a longer and more unpredictable revenue ramp period because of varying customer adoption rates. As a result of these factors, our ability to accurately predict the timing and type of initial sales may be limited. Moreover, while the revenue we receive from particular products and services in our subscription business may be predictable during the term of the applicable contract, the performance of our subscription business may become more subject to fluctuations between quarterly periods as our solution offerings are increasingly diversified and become more sophisticated. Certain professional services contracts are subject to the customers’ involvement in the provision of the product or service. The timing and magnitude of these product and service contracts may vary widely from quarter to quarter and year to year, and thus may affect our ability to accurately forecast our financial performance. In addition, some products can require significant implementation lead times and resources and may require a level of change management efforts from our clients, which may also limit our ability to accurately predict our financial performance. Additionally, our ability to accurately predict our financial performance may be further limited as we expand our revenue generating model such that third parties may pay network connection fees based on sales they make.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maintain our competitive position against current and potential competitors, especially those with significantly greater financial, technical, marketing, or other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of our competitors and potential competitors have longer operating histories and significantly greater financial, technical, marketing, or other resources than we do. We encounter direct competition from both large and small companies focused on providing solutions that compete with those we offer. Given the profile and growth of the healthcare industry and the ongoing need for training, simulation, scheduling, credentialing, and other information products and services, it is likely that additional competitors will emerge. Additionally, mergers of or other strategic transactions by our competitors could weaken our competitive position. Moreover, our lack of market diversification resulting from our concentration on the healthcare industry may make us susceptible to losing market share to our competitors who also offer solutions, and in some cases a more robust suite of solutions, to a cross-section of industries. These companies may be able to respond more quickly than we can to new or changing opportunities, technologies, standards, or customer requirements. Additionally, given the evolving nature of technology, our technology enabled offerings may be disrupted by innovative or emerging technologies, such as blockchain, Web3, or quantum computing technologies, and such disruption could adversely impact our ability to compete. Further, most of our customer agreements are for terms ranging from one to five years, with no obligation to renew. The terms of these agreements may enable customers to more easily shift to one of our competitors following the expiration of the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Expanding our business model such that third parties may pay network connection fees in exchange for the ability to deliver their products through our technology platform and have them featured as part of our ecosystem may result in unpredictability to and/or harm to the operational and financial performance of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expanded its business model by offering third parties the ability to utilize their sales teams to market and sell their third party products and have such products delivered through the Company’s technology platform, provided such third parties pay a network connectivity fee when such products are sold to customers in our network. Given that these third parties are responsible for their products and the marketing and selling thereof, the Company may not always be able to ensure the operational, financial, or security-related performance or impact of products controlled by a third party. While we have contractual protections with third parties regarding their products, including but not limited to service levels, information security, confidentiality, data rights, and indemnification against certain breaches, these may not be sufficient to ensure the predictability or performance of such products, or potential negative impacts related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failure to maintain and strengthen our relationships with ecosystem partners or significant changes in the terms of the agreements we have with ecosystem partners may have an adverse impact on our ability to successfully market, sell, and deliver certain product and service offerings.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entered into contracts with ecosystem partners, including content, application, infrastructure, technology, and retail channel vendors. Our ability to increase the sales of our products and services depends in part upon maintaining and strengthening relationships with these current and future ecosystem partners. Certain ecosystem partners may offer multiple products and services, including, in some instances, products or services which may compete with other products and services we offer. Moreover, under contracts with some of our ecosystem partners, we may be bound by provisions that restrict our ability to market and sell our products and services to certain potential customers. The success of these contractual arrangements will depend in part upon the ecosystem partners’ own competitive, marketing, and strategic considerations, including the relative advantages for such ecosystem partners in using alternative products being developed and marketed by them or our competitors, rather than our products and services.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most of our agreements with ecosystem partners are for initial terms of three or more years. These partners may choose not to renew their agreements with us or may terminate their agreements early if we do not fulfill our contractual obligations. If our partners terminate or fail to renew their agreements with us on as favorable terms, such as through a reduction in our revenue share arrangement, it could result in a reduction in the number of solutions we are able to distribute, declines in the number of subscribers to our platform, and decreased revenues. Some of our agreements with our ecosystem partners are non-exclusive, and our competitors offer, or could offer, solutions that are similar to or the same as those we offer. If our current partners offer or otherwise make available their products and services to users or our competitors on more favorable terms than those offered to us or increase our license fees, our competitive position, revenue, and our profit margins and prospects could be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cannot guarantee that we will be able to maintain and strengthen our relationships with ecosystem partners, that we will be successful in effectively integrating or enhancing such partners’ products and technology, including without limitation through our emerging platform strategy, with, into, or through our own, or that such relationships will be successful in generating additional revenue. If any of these ecosystem partners have negative experiences with our products and services, or seek to amend or terminate the financial or other terms of the contracts or arrangements we have with them, we may need to increase our organizational focus on the types of services and solutions they sell and alter our development, integration, and/or distribution strategies, which may divert our planned efforts and resources from other projects.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could also be subject to claims and liability or related expenses as a result of the activities, products, or services of these ecosystem partners and/or our actual or alleged acts or omissions with regard to these ecosystem partners, which could adversely impact our business.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develop new products and services or enhancements to our existing products and services, or be able to achieve widespread acceptance of new products, services, or features, or keep pace with technological developments.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growth strategy depends in part on our ability to generate revenue growth through sales to new customers as well as increasing sales of additional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customer base. Furthermore, we are not able to accurately predict the volume or speed with which existing and new customers may adopt such new products and services. Because healthcare technology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or otherwise negatively impact our technology platform.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and/or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may be adversely affected. Continued growth and maintenance of our customer population is dependent on our ability to continue to provide relevant products and services in a timely manner. The success of our business will depend on our ability to continue providing our products and services as well as enhancing our content, product, and service offerings that address the needs of healthcare organizations in a timely manner.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continue to license our third party software, on which a portion of our product and service offerings rely, or we may experience errors in this software, which could adversely impact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solutions until equivalent technology, if available, is identified, licensed, and integrated. In addition, customers may choose not to renew their agreements with us or to terminate their agreements early if we lose or are unable to maintain licenses to some of our product components. If our customers terminate or fail to renew their agreements with us on as favorable terms, it could result in a reduction in the number of content and solutions we are able to distribute, declines in the number of subscribers to our offerings, and decreased revenues.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and time-consuming and could result in suspension of or interference with certain offerings to our clients and/or adverse publicity that could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Risks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significant portion of our revenue is generated from a relatively small number of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derive a substantial portion of our revenues from a relatively small number of customers. A termination or material modification of our agreements with any of our significant customers or a failure of these customers to renew their contracts on favorable terms, or at all, could have an adverse effect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significant portion of our business is subject to renewal. Therefore, renewals have a significant impact on our revenue and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year ended December 31, 2021, approximately 95% of our net revenue was derived from SaaS-based subscriptions and software licensing agreements. Our product and service contracts typically range from one to five years in length, and customers are not obligated to renew their contract with us after their contract term expires; in fact, some customers have elected not to renew their contract, and this risk has increased as the result of conditions related to the COVID-19 pandemic. In addition, our customers may renew at a lower price or activity level. Our customers’ renewals may decline or fluctuate as a result of a number of factors, including but not limited to, their dissatisfaction with our service, a dissipation or cessation of their need for one or more of our products or services, pricing, or competitive product offerings. If we are unable to renew a substantial portion of the contracts that are up for renewal or maintain our pricing, our results of operations and financial condition could be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Failure to adequately expand and optimize our direct sales infrastructure will impede our growth.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need to expand and optimize our sales infrastructure in order to grow our customer base and our business. Identifying and recruiting qualified personnel and training them in our sales methodology, our sales systems, and the use of our software requires significant time, expense, and attention. Moreover, the current competitive labor market has increased the challenge of recruiting and retaining qualified sales representatives. It can take significant time before our sales representatives are fully trained and productive. Our business may be adversely affected if our efforts to expand and train our direct sales teams do not generate a corresponding increase in revenues. In particular, if we are unable to hire, develop, and retain talented sales personnel or if new direct sales personnel are unable to achieve desired productivity levels in a reasonable period of time, we may not be able to realize the expected benefits of this investment or increase our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accurately predict the timing of revenue recognition from sales activity as it is often dependent on achieving certain events or performance milestones, and this inability could impact our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recognize revenue is dependent upon several factors in order for us to implement customers on our subscription-based platform and applications. If customers do not provide us with the information required to complete implementations in a timely manner, our ability to recognize revenue may be delayed, which could adversely impact our operating results. Moreover, some products can require significant implementation lead times and the rate at which customer orders move from backlog to revenue generation in connection with these products may significantly affect the timing of 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Because we recognize revenue from subscriptions for our products and services over the term of the subscription period, downturns or upturns in sales may not be immediately reflected in our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2021, we recognized approximately 95% of our revenue from customers monthly over the terms of their subscription or software licensing agreements, which generally have contract terms ranging from one to five years. As a result, much of the revenue we report in each quarter is related to subscription or licensing agreements entered into during previous quarters. Consequently, a decline in new or renewed subscription or licensing agreements in any one quarter will not necessarily be reflected in the revenue in that quarter and will negatively affect our revenue in future quarters. In addition, we may be unable to adjust our cost structure to reflect this reduced revenue. Accordingly, the effect of significant downturns in sales and market acceptance of our products and services may not be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as noted above, we generally have contract terms ranging from one to five years, and the fees payable under such contracts are often determined without reference to any increases in the consumer price index or similar inflation-related metric over the term of such contract. As such, particularly for longer term contracts, we may be adversely impacted by inflationary conditions such as those that the U.S. economy is currently experiencing given that the fees that we are receiving during the outstanding term of such contracts will not be impacted by general price increases resulting from inflation whereas such inflationary conditions may increase the amount of labor, capital, and other expenditures we incur in connection with the operation of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meet our strategic business objectives unless we obtain additional financing, which may not be available to us on favorable terms or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need to raise additional funds for various purposes, including to:</w:t>
      </w:r>
    </w:p>
    <w:p>
      <w:pPr>
        <w:pStyle w:val="TextBody"/>
        <w:spacing w:before="0" w:after="0"/>
        <w:ind w:left="0" w:right="0" w:hanging="0"/>
        <w:rPr>
          <w:caps w:val="false"/>
          <w:smallCaps w:val="false"/>
        </w:rPr>
      </w:pPr>
      <w:r>
        <w:rPr>
          <w:caps w:val="false"/>
          <w:smallCaps w:val="false"/>
        </w:rPr>
        <w:t> </w:t>
      </w:r>
    </w:p>
    <w:tbl>
      <w:tblPr>
        <w:tblW w:w="5770" w:type="dxa"/>
        <w:jc w:val="left"/>
        <w:tblInd w:w="0" w:type="dxa"/>
        <w:tblCellMar>
          <w:top w:w="0" w:type="dxa"/>
          <w:left w:w="0" w:type="dxa"/>
          <w:bottom w:w="0" w:type="dxa"/>
          <w:right w:w="0" w:type="dxa"/>
        </w:tblCellMar>
      </w:tblPr>
      <w:tblGrid>
        <w:gridCol w:w="60"/>
        <w:gridCol w:w="110"/>
        <w:gridCol w:w="560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60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develop new or enhance existing products, services, and technology;</w:t>
            </w:r>
          </w:p>
        </w:tc>
      </w:tr>
    </w:tbl>
    <w:p>
      <w:pPr>
        <w:pStyle w:val="TextBody"/>
        <w:spacing w:before="0" w:after="0"/>
        <w:ind w:left="0" w:right="0" w:hanging="0"/>
        <w:rPr>
          <w:caps w:val="false"/>
          <w:smallCaps w:val="false"/>
        </w:rPr>
      </w:pPr>
      <w:r>
        <w:rPr>
          <w:caps w:val="false"/>
          <w:smallCaps w:val="false"/>
        </w:rPr>
        <w:t> </w:t>
      </w:r>
    </w:p>
    <w:tbl>
      <w:tblPr>
        <w:tblW w:w="2905" w:type="dxa"/>
        <w:jc w:val="left"/>
        <w:tblInd w:w="0" w:type="dxa"/>
        <w:tblCellMar>
          <w:top w:w="0" w:type="dxa"/>
          <w:left w:w="0" w:type="dxa"/>
          <w:bottom w:w="0" w:type="dxa"/>
          <w:right w:w="0" w:type="dxa"/>
        </w:tblCellMar>
      </w:tblPr>
      <w:tblGrid>
        <w:gridCol w:w="60"/>
        <w:gridCol w:w="110"/>
        <w:gridCol w:w="27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7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respond to competitive pressures;</w:t>
            </w:r>
          </w:p>
        </w:tc>
      </w:tr>
    </w:tbl>
    <w:p>
      <w:pPr>
        <w:pStyle w:val="TextBody"/>
        <w:spacing w:before="0" w:after="0"/>
        <w:ind w:left="0" w:right="0" w:hanging="0"/>
        <w:rPr>
          <w:caps w:val="false"/>
          <w:smallCaps w:val="false"/>
        </w:rPr>
      </w:pPr>
      <w:r>
        <w:rPr>
          <w:caps w:val="false"/>
          <w:smallCaps w:val="false"/>
        </w:rPr>
        <w:t> </w:t>
      </w:r>
    </w:p>
    <w:tbl>
      <w:tblPr>
        <w:tblW w:w="3265" w:type="dxa"/>
        <w:jc w:val="left"/>
        <w:tblInd w:w="0" w:type="dxa"/>
        <w:tblCellMar>
          <w:top w:w="0" w:type="dxa"/>
          <w:left w:w="0" w:type="dxa"/>
          <w:bottom w:w="0" w:type="dxa"/>
          <w:right w:w="0" w:type="dxa"/>
        </w:tblCellMar>
      </w:tblPr>
      <w:tblGrid>
        <w:gridCol w:w="60"/>
        <w:gridCol w:w="110"/>
        <w:gridCol w:w="309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finance working capital requirements;</w:t>
            </w:r>
          </w:p>
        </w:tc>
      </w:tr>
    </w:tbl>
    <w:p>
      <w:pPr>
        <w:pStyle w:val="TextBody"/>
        <w:spacing w:before="0" w:after="0"/>
        <w:ind w:left="0" w:right="0" w:hanging="0"/>
        <w:rPr>
          <w:caps w:val="false"/>
          <w:smallCaps w:val="false"/>
        </w:rPr>
      </w:pPr>
      <w:r>
        <w:rPr>
          <w:caps w:val="false"/>
          <w:smallCaps w:val="false"/>
        </w:rPr>
        <w:t> </w:t>
      </w:r>
    </w:p>
    <w:tbl>
      <w:tblPr>
        <w:tblW w:w="7075" w:type="dxa"/>
        <w:jc w:val="left"/>
        <w:tblInd w:w="0" w:type="dxa"/>
        <w:tblCellMar>
          <w:top w:w="0" w:type="dxa"/>
          <w:left w:w="0" w:type="dxa"/>
          <w:bottom w:w="0" w:type="dxa"/>
          <w:right w:w="0" w:type="dxa"/>
        </w:tblCellMar>
      </w:tblPr>
      <w:tblGrid>
        <w:gridCol w:w="60"/>
        <w:gridCol w:w="110"/>
        <w:gridCol w:w="690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9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acquire or invest in complementary businesses, technologies, content, or products; or</w:t>
            </w:r>
          </w:p>
        </w:tc>
      </w:tr>
    </w:tbl>
    <w:p>
      <w:pPr>
        <w:pStyle w:val="TextBody"/>
        <w:spacing w:before="0" w:after="0"/>
        <w:ind w:left="0" w:right="0" w:hanging="0"/>
        <w:rPr>
          <w:caps w:val="false"/>
          <w:smallCaps w:val="false"/>
        </w:rPr>
      </w:pPr>
      <w:r>
        <w:rPr>
          <w:caps w:val="false"/>
          <w:smallCaps w:val="false"/>
        </w:rPr>
        <w:t> </w:t>
      </w:r>
    </w:p>
    <w:tbl>
      <w:tblPr>
        <w:tblW w:w="4225" w:type="dxa"/>
        <w:jc w:val="left"/>
        <w:tblInd w:w="0" w:type="dxa"/>
        <w:tblCellMar>
          <w:top w:w="0" w:type="dxa"/>
          <w:left w:w="0" w:type="dxa"/>
          <w:bottom w:w="0" w:type="dxa"/>
          <w:right w:w="0" w:type="dxa"/>
        </w:tblCellMar>
      </w:tblPr>
      <w:tblGrid>
        <w:gridCol w:w="60"/>
        <w:gridCol w:w="110"/>
        <w:gridCol w:w="405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0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otherwise effectively execute our growth strategy.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December 31, 2021, we had approximately $51.9 million in cash, cash equivalents, and marketable securities. We also have up to $65.0 million of availability under our Revolving Credit Facility, subject to certain covenants, which expires in October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cannot be assured that if we need additional financing, it will be available on terms favorable to us or at all. Moreover, the COVID-19 pandemic has led to disruption and volatility in financial and capital markets and could lead to future disruption and/or volatility.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Goodwill, identifiable intangible assets, long-lived assets, and strategic investments recorded on our balance sheet may be subject to impairment losses that could reduce our reported assets and earnings.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inherent uncertainties in the estimates, judgments, and assumptions used in assessing recoverability of goodwill, intangible assets, long-lived assets, and strategic investments. Economic, legal, regulatory, competitive, reputational, contractual, and other factors could result in future declines in the operating results of our business units or market values that do not support the carrying value of goodwill, identifiable intangible assets, long-lived assets, and strategic investments. Moreover, the risk of such declines in operating results and market values may be increased by conditions resulting from the COVID-19 pandemic. If the value of our goodwill, intangible assets, long-lived assets, or strategic investments is impaired, accounting principles require us to reduce their carrying value and report an impairment charge, which would reduce our reported assets and earnings for the period in which an impairment is recognized.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affected by healthcare reform efforts and other changes in the healthcare industry that impact us and our clients.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clients are concentrated in the healthcare industry, which is subject to changing regulatory, economic, and political conditions. The U.S. Congress and certain state legislatures have passed or are considering laws and regulations intended to result in major changes to the U.S. healthcare system. The most prominent of these reform efforts, the Patient Protection and Affordable Care Act, as amended by the Healthcare and Education Reconciliation Act of 2010 (collectively, the ACA), was designed to increase access to affordable health insurance for U.S. citizens and improve quality of care, but it also has reduced government program spending and imposed operating costs and changes on many of our clients.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ACA has been subject to legislative and regulatory changes and court challenges. There is uncertainty regarding whether, when, and how the ACA will be further changed and how the law will be interpreted and implemented. There is also uncertainty regarding whether, when, and what other health reform initiatives will be adopted and the impact of such efforts on the healthcare industry. For example, some members of Congress have proposed significantly expanding the coverage of government-funded programs, while others have proposed reducing them. There are also examples of additional reform efforts other than the ACA, such as the recently enacted No Surprises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industry participants, such as large employer groups and their affiliates, may also introduce financial or delivery system reforms or otherwise intensify competitive pressures. Some of the recent changes in the healthcare industry have driven consolidation, particularly among health insurance providers, which could affect the size of our customer base. Other reforms or industry changes may reduce payments from third party healthcare payers, including Medicare and Medicaid, to our customers.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legal or regulatory developments, as well as other healthcare-related or other developments, that adversely impact the business or financial condition of our clients, could reduce the amount of business we receive from such clients and thus have an adverse effect on our results of operations.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discover weaknesses in our internal controls over financial reporting, which may adversely affect investor confidence in the accuracy and completeness of our financial reports and consequently the market price of our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404 of the Sarbanes-Oxley Act of 2002 requires our management to report on and requires our independent public accounting firm to attest to, the effectiveness of our internal controls over financial reporting. The rules governing the standards to be met are complex and may require significant process review, documentation, and testing, as well as remediation efforts for any identified deficiencies. This process of review, documentation, testing, and remediation may result in increased expenses and require significant attention from management and other internal and external resources. These requirements may also extend to acquired entities and our efforts to integrate those operations into our system of internal controls. Any material weaknesses identified during this process may preclude us from asserting the effectiveness of our internal controls. This may negatively affect our stock price if we cannot effectively remediate the issues identified in a timely manner.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operating margins could be affected if our ongoing refinement to pricing models for our products and services is not accepted by our customers and the market.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make changes in the pricing of our offerings so as to increase revenue and meet the needs of our customers. We cannot predict whether the current pricing of our offerings or any ongoing refinements we make will be accepted by our existing customer base or by prospective customers. If our customers and potential customers decide not to accept our current or future pricing or offerings, it could have an adverse effect on our business and results of operations. Additionally, ecosystem partners establish the price for some of the products we market and sell, and we do not have control over such price setting or customer acceptance thereof or reaction thereto.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adequately develop our systems, processes, and support in a manner that will enable us to meet the demand for our products and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provided our online products and services for a significant period of time and continue to expand our ability to provide our solutions on both a subscription and transactional basis over the Internet or otherwise. Our future success will depend on our ability to effectively develop and maintain our infrastructure, including procurement of additional hardware and software, integrate and interoperate with third party systems, and implement the services, including customer support, necessary to meet the demand for our offerings. Our inability from time to time to successfully develop the necessary systems and implement the necessary services on a timely basis may result in our customers experiencing delays, interruptions, and/or errors in their service. Such delays or interruptions may cause customers to become dissatisfied with our service and move to competing providers. If this happens, our reputation, results of operations, and financial condition could be adversely affected.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operate in a challenging market for talent and may fail to attract and retain qualified personnel, including key management personnel.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performance is substantially dependent on the continued services of our management team and our ability to attract, retain, and motivate them. The loss of the services of any of our officers or senior managers, or the inability to attract additional officers or senior managers as appropriate, could harm our business, as we may not be able to find suitable replacements. We do not have employment agreements with any of our key personnel, other than our chief executive officer, and we do not maintain any “key person” life insurance policies. Moreover, current competitive labor market conditions may make it more difficult for us to attract and retain key management personnel.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our future success will depend on our ability to attract, train, motivate, and retain other highly skilled technical, managerial, marketing, sales, and customer support personnel. Competition for certain personnel is intense and, during the so called "Great Resignation" has reached historically high levels, especially for software developers, web designers, user experience and interaction designers, and sales personnel, and we may be unable to successfully attract sufficiently qualified personnel. Additionally, current competitive labor market conditions have increased, and may continue to increase, our labor costs as well as the difficulty of hiring and retaining qualified personnel. We have experienced in the past, and continue to experience, difficulty hiring qualified personnel in a timely manner for these positions, and we may not be able to fill positions in desired geographic areas or at all. The pool of qualified technical personnel, in particular, is limited. Many of the companies with which we compete for experienced personnel have greater resources than we have and some of these companies may offer more lucrative compensation packages. We anticipate needing to continue to maintain or increase the size of our staff to support our anticipated growth, without compromising the quality of our offerings or customer service. Our inability to locate, attract, hire, integrate and retain qualified personnel in sufficient numbers may reduce the quality of our services and impair our ability to grow and adversely impact our financial performance.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upgrade our hardware and software technology infrastructure quickly enough to effectively meet demand for our services or our operational needs.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must continue to obtain reasonably priced, commercially available hardware, operating software, and hosting services, as well as continue to enhance our software and systems to accommodate the increased use of our platform, the increased content in our library, the expanding amount and type of data we store on behalf of our customers, and the resulting increase in operational demands on our business, including as imposed by new and changing legal and regulatory requirements applicable to our business.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or reduced response time of our platforms could harm our business and could discourage current and potential customers from using or continuing to use our services and reduce future revenue. If we are unable to acquire, update, or enhance our technology infrastructure and systems quickly enough to effectively meet increased operational demands on our business, that may also have an adverse effect on our results of operations or financial condition. Further, our applications necessarily must integrate with a variety of systems and technologies. As we develop our platform and applications and rely on ever changing and improving technologies, we may be impeded by our customers’ and ecosystem partners’ inability to adopt new technologies and technology standards upon which new platform enhancements may be based.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network infrastructure and computer systems and software may fail.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unexpected event (including but not limited to a cyber-security incident, such as ransomware attack, security compromise, or other attempts to misappropriate our confidential information; telecommunications failure; vandalism; fire; earthquake; public health crises; epidemics or pandemics; or other catastrophic loss) at or impacting our Internet service providers’ facilities, our on-site data center facilities, or our public-cloud infrastructure providers, could cause the loss of critical data and prevent us from offering our products and services for an unknown period of time. Moreover, the ongoing COVID-19 pandemic could have a significant adverse operational impact on these facilities and/or these providers on which we rely, as such providers continue to navigate their own challenges resulting from their employee base continuing to work remotely and other impacts of the pandemic. In addition, in the remote work environments, the daily activities and productivity of our workforce is now more closely tied to key vendors, such as video conference services, consistently delivering their services without material disruption. Our ability to deliver information using the Internet and to operate in a remote working environment may be impaired because of infrastructure failures, service outages at third party internet providers, malicious attacks or other factors. System downtime could negatively affect our reputation and ability to sell our products and services and may expose us to significant third party claims. Our cyber liability and business interruption insurance may not adequately compensate us for losses that may occur. In addition, we rely on third parties to securely store our archived data, house our infrastructure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and cause customers to become dissatisfied and possibly take their business to a competing provider, which would adversely affect our financial performance.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A data breach or security incident could result in a loss of confidential data, give rise to remediation and other expenses, expose us to liability under HIPAA, the Family Educational Rights and Privacy Act (</w:t>
      </w:r>
      <w:r>
        <w:rPr>
          <w:rFonts w:ascii="Times New Roman" w:hAnsi="Times New Roman"/>
          <w:caps w:val="false"/>
          <w:smallCaps w:val="false"/>
          <w:sz w:val="20"/>
        </w:rPr>
        <w:t>“</w:t>
      </w:r>
      <w:r>
        <w:rPr>
          <w:rFonts w:ascii="Times New Roman" w:hAnsi="Times New Roman"/>
          <w:b/>
          <w:i/>
          <w:caps w:val="false"/>
          <w:smallCaps w:val="false"/>
          <w:sz w:val="20"/>
        </w:rPr>
        <w:t>FERPA</w:t>
      </w:r>
      <w:r>
        <w:rPr>
          <w:rFonts w:ascii="Times New Roman" w:hAnsi="Times New Roman"/>
          <w:caps w:val="false"/>
          <w:smallCaps w:val="false"/>
          <w:sz w:val="20"/>
        </w:rPr>
        <w:t>”</w:t>
      </w:r>
      <w:r>
        <w:rPr>
          <w:rFonts w:ascii="Times New Roman" w:hAnsi="Times New Roman"/>
          <w:b/>
          <w:i/>
          <w:caps w:val="false"/>
          <w:smallCaps w:val="false"/>
          <w:sz w:val="20"/>
        </w:rPr>
        <w:t>), foreign data privacy regulations, federal and state data protection and data privacy requirements, consumer protection laws, common law theories, and other laws, rules and regulations, subject us to litigation and governmental inquiries, damage our reputation, and otherwise adversely impact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collect and store sensitive information, including intellectual property, individually identifiable health and other information, provider credentialing and privileging data, education records, and other sensitive personal information, on our networks. We are directly subject to certain privacy and security requirements imposed under HIPAA and we collect and store data that qualifies as Protected Health Information (PHI) under HIPAA. In addition, there are a variety of other state, national, foreign, and international laws and regulations that apply to the collection, use, retention, protection, security, disclosure, transfer, and other processing of personal data, such as the California Consumer Protection Act (CCPA), which was recently significantly modified by the California Privacy Rights Act (CPRA), the Virginia Consumer Data Protection Act, and the Colorado Privacy Act, as well as the European Union’s General Data Protection Regulation (GDPR), Canada's Personal Information Protection and Electronic Documents Act, Australia's Privacy 1988, and New Zealand's Privacy Act 2020. The CCPA and CPRA also provide for civil penalties for violations, as well as a private right of action for data breaches that may increase data breach litigation. We may also be exposed to litigation, regulatory fines, penalties or other sanctions if the personal, confidential, or proprietary information of our customers is mishandled or misused by any of our suppliers, ecosystem partners, counterparties, or other third parties, or if such third parties do not have appropriate controls in place to protect such personal, confidential, or proprietary information. Moreover, several other states, as well as federal lawmakers, have proposed additional legislation. Further, many foreign data privacy regulations (including the GDPR) can be more stringent than those in the United States. The laws and regulations to which we are subject are rapidly evolving and changing and could have an adverse effect on our operations. Companies’ obligations and requirements under these laws and regulations are subject to uncertainty in how they may be interpreted by government authorities and regulators. The costs of compliance with, and the other burdens imposed by, these and other laws or regulatory actions may increase our operational costs, affect our customers’ willingness to permit us to use and store personal data, prevent us from selling our products or services, and/or affect our ability to invest in or jointly develop products. Failure to comply with these laws may result in governmental enforcement actions, private claims, including class action lawsuits, and damage to our reputation. We may also face audits or investigations by one or more domestic or foreign government agencies relating to our compliance with these regulations.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secure maintenance of sensitive information is critical to our business operations. As a result, the continued development and enhancement of controls, processes, and practices designed to protect our information systems from attack, damage, or unauthorized access remain a priority for us. If the security measures that we use to protect customer or personal information are ineffective, we may lose users of our services, which could reduce our revenue, tarnish our reputation, and subject us to significant liability. In addition, if our subcontractors, subprocessors, or various other vendors on which we rely fail to use adequate security or data protection processes or use personal date in an unpermitted or improper manner, we may be liable for certain losses and may damage our reputation. Additionally, our costs and efforts associated with obtaining and maintaining certain certifications related to data privacy and protection may also increase, to the extent we are able to obtain or maintain such certifications at 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implemented multiple layers of security measures to protect confidential data that we collect and store through technology, processes, and our people, and our defenses are monitored and routinely tested internally and by external parties. We rely, in part,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Moreover, advanced new attacks that may be directed at us or our third party vendors create risk of cybersecurity incidents, including ransomware, malware, and phishing incidents. We may also be subject to attacks in which malicious actors seek to, and potentially succeed in, exploiting our products or services as a vector to compromise the security or integrity of our customers, partners, or vendors. Further, the audit processes, penetration and vulnerability testing, and controls used within our production platforms may not be sufficient to identify and prevent errors or deliberate misuse. In addition, our software, databases, and servers may contain vulnerabilities or irregularities that lead to computer viruses, physical or electronic attacks, and similar disruptions. We may be at increased risk because we outsource certain services or functions to, or have systems that interface with, third parties. Our contracts with service providers typically require them to implement and maintain adequate security controls, but we may not have the ability to effectively monitor these security measures. As a result, inadequacies of the third party security controls may not be detected until after a security breach has occurred. For example, third party IT vendors may not provide us with fixes or updates to hardware or software in a manner as to avoid an unauthorized loss, access, or disclosure of data or to address a known vulnerability, which may subject us to known threats and cause system failures or disruptions. Third party vendors that store or have access to our data may not have effective controls, processes, or practices to protect our information from attack, damage, or unauthorized access. These risks may be heightened in connection with employees and service providers working from remote work environments, as our dependency on certain service providers, such as video conferencing and web conferencing services, has significantly increased. In addition, to access our network, products, and services, customers and other third parties may use personal mobile computing devices that are outside of our network environment and subject to their own security risk. A breach or attack affecting any of these third parties could harm our business. We cannot assure that we can prevent all security breaches.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Like many organizations, we have experienced data and cyber incidents from time to time in the course of our business and have handled those incidents in accordance with our internal policies and our understanding of applicable laws. In the future, potential data breaches or security incidents could result from a variety of circumstances and events, including third party action or inaction, system errors or downtime, employee negligence or error, malfeasance, failures during the process of upgrading or replacing software, databases, or components thereof, power outages, hardware failures, telecommunication failures, user errors, catastrophic events, or threats from malicious persons and groups, new vulnerabilities, and advanced new attacks against information systems. Data incidents could result in interruptions, delays, loss, access, misappropriation, and disclosure or corruption of data which could damage our reputation and could otherwise adversely impact our business. Moreover, in the current threat environment, cyberattacks have become increasingly frequent, sophisticated, and difficult to detect, and we may not be able to anticipate, prevent, or detect all such attacks. There can be no assurance that we will not be subject to data incidents that bypass our security measures, result in loss of confidential information, or disrupt our information systems or business. In addition, data and cyber incidents, particularly if a large number of individuals are affected or if the compromised information is highly sensitive, could expose us and our customers to liability under privacy, security, and consumer protection laws, such as HIPAA, FERPA, CCPA, CPRA, and foreign data privacy regulations or litigation under these or other laws, including common law theories, and subject us to federal and state governmental inquiries or enforcement, could require us to devote significant management resources to address the problems created by such events, could interfere with the pursuit of other important business strategies, and could cause us to incur additional expenditures, which could be material, including to investigate such events, remedy cybersecurity problems, recover lost data, and adapt systems and practices in response to such events. Moreover, our cyber liability and business interruption insurance may not adequately compensate us for losses that may occur.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we have acquired a number of companies, products, services, and technologies in recent years. Although we devote significant resources to address any security issues with respect to such acquisitions, we still may inherit additional security risks when we integrate those companies within HealthStream. Moreover, if a high-profile security breach occurs with respect to an industry peer, our customers and potential customers may lose trust in the security of our solutions in general.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threats to confidential information continue to evolve, we may be required to continue to expend significant resources to maintain, modify, or enhance our internal processes, governance, or protective measures, or to investigate and remediate any security vulnerabilities.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experience errors or omissions in our software products or processes, including those that deliver credentialing, privileging, and payer enrollment services for our healthcare customers and those that administer and report on healthcare facility performance, and these errors could result in action taken against us that could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Hospitals and medical practices use our credentialing, privileging, and payer enrollment software to manage, validate, and maintain their providers’ and other staff credentials and authorization to practice in a particular facility and to maintain authorization to perform care covered by insurance providers. In some instances, we rely on sources outside the Company for information that we use in our credentialing and privileging products. If errors or omissions occur that inaccurately validate or invalidate the credentials of a provider or staff, or improperly deny or authorize a provider or staff to practice in a hospital or medical practice, these errors or omissions could result in litigation brought against us either by our customers, the provider or staff member, or other interested parties. For example, an important element in a malpractice case brought against a hospital or other provider could be the validation of proper credentialing for the provider, and any errors or omissions in our products that provide these services could subject us to claims. Further, a list of providers’ privileges may be made available to the general public by hospitals and medical practices, and errors in credentialing and privileging may result in damage to the hospital, medical practice, or provider. We may also be required to indemnify against such claims and defending against any such claims could be costly and time-consuming and could negatively affect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 Regulation, Content, and Intellectual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Government regulation may subject us to investigation, litigation, or liability or require us to change the way we do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laws and regulations that govern our business change rapidly. Evolving areas of law that are relevant to our business include privacy and security laws (as discussed above), proposed encryption laws, content regulation, information security accountability regulation, privacy laws, sales and use tax laws, and regulations and attempts to regulate activities on the Internet. For example, we are directly subject to certain requirements of the HIPAA privacy and security regulations. In addition, we are required through business associate agreements with our customers to protect the privacy and security of certain personal and health related information. Further, government laws and regulations that directly affect our customers, can have an indirect impact on our business. We may also be required to develop features, enhancements, or modifications to our products to support our customers’ evolving compliance obligations. This may require us to divert development and other resources from other areas, incur significant expenditures, or, if we are unsuccessful in delivering these features, enhancements, or modifications, result in monetary damages, loss of revenue or customers, reputational harm, or other adverse impacts to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lose sales from existing or potential customers or incur significant expenses if states are successful in imposing state sales and use taxes on our services to a greater degree than is currently the case or we inherit potential state sales and use tax compliance issues in connection with acquisitions we may make from time to time. A successful assertion by one or more states that we should collect sales or uses taxes on the sale of our services to a greater degree than is our current practice could result in substantial tax liabilities for past sales, decrease our ability to compete on pricing with other vendors, and otherwise harm our business. Each state has different rules and regulations governing sales and use taxes, and these rules and regulations are subject to varying interpretations that may change over time. We cannot be assured that we will not be subject to sales and use taxes or related penalties for past sales in states where we believe no compliance is necessary.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are also subject to income and other taxes in the United States as well as in those states and foreign jurisdictions in which we do business. Changes in federal tax laws applicable to U.S. corporations and/or other laws, or interpretations of tax laws by taxing authorities or other standard setting bodies, could increase our tax obligations and adversely impact our results of operations. Additionally, we may be subject to taxes and tax laws in foreign jurisdictions where we do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rapidly evolving and uncertain regulatory and technology environment could require us to change how we do business or incur additional costs. It may be difficult to predict how changes to these laws and regulations might affect our business.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strive to adhere our practices and procedures to the laws that are applicable to our business, they are subject to evolving rules and regulations, interpretations, and regulator discretion. To the extent a regulator or court disagrees with our interpretation of these laws and determines that our practices are not in compliance with applicable laws and regulations, we could be subject to civil and criminal penalties that could adversely affect the continued operation of our business, including significant fines or monetary damages and/or penalties. In addition, failure to comply with applicable legal or regulatory requirements in the U.S. or in any of the countries in which we operate could result in significant legal and financial exposure, damage to our reputation, subject us to contractual penalties (including termination of our customer agreements), adversely affect our ability to retain clients and attract new clients, or otherwise have a material adverse effect on our business operations,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Any reduction or change in the regulation of continuing education and training in the healthcare industry may adversely affect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portion of 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and ANCC. The failure to maintain status as an accredited provider could have a detrimental effect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liable to third parties for content that is sold or made available by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 liable to third parties for the content sold or made available by us if the text, graphics, software, or other content therein violates copyright, trademark, or other intellectual property rights, if our ecosystem partners violate their contractual obligations to others by providing content that we sell or make available, or if the content is inaccurate, incomplete, or does not conform to accepted standards of care in the healthcare profession. Further, we may be liable to these ecosystem partners if we allow access or release and lose control of their intellectual property stored on our platform either due to security issues or through improper release to customers who have not paid for access to such intellectual property. We attempt to minimize these types of liabilities by requiring representations and warranties relating to our intellectual property partners’ ownership of the rights to distribute as well as the accuracy of their intellectual property. We also take measures to review this intellectual property ourselves. Although our agreements with our ecosystem partners in most instances contain provisions providing for indemnification by the ecosystem partners in the event of inaccurate intellectual property, our ecosystem partners may not have the financial resources to meet these indemnification obligations. Alleged liability could harm our business by damaging our reputation, requiring us to incur legal costs in defense, exposing us to awards of damages and costs, and diverting management’s attention away from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Protection of certain intellectual property may be difficult and costly, and our inability to protect our intellectual property could reduce the value of our products and services or reduce our competitive advantage.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Despite our efforts to protect our intellectual property rights, as well as the intellectual property rights of our ecosystem partners, a third party could, without authorization, copy or otherwise misappropriate our content, information from our databases, or other intellectual property, including that of our third party ecosystem partners. Our agreements with employees, consultants, and others who participate in development activities could be breached and result in our trade secrets becoming known. Alternatively, competitors and other third parties may independently develop or create content or systems that do not infringe our intellectual property rights.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could be harmed if unauthorized parties infringe upon or misappropriate our intellectual property, proprietary systems, content, platform, applications, services, or other information or the intellectual property of our ecosystem partners. Our efforts to protect our intellectual property through copyright, trademarks, trade secrets, patents, and other forms of protection, as well as our efforts to protect the intellectual property of our ecosystem partners,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 We also have certain contractual obligations to protect the intellectual property of our ecosystem partners and could be required to indemnify such ecosystem partners if we do not adequately provide such protections.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has been substantial litigation in the software services and healthcare technology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an adverse effect upon our business, financial condition, and operating results. Such royalty and licensing agreements may not be available on terms acceptable to us, if at 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be liable for infringing the intellectual property rights of others.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competitors may develop similar intellectual property, duplicate our offerings, or design around any patents or other intellectual property rights we hold.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and our ecosystem partners, especially as the number of our competitors grows. These claims, even if not meritorious, could be expensive and divert our attention from operating our company and result in a temporary inability to use the intellectual property subject to such claim. In addition, if we, our ecosystem partners, and/or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use open source software in our products, which could subject us to litigation or other 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open source software in our products and may use more open source software in the future. From time to time, there have been claims challenging the ownership of open source software against companies that incorporate it into their products. As a result, we could be subject to suits by parties claiming ownership of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we could, under certain of the open source licenses, be required to release the source code of our proprietary software products to the public. If we inappropriately use open source software, we may be required to re-engineer our products, discontinue the sale of our products, or take other remedial 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sources of data might restrict our use of or refuse to license data, which could adversely impact our ability to provide certain products or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portion of the data that we use is either purchased or licensed from third parties or public records or is obtained from our customers for specific customer engagements. We believe that we have all rights necessary to use the data that is incorporated into our products and services. However, if new laws or regulations impose restrictions on our use of the data or regulators’ or courts’ interpretations result in restrictions of the data that we currently use in our products and services, or a large number of data providers withdraw their data from us, our ability to provide our products and fulfill our contractual obligations to our customers could be materially adversely impacted.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International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face risks arising from our international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our acquisition of ANSOS, which was completed in December 2020, we have international offices and/or operations in several countries outside of the United States, including Canada, Australia, and New Zealand. Conducting our business internationally, particularly with expansion into countries in which we have limited experience, subjects us to a variety of risks that that we do not necessarily face to the same degree in the US. These risks include, among others: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unexpected changes in regulatory requirements, taxes, trade laws, tariffs, export quotas, custom duties, or other trade restrictions;</w:t>
            </w:r>
          </w:p>
        </w:tc>
      </w:tr>
    </w:tbl>
    <w:p>
      <w:pPr>
        <w:pStyle w:val="TextBody"/>
        <w:spacing w:before="0" w:after="0"/>
        <w:ind w:left="0" w:right="0" w:hanging="0"/>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60"/>
        <w:gridCol w:w="110"/>
        <w:gridCol w:w="221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2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differing labor regulations;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regulations relating to data privacy and security and the unauthorized use of, or access to, commercial and personal information;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penalties or other adverse consequences for violations of anti-corruption, anti-bribery, and other similar laws and regulations, including the US Foreign Corrupt Practices Act;</w:t>
            </w:r>
          </w:p>
        </w:tc>
      </w:tr>
    </w:tbl>
    <w:p>
      <w:pPr>
        <w:pStyle w:val="TextBody"/>
        <w:spacing w:before="0" w:after="0"/>
        <w:ind w:left="0" w:right="0" w:hanging="0"/>
        <w:rPr>
          <w:caps w:val="false"/>
          <w:smallCaps w:val="false"/>
        </w:rPr>
      </w:pPr>
      <w:r>
        <w:rPr>
          <w:caps w:val="false"/>
          <w:smallCaps w:val="false"/>
        </w:rPr>
        <w:t> </w:t>
      </w:r>
    </w:p>
    <w:tbl>
      <w:tblPr>
        <w:tblW w:w="5035" w:type="dxa"/>
        <w:jc w:val="left"/>
        <w:tblInd w:w="0" w:type="dxa"/>
        <w:tblCellMar>
          <w:top w:w="0" w:type="dxa"/>
          <w:left w:w="0" w:type="dxa"/>
          <w:bottom w:w="0" w:type="dxa"/>
          <w:right w:w="0" w:type="dxa"/>
        </w:tblCellMar>
      </w:tblPr>
      <w:tblGrid>
        <w:gridCol w:w="60"/>
        <w:gridCol w:w="110"/>
        <w:gridCol w:w="486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8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greater difficulty in supporting and localizing our products;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unrest and/or changes in a specific country’s or region’s social, political, legal, health, or economic conditions or other geopolitical developments;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challenges inherent in efficiently managing an increased number of employees over large geographic distances, including the need to implement appropriate systems, controls, policies, benefits, and compliance programs;</w:t>
            </w:r>
          </w:p>
        </w:tc>
      </w:tr>
    </w:tbl>
    <w:p>
      <w:pPr>
        <w:pStyle w:val="TextBody"/>
        <w:spacing w:before="0" w:after="0"/>
        <w:ind w:left="0" w:right="0" w:hanging="0"/>
        <w:rPr>
          <w:caps w:val="false"/>
          <w:smallCaps w:val="false"/>
        </w:rPr>
      </w:pPr>
      <w:r>
        <w:rPr>
          <w:caps w:val="false"/>
          <w:smallCaps w:val="false"/>
        </w:rPr>
        <w:t> </w:t>
      </w:r>
    </w:p>
    <w:tbl>
      <w:tblPr>
        <w:tblW w:w="3145" w:type="dxa"/>
        <w:jc w:val="left"/>
        <w:tblInd w:w="0" w:type="dxa"/>
        <w:tblCellMar>
          <w:top w:w="0" w:type="dxa"/>
          <w:left w:w="0" w:type="dxa"/>
          <w:bottom w:w="0" w:type="dxa"/>
          <w:right w:w="0" w:type="dxa"/>
        </w:tblCellMar>
      </w:tblPr>
      <w:tblGrid>
        <w:gridCol w:w="60"/>
        <w:gridCol w:w="110"/>
        <w:gridCol w:w="297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currency exchange rate fluctuations;</w:t>
            </w:r>
          </w:p>
        </w:tc>
      </w:tr>
    </w:tbl>
    <w:p>
      <w:pPr>
        <w:pStyle w:val="TextBody"/>
        <w:spacing w:before="0" w:after="0"/>
        <w:ind w:left="0" w:right="0" w:hanging="0"/>
        <w:rPr>
          <w:caps w:val="false"/>
          <w:smallCaps w:val="false"/>
        </w:rPr>
      </w:pPr>
      <w:r>
        <w:rPr>
          <w:caps w:val="false"/>
          <w:smallCaps w:val="false"/>
        </w:rPr>
        <w:t> </w:t>
      </w:r>
    </w:p>
    <w:tbl>
      <w:tblPr>
        <w:tblW w:w="4660" w:type="dxa"/>
        <w:jc w:val="left"/>
        <w:tblInd w:w="0" w:type="dxa"/>
        <w:tblCellMar>
          <w:top w:w="0" w:type="dxa"/>
          <w:left w:w="0" w:type="dxa"/>
          <w:bottom w:w="0" w:type="dxa"/>
          <w:right w:w="0" w:type="dxa"/>
        </w:tblCellMar>
      </w:tblPr>
      <w:tblGrid>
        <w:gridCol w:w="60"/>
        <w:gridCol w:w="110"/>
        <w:gridCol w:w="449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4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limited or unfavorable intellectual property protection;</w:t>
            </w:r>
          </w:p>
        </w:tc>
      </w:tr>
    </w:tbl>
    <w:p>
      <w:pPr>
        <w:pStyle w:val="TextBody"/>
        <w:spacing w:before="0" w:after="0"/>
        <w:ind w:left="0" w:right="0" w:hanging="0"/>
        <w:rPr/>
      </w:pPr>
      <w:r>
        <w:rPr/>
        <w:t> </w:t>
      </w:r>
    </w:p>
    <w:tbl>
      <w:tblPr>
        <w:tblW w:w="8185" w:type="dxa"/>
        <w:jc w:val="left"/>
        <w:tblInd w:w="0" w:type="dxa"/>
        <w:tblCellMar>
          <w:top w:w="0" w:type="dxa"/>
          <w:left w:w="0" w:type="dxa"/>
          <w:bottom w:w="0" w:type="dxa"/>
          <w:right w:w="0" w:type="dxa"/>
        </w:tblCellMar>
      </w:tblPr>
      <w:tblGrid>
        <w:gridCol w:w="60"/>
        <w:gridCol w:w="110"/>
        <w:gridCol w:w="801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competition with companies or other services that may understand local markets better than we do;</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increased financial accounting and reporting burdens and complexities associated with implementing and maintaining adequate internal controls;</w:t>
            </w:r>
          </w:p>
        </w:tc>
      </w:tr>
    </w:tbl>
    <w:p>
      <w:pPr>
        <w:pStyle w:val="TextBody"/>
        <w:spacing w:before="0" w:after="0"/>
        <w:ind w:left="0" w:right="0" w:hanging="0"/>
        <w:rPr>
          <w:caps w:val="false"/>
          <w:smallCaps w:val="false"/>
        </w:rPr>
      </w:pPr>
      <w:r>
        <w:rPr>
          <w:caps w:val="false"/>
          <w:smallCaps w:val="false"/>
        </w:rPr>
        <w:t> </w:t>
      </w:r>
    </w:p>
    <w:tbl>
      <w:tblPr>
        <w:tblW w:w="8590" w:type="dxa"/>
        <w:jc w:val="left"/>
        <w:tblInd w:w="0" w:type="dxa"/>
        <w:tblCellMar>
          <w:top w:w="0" w:type="dxa"/>
          <w:left w:w="0" w:type="dxa"/>
          <w:bottom w:w="0" w:type="dxa"/>
          <w:right w:w="0" w:type="dxa"/>
        </w:tblCellMar>
      </w:tblPr>
      <w:tblGrid>
        <w:gridCol w:w="60"/>
        <w:gridCol w:w="110"/>
        <w:gridCol w:w="842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4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regulations, health guidelines, and safety protocols in foreign jurisdictions related to the pandemic; and</w:t>
            </w:r>
          </w:p>
        </w:tc>
      </w:tr>
    </w:tbl>
    <w:p>
      <w:pPr>
        <w:pStyle w:val="TextBody"/>
        <w:spacing w:before="0" w:after="0"/>
        <w:ind w:left="0" w:right="0" w:hanging="0"/>
        <w:rPr>
          <w:caps w:val="false"/>
          <w:smallCaps w:val="false"/>
        </w:rPr>
      </w:pPr>
      <w:r>
        <w:rPr>
          <w:caps w:val="false"/>
          <w:smallCaps w:val="false"/>
        </w:rPr>
        <w:t> </w:t>
      </w:r>
    </w:p>
    <w:tbl>
      <w:tblPr>
        <w:tblW w:w="3325" w:type="dxa"/>
        <w:jc w:val="left"/>
        <w:tblInd w:w="0" w:type="dxa"/>
        <w:tblCellMar>
          <w:top w:w="0" w:type="dxa"/>
          <w:left w:w="0" w:type="dxa"/>
          <w:bottom w:w="0" w:type="dxa"/>
          <w:right w:w="0" w:type="dxa"/>
        </w:tblCellMar>
      </w:tblPr>
      <w:tblGrid>
        <w:gridCol w:w="60"/>
        <w:gridCol w:w="110"/>
        <w:gridCol w:w="315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1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restrictions on repatriation of earnings.</w:t>
            </w:r>
          </w:p>
        </w:tc>
      </w:tr>
    </w:tbl>
    <w:p>
      <w:pPr>
        <w:pStyle w:val="TextBody"/>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Provisions in Our Organizational Documents and Tennessee Corporate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 may be difficult for a third party to acquire our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Tennessee corporate law and our charter and bylaws contain provisions that could delay, defer, or prevent a change in control of our company or our management. These provisions could also discourage proxy contests and make it more difficult for you and other shareholders to elect directors and take other corporate actions. These provisions in our organizational documents: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authorize us to issue "blank check" preferred stock, which is preferred stock that can be created and issued by the board of directors, without prior shareholder approval, with rights senior to those of common stock;</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 for a staggered board of directors comprised of three classes such that it would take three successive annual meetings to replace all directors;</w:t>
            </w:r>
          </w:p>
        </w:tc>
      </w:tr>
    </w:tbl>
    <w:p>
      <w:pPr>
        <w:pStyle w:val="TextBody"/>
        <w:spacing w:before="0" w:after="0"/>
        <w:ind w:left="0" w:right="0" w:hanging="0"/>
        <w:rPr>
          <w:caps w:val="false"/>
          <w:smallCaps w:val="false"/>
        </w:rPr>
      </w:pPr>
      <w:r>
        <w:rPr>
          <w:caps w:val="false"/>
          <w:smallCaps w:val="false"/>
        </w:rPr>
        <w:t> </w:t>
      </w:r>
    </w:p>
    <w:tbl>
      <w:tblPr>
        <w:tblW w:w="4000" w:type="dxa"/>
        <w:jc w:val="left"/>
        <w:tblInd w:w="0" w:type="dxa"/>
        <w:tblCellMar>
          <w:top w:w="0" w:type="dxa"/>
          <w:left w:w="0" w:type="dxa"/>
          <w:bottom w:w="0" w:type="dxa"/>
          <w:right w:w="0" w:type="dxa"/>
        </w:tblCellMar>
      </w:tblPr>
      <w:tblGrid>
        <w:gridCol w:w="60"/>
        <w:gridCol w:w="110"/>
        <w:gridCol w:w="383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prohibit shareholder action by written consent;</w:t>
            </w:r>
          </w:p>
        </w:tc>
      </w:tr>
    </w:tbl>
    <w:p>
      <w:pPr>
        <w:pStyle w:val="TextBody"/>
        <w:spacing w:before="0" w:after="0"/>
        <w:ind w:left="0" w:right="0" w:hanging="0"/>
        <w:rPr>
          <w:caps w:val="false"/>
          <w:smallCaps w:val="false"/>
        </w:rPr>
      </w:pPr>
      <w:r>
        <w:rPr>
          <w:caps w:val="false"/>
          <w:smallCaps w:val="false"/>
        </w:rPr>
        <w:t> </w:t>
      </w:r>
    </w:p>
    <w:tbl>
      <w:tblPr>
        <w:tblW w:w="7075" w:type="dxa"/>
        <w:jc w:val="left"/>
        <w:tblInd w:w="0" w:type="dxa"/>
        <w:tblCellMar>
          <w:top w:w="0" w:type="dxa"/>
          <w:left w:w="0" w:type="dxa"/>
          <w:bottom w:w="0" w:type="dxa"/>
          <w:right w:w="0" w:type="dxa"/>
        </w:tblCellMar>
      </w:tblPr>
      <w:tblGrid>
        <w:gridCol w:w="60"/>
        <w:gridCol w:w="110"/>
        <w:gridCol w:w="690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9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 not provide shareholders with the right to call a special shareholders meeting;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 advance notice requirements for submitting nominations for election to the board of directors and for proposing matters that can be acted upon by shareholders at a meeting.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are subject to certain provisions of Tennessee law which limit, in some cases, our ability to engage in certain business combinations or transactions with significant shareholders.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provisions, either alone or in combination with each other, give our current directors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6" w:name="i1B"/>
      <w:bookmarkEnd w:id="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1B.</w:t>
      </w:r>
      <w:r>
        <w:rPr>
          <w:rFonts w:ascii="Times New Roman" w:hAnsi="Times New Roman"/>
          <w:caps w:val="false"/>
          <w:smallCaps w:val="false"/>
          <w:sz w:val="20"/>
        </w:rPr>
        <w:t xml:space="preserve"> </w:t>
      </w:r>
      <w:r>
        <w:rPr>
          <w:rFonts w:ascii="Times New Roman" w:hAnsi="Times New Roman"/>
          <w:b/>
          <w:i/>
          <w:caps w:val="false"/>
          <w:smallCaps w:val="false"/>
          <w:sz w:val="20"/>
        </w:rPr>
        <w:t>Unresolved Staff Comments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7" w:name="i2"/>
      <w:bookmarkEnd w:id="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i/>
          <w:caps w:val="false"/>
          <w:smallCaps w:val="false"/>
          <w:sz w:val="20"/>
        </w:rPr>
        <w:t>Properties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principal office is located in Nashville, Tennessee, which is primarily used to support our workforce solutions operations and corporate functions. Our lease for approximately 92,000 square feet at this location will end in October 2031. As of December 31, 2021, we leased other facilities in Nashville, Tennessee; San Diego, California; Denver, Colorado; Boulder, Colorado; Durham, North Carolina; Raleigh, North Carolina; and Christchurch, New Zealand.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8" w:name="i3"/>
      <w:bookmarkEnd w:id="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i/>
          <w:caps w:val="false"/>
          <w:smallCaps w:val="false"/>
          <w:sz w:val="20"/>
        </w:rPr>
        <w:t>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9" w:name="i4"/>
      <w:bookmarkEnd w:id="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i/>
          <w:caps w:val="false"/>
          <w:smallCaps w:val="false"/>
          <w:sz w:val="20"/>
        </w:rPr>
        <w:t>Mine Safety Disclosures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10" w:name="p2"/>
      <w:bookmarkEnd w:id="10"/>
      <w:r>
        <w:rPr>
          <w:rFonts w:ascii="Times New Roman" w:hAnsi="Times New Roman"/>
          <w:b/>
          <w:caps w:val="false"/>
          <w:smallCaps w:val="false"/>
          <w:sz w:val="20"/>
        </w:rPr>
        <w:t>PART 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11" w:name="i5"/>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i/>
          <w:caps w:val="false"/>
          <w:smallCaps w:val="false"/>
          <w:sz w:val="20"/>
        </w:rPr>
        <w:t>Market for Registrant</w:t>
      </w:r>
      <w:r>
        <w:rPr>
          <w:rFonts w:ascii="Times New Roman" w:hAnsi="Times New Roman"/>
          <w:caps w:val="false"/>
          <w:smallCaps w:val="false"/>
          <w:sz w:val="20"/>
        </w:rPr>
        <w:t>’</w:t>
      </w:r>
      <w:r>
        <w:rPr>
          <w:rFonts w:ascii="Times New Roman" w:hAnsi="Times New Roman"/>
          <w:b/>
          <w:i/>
          <w:caps w:val="false"/>
          <w:smallCaps w:val="false"/>
          <w:sz w:val="20"/>
        </w:rPr>
        <w:t>s Common Equity, Related Stockholder Matters and Issuer Purchases of Equity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common stock is traded on the Nasdaq Global Select Market under the symbol “HSTM”. Our common stock began trading on the Nasdaq National Market on April 14, 2000.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February 11, 2022, the Company had a total of 10,672 shareholders, including 1,389 registered holders and 9,283 beneficial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DIVIDEND POLICY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our history, we have only declared and paid a dividend one time. In connection with the proceeds from divestiture of the Patient Experience business unit in 2018, we declared a $1.00 per common share special cash dividend, which was paid on April 3, 2018 to shareholders of record on March 6, 2018. We do not anticipate paying normal cash dividends in the future as we intend to retain earnings for use in the operation of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the table labeled Securities Authorized for Issuance Under Equity Compensation Plans to be contained in our 2022 Proxy Statement, incorporated by reference in Part III, Item 12 of this Annual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STOCK PERFORMANCE GRAPH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graph below matches HealthStream, Inc.'s cumulative 5-year total shareholder return on common stock with the cumulative total returns of the NASDAQ Composite index and the NASDAQ Computer &amp; Data Processing index. The graph tracks the performance of a $100 investment in our common stock and in each index (with the reinvestment of all dividends) from 12/31/2016 to 12/31/2021.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comparisons in the graph below are based on historical data and are not necessarily indicative of future performance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7219950" cy="5553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19950" cy="5553075"/>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tbl>
      <w:tblPr>
        <w:tblW w:w="8345" w:type="dxa"/>
        <w:jc w:val="left"/>
        <w:tblInd w:w="0" w:type="dxa"/>
        <w:tblCellMar>
          <w:top w:w="28" w:type="dxa"/>
          <w:left w:w="0" w:type="dxa"/>
          <w:bottom w:w="28" w:type="dxa"/>
          <w:right w:w="0" w:type="dxa"/>
        </w:tblCellMar>
      </w:tblPr>
      <w:tblGrid>
        <w:gridCol w:w="3335"/>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tblGrid>
      <w:tr>
        <w:trPr/>
        <w:tc>
          <w:tcPr>
            <w:tcW w:w="3335" w:type="dxa"/>
            <w:tcBorders>
              <w:top w:val="single" w:sz="2" w:space="0" w:color="000000"/>
              <w:bottom w:val="single" w:sz="2" w:space="0" w:color="000000"/>
            </w:tcBorders>
            <w:shd w:fill="FFFFFF" w:val="clear"/>
            <w:vAlign w:val="center"/>
          </w:tcPr>
          <w:p>
            <w:pPr>
              <w:pStyle w:val="TableContents"/>
              <w:spacing w:before="0" w:after="283"/>
              <w:rPr/>
            </w:pPr>
            <w:r>
              <w:rPr/>
              <w:t> </w:t>
            </w:r>
          </w:p>
        </w:tc>
        <w:tc>
          <w:tcPr>
            <w:tcW w:w="60" w:type="dxa"/>
            <w:tcBorders>
              <w:top w:val="single" w:sz="2" w:space="0" w:color="000000"/>
              <w:bottom w:val="single" w:sz="2" w:space="0" w:color="000000"/>
            </w:tcBorders>
            <w:shd w:fill="FFFFFF" w:val="clear"/>
            <w:vAlign w:val="center"/>
          </w:tcPr>
          <w:p>
            <w:pPr>
              <w:pStyle w:val="TableContents"/>
              <w:spacing w:before="0" w:after="283"/>
              <w:ind w:left="0" w:right="0" w:hanging="0"/>
              <w:rPr/>
            </w:pPr>
            <w:r>
              <w:rPr/>
              <w:t> </w:t>
            </w:r>
          </w:p>
        </w:tc>
        <w:tc>
          <w:tcPr>
            <w:tcW w:w="715" w:type="dxa"/>
            <w:gridSpan w:val="2"/>
            <w:tcBorders>
              <w:top w:val="single" w:sz="2" w:space="0" w:color="000000"/>
              <w:bottom w:val="single" w:sz="2" w:space="0" w:color="000000"/>
            </w:tcBorders>
            <w:shd w:fill="FFFFFF" w:val="clear"/>
            <w:vAlign w:val="center"/>
          </w:tcPr>
          <w:p>
            <w:pPr>
              <w:pStyle w:val="TableContents"/>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12/16</w:t>
            </w:r>
          </w:p>
        </w:tc>
        <w:tc>
          <w:tcPr>
            <w:tcW w:w="60" w:type="dxa"/>
            <w:tcBorders>
              <w:top w:val="single" w:sz="2" w:space="0" w:color="000000"/>
              <w:bottom w:val="single" w:sz="2" w:space="0" w:color="000000"/>
            </w:tcBorders>
            <w:shd w:fill="FFFFFF" w:val="clear"/>
            <w:vAlign w:val="center"/>
          </w:tcPr>
          <w:p>
            <w:pPr>
              <w:pStyle w:val="TableContents"/>
              <w:spacing w:before="0" w:after="283"/>
              <w:rPr/>
            </w:pPr>
            <w:r>
              <w:rPr/>
              <w:t> </w:t>
            </w:r>
          </w:p>
        </w:tc>
        <w:tc>
          <w:tcPr>
            <w:tcW w:w="60" w:type="dxa"/>
            <w:tcBorders>
              <w:top w:val="single" w:sz="2" w:space="0" w:color="000000"/>
              <w:bottom w:val="single" w:sz="2" w:space="0" w:color="000000"/>
            </w:tcBorders>
            <w:shd w:fill="FFFFFF" w:val="clear"/>
            <w:vAlign w:val="center"/>
          </w:tcPr>
          <w:p>
            <w:pPr>
              <w:pStyle w:val="TableContents"/>
              <w:spacing w:before="0" w:after="283"/>
              <w:ind w:left="0" w:right="0" w:hanging="0"/>
              <w:rPr/>
            </w:pPr>
            <w:r>
              <w:rPr/>
              <w:t> </w:t>
            </w:r>
          </w:p>
        </w:tc>
        <w:tc>
          <w:tcPr>
            <w:tcW w:w="715" w:type="dxa"/>
            <w:gridSpan w:val="2"/>
            <w:tcBorders>
              <w:top w:val="single" w:sz="2" w:space="0" w:color="000000"/>
              <w:bottom w:val="single" w:sz="2" w:space="0" w:color="000000"/>
            </w:tcBorders>
            <w:shd w:fill="FFFFFF" w:val="clear"/>
            <w:vAlign w:val="center"/>
          </w:tcPr>
          <w:p>
            <w:pPr>
              <w:pStyle w:val="TableContents"/>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12/17</w:t>
            </w:r>
          </w:p>
        </w:tc>
        <w:tc>
          <w:tcPr>
            <w:tcW w:w="60" w:type="dxa"/>
            <w:tcBorders>
              <w:top w:val="single" w:sz="2" w:space="0" w:color="000000"/>
              <w:bottom w:val="single" w:sz="2" w:space="0" w:color="000000"/>
            </w:tcBorders>
            <w:shd w:fill="FFFFFF" w:val="clear"/>
            <w:vAlign w:val="center"/>
          </w:tcPr>
          <w:p>
            <w:pPr>
              <w:pStyle w:val="TableContents"/>
              <w:spacing w:before="0" w:after="283"/>
              <w:rPr/>
            </w:pPr>
            <w:r>
              <w:rPr/>
              <w:t> </w:t>
            </w:r>
          </w:p>
        </w:tc>
        <w:tc>
          <w:tcPr>
            <w:tcW w:w="60" w:type="dxa"/>
            <w:tcBorders>
              <w:top w:val="single" w:sz="2" w:space="0" w:color="000000"/>
              <w:bottom w:val="single" w:sz="2" w:space="0" w:color="000000"/>
            </w:tcBorders>
            <w:shd w:fill="FFFFFF" w:val="clear"/>
            <w:vAlign w:val="center"/>
          </w:tcPr>
          <w:p>
            <w:pPr>
              <w:pStyle w:val="TableContents"/>
              <w:spacing w:before="0" w:after="283"/>
              <w:ind w:left="0" w:right="0" w:hanging="0"/>
              <w:rPr/>
            </w:pPr>
            <w:r>
              <w:rPr/>
              <w:t> </w:t>
            </w:r>
          </w:p>
        </w:tc>
        <w:tc>
          <w:tcPr>
            <w:tcW w:w="715" w:type="dxa"/>
            <w:gridSpan w:val="2"/>
            <w:tcBorders>
              <w:top w:val="single" w:sz="2" w:space="0" w:color="000000"/>
              <w:bottom w:val="single" w:sz="2" w:space="0" w:color="000000"/>
            </w:tcBorders>
            <w:shd w:fill="FFFFFF" w:val="clear"/>
            <w:vAlign w:val="center"/>
          </w:tcPr>
          <w:p>
            <w:pPr>
              <w:pStyle w:val="TableContents"/>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12/18</w:t>
            </w:r>
          </w:p>
        </w:tc>
        <w:tc>
          <w:tcPr>
            <w:tcW w:w="60" w:type="dxa"/>
            <w:tcBorders>
              <w:top w:val="single" w:sz="2" w:space="0" w:color="000000"/>
              <w:bottom w:val="single" w:sz="2" w:space="0" w:color="000000"/>
            </w:tcBorders>
            <w:shd w:fill="FFFFFF" w:val="clear"/>
            <w:vAlign w:val="center"/>
          </w:tcPr>
          <w:p>
            <w:pPr>
              <w:pStyle w:val="TableContents"/>
              <w:spacing w:before="0" w:after="283"/>
              <w:rPr/>
            </w:pPr>
            <w:r>
              <w:rPr/>
              <w:t> </w:t>
            </w:r>
          </w:p>
        </w:tc>
        <w:tc>
          <w:tcPr>
            <w:tcW w:w="60" w:type="dxa"/>
            <w:tcBorders>
              <w:top w:val="single" w:sz="2" w:space="0" w:color="000000"/>
              <w:bottom w:val="single" w:sz="2" w:space="0" w:color="000000"/>
            </w:tcBorders>
            <w:shd w:fill="FFFFFF" w:val="clear"/>
            <w:vAlign w:val="center"/>
          </w:tcPr>
          <w:p>
            <w:pPr>
              <w:pStyle w:val="TableContents"/>
              <w:spacing w:before="0" w:after="283"/>
              <w:ind w:left="0" w:right="0" w:hanging="0"/>
              <w:rPr/>
            </w:pPr>
            <w:r>
              <w:rPr/>
              <w:t> </w:t>
            </w:r>
          </w:p>
        </w:tc>
        <w:tc>
          <w:tcPr>
            <w:tcW w:w="715" w:type="dxa"/>
            <w:gridSpan w:val="2"/>
            <w:tcBorders>
              <w:top w:val="single" w:sz="2" w:space="0" w:color="000000"/>
              <w:bottom w:val="single" w:sz="2" w:space="0" w:color="000000"/>
            </w:tcBorders>
            <w:shd w:fill="FFFFFF" w:val="clear"/>
            <w:vAlign w:val="center"/>
          </w:tcPr>
          <w:p>
            <w:pPr>
              <w:pStyle w:val="TableContents"/>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12/19</w:t>
            </w:r>
          </w:p>
        </w:tc>
        <w:tc>
          <w:tcPr>
            <w:tcW w:w="60" w:type="dxa"/>
            <w:tcBorders>
              <w:top w:val="single" w:sz="2" w:space="0" w:color="000000"/>
              <w:bottom w:val="single" w:sz="2" w:space="0" w:color="000000"/>
            </w:tcBorders>
            <w:shd w:fill="FFFFFF" w:val="clear"/>
            <w:vAlign w:val="center"/>
          </w:tcPr>
          <w:p>
            <w:pPr>
              <w:pStyle w:val="TableContents"/>
              <w:spacing w:before="0" w:after="283"/>
              <w:rPr/>
            </w:pPr>
            <w:r>
              <w:rPr/>
              <w:t> </w:t>
            </w:r>
          </w:p>
        </w:tc>
        <w:tc>
          <w:tcPr>
            <w:tcW w:w="60" w:type="dxa"/>
            <w:tcBorders>
              <w:top w:val="single" w:sz="2" w:space="0" w:color="000000"/>
              <w:bottom w:val="single" w:sz="2" w:space="0" w:color="000000"/>
            </w:tcBorders>
            <w:shd w:fill="FFFFFF" w:val="clear"/>
            <w:vAlign w:val="center"/>
          </w:tcPr>
          <w:p>
            <w:pPr>
              <w:pStyle w:val="TableContents"/>
              <w:spacing w:before="0" w:after="283"/>
              <w:ind w:left="0" w:right="0" w:hanging="0"/>
              <w:rPr/>
            </w:pPr>
            <w:r>
              <w:rPr/>
              <w:t> </w:t>
            </w:r>
          </w:p>
        </w:tc>
        <w:tc>
          <w:tcPr>
            <w:tcW w:w="715" w:type="dxa"/>
            <w:gridSpan w:val="2"/>
            <w:tcBorders>
              <w:top w:val="single" w:sz="2" w:space="0" w:color="000000"/>
              <w:bottom w:val="single" w:sz="2" w:space="0" w:color="000000"/>
            </w:tcBorders>
            <w:shd w:fill="FFFFFF" w:val="clear"/>
            <w:vAlign w:val="center"/>
          </w:tcPr>
          <w:p>
            <w:pPr>
              <w:pStyle w:val="TableContents"/>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12/20</w:t>
            </w:r>
          </w:p>
        </w:tc>
        <w:tc>
          <w:tcPr>
            <w:tcW w:w="60" w:type="dxa"/>
            <w:tcBorders>
              <w:top w:val="single" w:sz="2" w:space="0" w:color="000000"/>
              <w:bottom w:val="single" w:sz="2" w:space="0" w:color="000000"/>
            </w:tcBorders>
            <w:shd w:fill="FFFFFF" w:val="clear"/>
            <w:vAlign w:val="center"/>
          </w:tcPr>
          <w:p>
            <w:pPr>
              <w:pStyle w:val="TableContents"/>
              <w:spacing w:before="0" w:after="283"/>
              <w:rPr/>
            </w:pPr>
            <w:r>
              <w:rPr/>
              <w:t> </w:t>
            </w:r>
          </w:p>
        </w:tc>
        <w:tc>
          <w:tcPr>
            <w:tcW w:w="60" w:type="dxa"/>
            <w:tcBorders>
              <w:top w:val="single" w:sz="2" w:space="0" w:color="000000"/>
              <w:bottom w:val="single" w:sz="2" w:space="0" w:color="000000"/>
            </w:tcBorders>
            <w:shd w:fill="FFFFFF" w:val="clear"/>
            <w:vAlign w:val="center"/>
          </w:tcPr>
          <w:p>
            <w:pPr>
              <w:pStyle w:val="TableContents"/>
              <w:spacing w:before="0" w:after="283"/>
              <w:ind w:left="0" w:right="0" w:hanging="0"/>
              <w:rPr/>
            </w:pPr>
            <w:r>
              <w:rPr/>
              <w:t> </w:t>
            </w:r>
          </w:p>
        </w:tc>
        <w:tc>
          <w:tcPr>
            <w:tcW w:w="715" w:type="dxa"/>
            <w:gridSpan w:val="2"/>
            <w:tcBorders>
              <w:top w:val="single" w:sz="2" w:space="0" w:color="000000"/>
              <w:bottom w:val="single" w:sz="2" w:space="0" w:color="000000"/>
            </w:tcBorders>
            <w:shd w:fill="FFFFFF" w:val="clear"/>
            <w:vAlign w:val="center"/>
          </w:tcPr>
          <w:p>
            <w:pPr>
              <w:pStyle w:val="TableContents"/>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12/21</w:t>
            </w:r>
          </w:p>
        </w:tc>
        <w:tc>
          <w:tcPr>
            <w:tcW w:w="60" w:type="dxa"/>
            <w:tcBorders>
              <w:top w:val="single" w:sz="2" w:space="0" w:color="000000"/>
              <w:bottom w:val="single" w:sz="2" w:space="0" w:color="000000"/>
            </w:tcBorders>
            <w:shd w:fill="FFFFFF" w:val="clear"/>
            <w:vAlign w:val="center"/>
          </w:tcPr>
          <w:p>
            <w:pPr>
              <w:pStyle w:val="TableContents"/>
              <w:spacing w:before="0" w:after="283"/>
              <w:rPr/>
            </w:pPr>
            <w:r>
              <w:rPr/>
              <w:t> </w:t>
            </w:r>
          </w:p>
        </w:tc>
      </w:tr>
      <w:tr>
        <w:trPr/>
        <w:tc>
          <w:tcPr>
            <w:tcW w:w="3335"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rPr/>
            </w:pPr>
            <w:r>
              <w:rPr/>
              <w:t> </w:t>
            </w:r>
          </w:p>
        </w:tc>
        <w:tc>
          <w:tcPr>
            <w:tcW w:w="59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rPr/>
            </w:pPr>
            <w:r>
              <w:rPr/>
              <w:t> </w:t>
            </w:r>
          </w:p>
        </w:tc>
        <w:tc>
          <w:tcPr>
            <w:tcW w:w="59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rPr/>
            </w:pPr>
            <w:r>
              <w:rPr/>
              <w:t> </w:t>
            </w:r>
          </w:p>
        </w:tc>
        <w:tc>
          <w:tcPr>
            <w:tcW w:w="59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rPr/>
            </w:pPr>
            <w:r>
              <w:rPr/>
              <w:t> </w:t>
            </w:r>
          </w:p>
        </w:tc>
        <w:tc>
          <w:tcPr>
            <w:tcW w:w="59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rPr/>
            </w:pPr>
            <w:r>
              <w:rPr/>
              <w:t> </w:t>
            </w:r>
          </w:p>
        </w:tc>
        <w:tc>
          <w:tcPr>
            <w:tcW w:w="59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rPr/>
            </w:pPr>
            <w:r>
              <w:rPr/>
              <w:t> </w:t>
            </w:r>
          </w:p>
        </w:tc>
        <w:tc>
          <w:tcPr>
            <w:tcW w:w="59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r>
      <w:tr>
        <w:trPr/>
        <w:tc>
          <w:tcPr>
            <w:tcW w:w="3335" w:type="dxa"/>
            <w:tcBorders/>
            <w:shd w:fill="CCEEFF" w:val="clear"/>
            <w:tcMar>
              <w:top w:w="0" w:type="dxa"/>
              <w:bottom w:w="0" w:type="dxa"/>
            </w:tcM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HealthStream, Inc.</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100.00</w:t>
            </w:r>
          </w:p>
        </w:tc>
        <w:tc>
          <w:tcPr>
            <w:tcW w:w="60"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92.46</w:t>
            </w:r>
          </w:p>
        </w:tc>
        <w:tc>
          <w:tcPr>
            <w:tcW w:w="60"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100.40</w:t>
            </w:r>
          </w:p>
        </w:tc>
        <w:tc>
          <w:tcPr>
            <w:tcW w:w="60"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113.08</w:t>
            </w:r>
          </w:p>
        </w:tc>
        <w:tc>
          <w:tcPr>
            <w:tcW w:w="60"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90.79</w:t>
            </w:r>
          </w:p>
        </w:tc>
        <w:tc>
          <w:tcPr>
            <w:tcW w:w="60"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109.59</w:t>
            </w:r>
          </w:p>
        </w:tc>
        <w:tc>
          <w:tcPr>
            <w:tcW w:w="60" w:type="dxa"/>
            <w:tcBorders/>
            <w:shd w:fill="CCEEFF" w:val="clear"/>
            <w:tcMar>
              <w:top w:w="0" w:type="dxa"/>
              <w:bottom w:w="0" w:type="dxa"/>
            </w:tcMar>
            <w:vAlign w:val="center"/>
          </w:tcPr>
          <w:p>
            <w:pPr>
              <w:pStyle w:val="TableContents"/>
              <w:spacing w:before="0" w:after="283"/>
              <w:rPr/>
            </w:pPr>
            <w:r>
              <w:rPr/>
              <w:t> </w:t>
            </w:r>
          </w:p>
        </w:tc>
      </w:tr>
      <w:tr>
        <w:trPr/>
        <w:tc>
          <w:tcPr>
            <w:tcW w:w="3335" w:type="dxa"/>
            <w:tcBorders/>
            <w:shd w:fill="FFFFFF" w:val="clear"/>
            <w:tcMar>
              <w:top w:w="0" w:type="dxa"/>
              <w:bottom w:w="0" w:type="dxa"/>
            </w:tcM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NASDAQ Composite</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ind w:left="0" w:right="0" w:hanging="0"/>
              <w:rPr/>
            </w:pPr>
            <w:r>
              <w:rPr/>
              <w:t> </w:t>
            </w:r>
          </w:p>
        </w:tc>
        <w:tc>
          <w:tcPr>
            <w:tcW w:w="590" w:type="dxa"/>
            <w:tcBorders/>
            <w:shd w:fill="FFFF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100.00</w:t>
            </w:r>
          </w:p>
        </w:tc>
        <w:tc>
          <w:tcPr>
            <w:tcW w:w="6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ind w:left="0" w:right="0" w:hanging="0"/>
              <w:rPr/>
            </w:pPr>
            <w:r>
              <w:rPr/>
              <w:t> </w:t>
            </w:r>
          </w:p>
        </w:tc>
        <w:tc>
          <w:tcPr>
            <w:tcW w:w="590" w:type="dxa"/>
            <w:tcBorders/>
            <w:shd w:fill="FFFF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129.64</w:t>
            </w:r>
          </w:p>
        </w:tc>
        <w:tc>
          <w:tcPr>
            <w:tcW w:w="6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ind w:left="0" w:right="0" w:hanging="0"/>
              <w:rPr/>
            </w:pPr>
            <w:r>
              <w:rPr/>
              <w:t> </w:t>
            </w:r>
          </w:p>
        </w:tc>
        <w:tc>
          <w:tcPr>
            <w:tcW w:w="590" w:type="dxa"/>
            <w:tcBorders/>
            <w:shd w:fill="FFFF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125.96</w:t>
            </w:r>
          </w:p>
        </w:tc>
        <w:tc>
          <w:tcPr>
            <w:tcW w:w="6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ind w:left="0" w:right="0" w:hanging="0"/>
              <w:rPr/>
            </w:pPr>
            <w:r>
              <w:rPr/>
              <w:t> </w:t>
            </w:r>
          </w:p>
        </w:tc>
        <w:tc>
          <w:tcPr>
            <w:tcW w:w="590" w:type="dxa"/>
            <w:tcBorders/>
            <w:shd w:fill="FFFF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172.17</w:t>
            </w:r>
          </w:p>
        </w:tc>
        <w:tc>
          <w:tcPr>
            <w:tcW w:w="6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ind w:left="0" w:right="0" w:hanging="0"/>
              <w:rPr/>
            </w:pPr>
            <w:r>
              <w:rPr/>
              <w:t> </w:t>
            </w:r>
          </w:p>
        </w:tc>
        <w:tc>
          <w:tcPr>
            <w:tcW w:w="590" w:type="dxa"/>
            <w:tcBorders/>
            <w:shd w:fill="FFFF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249.51</w:t>
            </w:r>
          </w:p>
        </w:tc>
        <w:tc>
          <w:tcPr>
            <w:tcW w:w="60" w:type="dxa"/>
            <w:tcBorders/>
            <w:shd w:fill="FFFFFF" w:val="clear"/>
            <w:tcMar>
              <w:top w:w="0" w:type="dxa"/>
              <w:bottom w:w="0" w:type="dxa"/>
            </w:tcMar>
            <w:vAlign w:val="center"/>
          </w:tcPr>
          <w:p>
            <w:pPr>
              <w:pStyle w:val="TableContents"/>
              <w:spacing w:before="0" w:after="283"/>
              <w:rPr/>
            </w:pPr>
            <w:r>
              <w:rPr/>
              <w:t> </w:t>
            </w:r>
          </w:p>
        </w:tc>
        <w:tc>
          <w:tcPr>
            <w:tcW w:w="60" w:type="dxa"/>
            <w:tcBorders/>
            <w:shd w:fill="FFFFFF" w:val="clear"/>
            <w:tcMar>
              <w:top w:w="0" w:type="dxa"/>
              <w:bottom w:w="0" w:type="dxa"/>
            </w:tcMar>
            <w:vAlign w:val="center"/>
          </w:tcPr>
          <w:p>
            <w:pPr>
              <w:pStyle w:val="TableContents"/>
              <w:spacing w:before="0" w:after="283"/>
              <w:rPr/>
            </w:pPr>
            <w:r>
              <w:rPr/>
              <w:t> </w:t>
            </w:r>
          </w:p>
        </w:tc>
        <w:tc>
          <w:tcPr>
            <w:tcW w:w="125" w:type="dxa"/>
            <w:tcBorders/>
            <w:shd w:fill="FFFFFF" w:val="clear"/>
            <w:tcMar>
              <w:top w:w="0" w:type="dxa"/>
              <w:bottom w:w="0" w:type="dxa"/>
            </w:tcMar>
            <w:vAlign w:val="center"/>
          </w:tcPr>
          <w:p>
            <w:pPr>
              <w:pStyle w:val="TableContents"/>
              <w:spacing w:before="0" w:after="283"/>
              <w:ind w:left="0" w:right="0" w:hanging="0"/>
              <w:rPr/>
            </w:pPr>
            <w:r>
              <w:rPr/>
              <w:t> </w:t>
            </w:r>
          </w:p>
        </w:tc>
        <w:tc>
          <w:tcPr>
            <w:tcW w:w="590" w:type="dxa"/>
            <w:tcBorders/>
            <w:shd w:fill="FFFF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304.85</w:t>
            </w:r>
          </w:p>
        </w:tc>
        <w:tc>
          <w:tcPr>
            <w:tcW w:w="60" w:type="dxa"/>
            <w:tcBorders/>
            <w:shd w:fill="FFFFFF" w:val="clear"/>
            <w:tcMar>
              <w:top w:w="0" w:type="dxa"/>
              <w:bottom w:w="0" w:type="dxa"/>
            </w:tcMar>
            <w:vAlign w:val="center"/>
          </w:tcPr>
          <w:p>
            <w:pPr>
              <w:pStyle w:val="TableContents"/>
              <w:spacing w:before="0" w:after="283"/>
              <w:rPr/>
            </w:pPr>
            <w:r>
              <w:rPr/>
              <w:t> </w:t>
            </w:r>
          </w:p>
        </w:tc>
      </w:tr>
      <w:tr>
        <w:trPr/>
        <w:tc>
          <w:tcPr>
            <w:tcW w:w="3335" w:type="dxa"/>
            <w:tcBorders/>
            <w:shd w:fill="CCEEFF" w:val="clear"/>
            <w:tcMar>
              <w:top w:w="0" w:type="dxa"/>
              <w:bottom w:w="0" w:type="dxa"/>
            </w:tcM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NASDAQ Computer &amp; Data Processing</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rPr/>
            </w:pPr>
            <w:r>
              <w:rPr/>
              <w:t> </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100.00</w:t>
            </w:r>
          </w:p>
        </w:tc>
        <w:tc>
          <w:tcPr>
            <w:tcW w:w="60"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rPr/>
            </w:pPr>
            <w:r>
              <w:rPr/>
              <w:t> </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139.43</w:t>
            </w:r>
          </w:p>
        </w:tc>
        <w:tc>
          <w:tcPr>
            <w:tcW w:w="60"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rPr/>
            </w:pPr>
            <w:r>
              <w:rPr/>
              <w:t> </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142.28</w:t>
            </w:r>
          </w:p>
        </w:tc>
        <w:tc>
          <w:tcPr>
            <w:tcW w:w="60"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rPr/>
            </w:pPr>
            <w:r>
              <w:rPr/>
              <w:t> </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199.78</w:t>
            </w:r>
          </w:p>
        </w:tc>
        <w:tc>
          <w:tcPr>
            <w:tcW w:w="60"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rPr/>
            </w:pPr>
            <w:r>
              <w:rPr/>
              <w:t> </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286.00</w:t>
            </w:r>
          </w:p>
        </w:tc>
        <w:tc>
          <w:tcPr>
            <w:tcW w:w="60"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25" w:type="dxa"/>
            <w:tcBorders/>
            <w:shd w:fill="CCEEFF" w:val="clear"/>
            <w:tcMar>
              <w:top w:w="0" w:type="dxa"/>
              <w:bottom w:w="0" w:type="dxa"/>
            </w:tcMar>
            <w:vAlign w:val="center"/>
          </w:tcPr>
          <w:p>
            <w:pPr>
              <w:pStyle w:val="TableContents"/>
              <w:spacing w:before="0" w:after="283"/>
              <w:ind w:left="0" w:right="0" w:hanging="0"/>
              <w:rPr/>
            </w:pPr>
            <w:r>
              <w:rPr/>
              <w:t> </w:t>
            </w:r>
          </w:p>
        </w:tc>
        <w:tc>
          <w:tcPr>
            <w:tcW w:w="590" w:type="dxa"/>
            <w:tcBorders/>
            <w:shd w:fill="CCEEFF" w:val="clear"/>
            <w:tcMar>
              <w:top w:w="0" w:type="dxa"/>
              <w:bottom w:w="0"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372.90</w:t>
            </w:r>
          </w:p>
        </w:tc>
        <w:tc>
          <w:tcPr>
            <w:tcW w:w="60" w:type="dxa"/>
            <w:tcBorders/>
            <w:shd w:fill="CCEEFF" w:val="clear"/>
            <w:tcMar>
              <w:top w:w="0" w:type="dxa"/>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stock price performance included in this graph is not necessarily indicative of future stock price performance.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RECENT SALES OF UNREGISTERED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30, 2021, the Company announced a share repurchase program authorized by the Company’s Board of Directors under which the Company may purchase up to $20.0 million of its common stock. Pursuant to this authorization, repurchases have been made, and may continue to be made from time to time, in the open market through privately negotiated transactions or otherwise, including under a Rule 10b5-1 plan, which permits shares to be repurchased when the Company might otherwise be precluded from doing so under insider trading laws in accordance with specific prearranged terms related to timing, price, and volume (among others), without further direction from the Company. Under this program, during 2021 the Company repurchased 203,284 shares of common stock at an aggregate fair value of $5.1 million, reflecting an average price per share of $25.14 (excluding the cost of broker commissions). In addition, any future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will terminate on the earlier of November 29, 2022 or when the maximum dollar amount has been expended. The table below sets forth activity under the stock repurchase plan for the three months ended December 31, 2021.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83"/>
        <w:gridCol w:w="60"/>
        <w:gridCol w:w="113"/>
        <w:gridCol w:w="1313"/>
        <w:gridCol w:w="60"/>
        <w:gridCol w:w="60"/>
        <w:gridCol w:w="257"/>
        <w:gridCol w:w="998"/>
        <w:gridCol w:w="60"/>
        <w:gridCol w:w="60"/>
        <w:gridCol w:w="192"/>
        <w:gridCol w:w="2239"/>
        <w:gridCol w:w="60"/>
        <w:gridCol w:w="60"/>
        <w:gridCol w:w="361"/>
        <w:gridCol w:w="2765"/>
        <w:gridCol w:w="64"/>
      </w:tblGrid>
      <w:tr>
        <w:trPr/>
        <w:tc>
          <w:tcPr>
            <w:tcW w:w="1483"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Period</w:t>
            </w:r>
          </w:p>
        </w:tc>
        <w:tc>
          <w:tcPr>
            <w:tcW w:w="60" w:type="dxa"/>
            <w:tcBorders/>
            <w:shd w:fill="FFFFFF" w:val="clear"/>
            <w:vAlign w:val="center"/>
          </w:tcPr>
          <w:p>
            <w:pPr>
              <w:pStyle w:val="TableContents"/>
              <w:spacing w:before="0" w:after="283"/>
              <w:ind w:left="0" w:right="0" w:hanging="0"/>
              <w:rPr/>
            </w:pPr>
            <w:r>
              <w:rPr/>
              <w:t> </w:t>
            </w:r>
          </w:p>
        </w:tc>
        <w:tc>
          <w:tcPr>
            <w:tcW w:w="142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 Total number of shares (or units) purchased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 Average price paid per share (or unit)(2)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3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 Total number of shares (or units) purchased as part of publicly announced plans or programs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12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 Maximum number (or approximate dollar value) of shares (or units) that may yet be purchased under the plans or programs</w:t>
            </w:r>
          </w:p>
        </w:tc>
        <w:tc>
          <w:tcPr>
            <w:tcW w:w="64" w:type="dxa"/>
            <w:tcBorders/>
            <w:shd w:fill="FFFFFF" w:val="clear"/>
            <w:vAlign w:val="center"/>
          </w:tcPr>
          <w:p>
            <w:pPr>
              <w:pStyle w:val="TableContents"/>
              <w:spacing w:before="0" w:after="283"/>
              <w:rPr/>
            </w:pPr>
            <w:r>
              <w:rPr/>
              <w:t> </w:t>
            </w:r>
          </w:p>
        </w:tc>
      </w:tr>
      <w:tr>
        <w:trPr/>
        <w:tc>
          <w:tcPr>
            <w:tcW w:w="1483" w:type="dxa"/>
            <w:tcBorders/>
            <w:shd w:fill="CCEEFF" w:val="clear"/>
            <w:vAlign w:val="center"/>
          </w:tcPr>
          <w:p>
            <w:pPr>
              <w:pStyle w:val="TableContents"/>
              <w:spacing w:lineRule="auto" w:line="288" w:before="0" w:after="0"/>
              <w:rPr>
                <w:rFonts w:ascii="Times New Roman" w:hAnsi="Times New Roman"/>
                <w:caps w:val="false"/>
                <w:smallCaps w:val="false"/>
                <w:sz w:val="20"/>
              </w:rPr>
            </w:pPr>
            <w:r>
              <w:rPr>
                <w:rFonts w:ascii="Times New Roman" w:hAnsi="Times New Roman"/>
                <w:caps w:val="false"/>
                <w:smallCaps w:val="false"/>
                <w:sz w:val="20"/>
              </w:rPr>
              <w:t>Month #1 (October 1 - October 31)(1)</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ind w:left="0" w:right="0" w:hanging="0"/>
              <w:rPr/>
            </w:pPr>
            <w:r>
              <w:rPr/>
              <w:t> </w:t>
            </w:r>
          </w:p>
        </w:tc>
        <w:tc>
          <w:tcPr>
            <w:tcW w:w="1313"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5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ind w:left="0" w:right="0" w:hanging="0"/>
              <w:rPr/>
            </w:pPr>
            <w:r>
              <w:rPr/>
              <w:t> </w:t>
            </w:r>
          </w:p>
        </w:tc>
        <w:tc>
          <w:tcPr>
            <w:tcW w:w="2239"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6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765" w:type="dxa"/>
            <w:tcBorders/>
            <w:shd w:fill="CCEEFF" w:val="clear"/>
            <w:vAlign w:val="center"/>
          </w:tcPr>
          <w:p>
            <w:pPr>
              <w:pStyle w:val="TableContents"/>
              <w:spacing w:before="0" w:after="283"/>
              <w:ind w:left="0" w:right="0" w:hanging="0"/>
              <w:jc w:val="right"/>
              <w:rPr/>
            </w:pPr>
            <w:r>
              <w:rPr/>
              <w:t>—</w:t>
            </w:r>
          </w:p>
        </w:tc>
        <w:tc>
          <w:tcPr>
            <w:tcW w:w="64" w:type="dxa"/>
            <w:tcBorders/>
            <w:shd w:fill="CCEEFF" w:val="clear"/>
            <w:vAlign w:val="center"/>
          </w:tcPr>
          <w:p>
            <w:pPr>
              <w:pStyle w:val="TableContents"/>
              <w:spacing w:before="0" w:after="283"/>
              <w:rPr/>
            </w:pPr>
            <w:r>
              <w:rPr/>
              <w:t> </w:t>
            </w:r>
          </w:p>
        </w:tc>
      </w:tr>
      <w:tr>
        <w:trPr/>
        <w:tc>
          <w:tcPr>
            <w:tcW w:w="1483" w:type="dxa"/>
            <w:tcBorders/>
            <w:shd w:fill="FFFFFF" w:val="clear"/>
            <w:vAlign w:val="center"/>
          </w:tcPr>
          <w:p>
            <w:pPr>
              <w:pStyle w:val="TableContents"/>
              <w:spacing w:lineRule="auto" w:line="288" w:before="0" w:after="0"/>
              <w:rPr>
                <w:rFonts w:ascii="Times New Roman" w:hAnsi="Times New Roman"/>
                <w:caps w:val="false"/>
                <w:smallCaps w:val="false"/>
                <w:sz w:val="20"/>
              </w:rPr>
            </w:pPr>
            <w:r>
              <w:rPr>
                <w:rFonts w:ascii="Times New Roman" w:hAnsi="Times New Roman"/>
                <w:caps w:val="false"/>
                <w:smallCaps w:val="false"/>
                <w:sz w:val="20"/>
              </w:rPr>
              <w:t>Month #2 (November 1 - November 30)(1)</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ind w:left="0" w:right="0" w:hanging="0"/>
              <w:rPr/>
            </w:pPr>
            <w:r>
              <w:rPr/>
              <w:t> </w:t>
            </w:r>
          </w:p>
        </w:tc>
        <w:tc>
          <w:tcPr>
            <w:tcW w:w="1313"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7" w:type="dxa"/>
            <w:tcBorders/>
            <w:shd w:fill="FFFFFF" w:val="clear"/>
            <w:vAlign w:val="center"/>
          </w:tcPr>
          <w:p>
            <w:pPr>
              <w:pStyle w:val="TableContents"/>
              <w:spacing w:before="0" w:after="283"/>
              <w:ind w:left="0" w:right="0" w:hanging="0"/>
              <w:rPr/>
            </w:pPr>
            <w:r>
              <w:rPr/>
              <w:t> </w:t>
            </w:r>
          </w:p>
        </w:tc>
        <w:tc>
          <w:tcPr>
            <w:tcW w:w="99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ind w:left="0" w:right="0" w:hanging="0"/>
              <w:rPr/>
            </w:pPr>
            <w:r>
              <w:rPr/>
              <w:t> </w:t>
            </w:r>
          </w:p>
        </w:tc>
        <w:tc>
          <w:tcPr>
            <w:tcW w:w="2239"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1" w:type="dxa"/>
            <w:tcBorders/>
            <w:shd w:fill="FFFFFF" w:val="clear"/>
            <w:vAlign w:val="center"/>
          </w:tcPr>
          <w:p>
            <w:pPr>
              <w:pStyle w:val="TableContents"/>
              <w:spacing w:before="0" w:after="283"/>
              <w:ind w:left="0" w:right="0" w:hanging="0"/>
              <w:rPr/>
            </w:pPr>
            <w:r>
              <w:rPr/>
              <w:t> </w:t>
            </w:r>
          </w:p>
        </w:tc>
        <w:tc>
          <w:tcPr>
            <w:tcW w:w="2765" w:type="dxa"/>
            <w:tcBorders/>
            <w:shd w:fill="FFFFFF" w:val="clear"/>
            <w:vAlign w:val="center"/>
          </w:tcPr>
          <w:p>
            <w:pPr>
              <w:pStyle w:val="TableContents"/>
              <w:spacing w:before="0" w:after="283"/>
              <w:ind w:left="0" w:right="0" w:hanging="0"/>
              <w:jc w:val="right"/>
              <w:rPr/>
            </w:pPr>
            <w:r>
              <w:rPr/>
              <w:t>—</w:t>
            </w:r>
          </w:p>
        </w:tc>
        <w:tc>
          <w:tcPr>
            <w:tcW w:w="64" w:type="dxa"/>
            <w:tcBorders/>
            <w:shd w:fill="FFFFFF" w:val="clear"/>
            <w:vAlign w:val="center"/>
          </w:tcPr>
          <w:p>
            <w:pPr>
              <w:pStyle w:val="TableContents"/>
              <w:spacing w:before="0" w:after="283"/>
              <w:rPr/>
            </w:pPr>
            <w:r>
              <w:rPr/>
              <w:t> </w:t>
            </w:r>
          </w:p>
        </w:tc>
      </w:tr>
      <w:tr>
        <w:trPr/>
        <w:tc>
          <w:tcPr>
            <w:tcW w:w="1483"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Month #3 (December 1 - December 31)</w:t>
            </w:r>
          </w:p>
        </w:tc>
        <w:tc>
          <w:tcPr>
            <w:tcW w:w="60" w:type="dxa"/>
            <w:tcBorders/>
            <w:shd w:fill="CCEEFF" w:val="clear"/>
            <w:vAlign w:val="center"/>
          </w:tcPr>
          <w:p>
            <w:pPr>
              <w:pStyle w:val="TableContents"/>
              <w:spacing w:before="0" w:after="283"/>
              <w:rPr/>
            </w:pPr>
            <w:r>
              <w:rPr/>
              <w:t> </w:t>
            </w:r>
          </w:p>
        </w:tc>
        <w:tc>
          <w:tcPr>
            <w:tcW w:w="11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31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203,284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223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203,284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6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276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14,890,061</w:t>
            </w:r>
          </w:p>
        </w:tc>
        <w:tc>
          <w:tcPr>
            <w:tcW w:w="64" w:type="dxa"/>
            <w:tcBorders/>
            <w:shd w:fill="CCEEFF" w:val="clear"/>
            <w:vAlign w:val="center"/>
          </w:tcPr>
          <w:p>
            <w:pPr>
              <w:pStyle w:val="TableContents"/>
              <w:spacing w:before="0" w:after="283"/>
              <w:rPr/>
            </w:pPr>
            <w:r>
              <w:rPr/>
              <w:t> </w:t>
            </w:r>
          </w:p>
        </w:tc>
      </w:tr>
      <w:tr>
        <w:trPr/>
        <w:tc>
          <w:tcPr>
            <w:tcW w:w="1483"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rPr/>
            </w:pPr>
            <w:r>
              <w:rPr/>
              <w:t> </w:t>
            </w:r>
          </w:p>
        </w:tc>
        <w:tc>
          <w:tcPr>
            <w:tcW w:w="113"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31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203,284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2"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223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203,284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6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76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14,890,061</w:t>
            </w:r>
          </w:p>
        </w:tc>
        <w:tc>
          <w:tcPr>
            <w:tcW w:w="64"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tbl>
      <w:tblPr>
        <w:tblW w:w="8185" w:type="dxa"/>
        <w:jc w:val="left"/>
        <w:tblInd w:w="0" w:type="dxa"/>
        <w:tblCellMar>
          <w:top w:w="0" w:type="dxa"/>
          <w:left w:w="0" w:type="dxa"/>
          <w:bottom w:w="0" w:type="dxa"/>
          <w:right w:w="0" w:type="dxa"/>
        </w:tblCellMar>
      </w:tblPr>
      <w:tblGrid>
        <w:gridCol w:w="60"/>
        <w:gridCol w:w="350"/>
        <w:gridCol w:w="7775"/>
      </w:tblGrid>
      <w:tr>
        <w:trPr/>
        <w:tc>
          <w:tcPr>
            <w:tcW w:w="6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r>
              <w:rPr/>
              <w:t>(1)</w:t>
            </w:r>
          </w:p>
        </w:tc>
        <w:tc>
          <w:tcPr>
            <w:tcW w:w="7775" w:type="dxa"/>
            <w:tcBorders/>
            <w:shd w:fill="auto" w:val="clear"/>
            <w:vAlign w:val="center"/>
          </w:tcPr>
          <w:p>
            <w:pPr>
              <w:pStyle w:val="TableContents"/>
              <w:spacing w:before="0" w:after="0"/>
              <w:ind w:left="0" w:right="0" w:hanging="0"/>
              <w:rPr>
                <w:rFonts w:ascii="Times New Roman" w:hAnsi="Times New Roman"/>
                <w:sz w:val="18"/>
              </w:rPr>
            </w:pPr>
            <w:r>
              <w:rPr>
                <w:rFonts w:ascii="Times New Roman" w:hAnsi="Times New Roman"/>
                <w:sz w:val="18"/>
              </w:rPr>
              <w:t>The stock repurchase plan was not in place during this period.</w:t>
            </w:r>
          </w:p>
        </w:tc>
      </w:tr>
      <w:tr>
        <w:trPr/>
        <w:tc>
          <w:tcPr>
            <w:tcW w:w="6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r>
              <w:rPr/>
              <w:t>(2)</w:t>
            </w:r>
          </w:p>
        </w:tc>
        <w:tc>
          <w:tcPr>
            <w:tcW w:w="7775" w:type="dxa"/>
            <w:tcBorders/>
            <w:shd w:fill="auto" w:val="clear"/>
            <w:vAlign w:val="center"/>
          </w:tcPr>
          <w:p>
            <w:pPr>
              <w:pStyle w:val="TableContents"/>
              <w:spacing w:before="0" w:after="283"/>
              <w:rPr>
                <w:sz w:val="18"/>
              </w:rPr>
            </w:pPr>
            <w:r>
              <w:rPr>
                <w:sz w:val="18"/>
              </w:rPr>
              <w:t>The weighted average price paid per share of common stock does not include the cost of broker commissions.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12" w:name="i6"/>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i/>
          <w:caps w:val="false"/>
          <w:smallCaps w:val="false"/>
          <w:sz w:val="20"/>
        </w:rPr>
        <w:t>Reserved</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13" w:name="i7"/>
      <w:bookmarkEnd w:id="1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w:t>
      </w:r>
      <w:r>
        <w:rPr>
          <w:rFonts w:ascii="Times New Roman" w:hAnsi="Times New Roman"/>
          <w:caps w:val="false"/>
          <w:smallCaps w:val="false"/>
          <w:sz w:val="20"/>
        </w:rPr>
        <w:t xml:space="preserve"> </w:t>
      </w:r>
      <w:r>
        <w:rPr>
          <w:rFonts w:ascii="Times New Roman" w:hAnsi="Times New Roman"/>
          <w:b/>
          <w:i/>
          <w:caps w:val="false"/>
          <w:smallCaps w:val="false"/>
          <w:sz w:val="20"/>
        </w:rPr>
        <w:t>Management</w:t>
      </w:r>
      <w:r>
        <w:rPr>
          <w:rFonts w:ascii="Times New Roman" w:hAnsi="Times New Roman"/>
          <w:caps w:val="false"/>
          <w:smallCaps w:val="false"/>
          <w:sz w:val="20"/>
        </w:rPr>
        <w:t>’</w:t>
      </w:r>
      <w:r>
        <w:rPr>
          <w:rFonts w:ascii="Times New Roman" w:hAnsi="Times New Roman"/>
          <w:b/>
          <w:i/>
          <w:caps w:val="false"/>
          <w:smallCaps w:val="false"/>
          <w:sz w:val="20"/>
        </w:rPr>
        <w: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of the financial condition and results of operations of HealthStream should be read in conjunction with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the risks described under Risk Factors and elsewhere in this report, as well as additional risks or uncertainties not presently known to us or that we currently deem immaterial.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addresses our 2021 and 2020 results and year-to-year comparisons between 2021 and 2020. A discussion of year-to-year comparisons between 2020 and 2019 can be found in our Annual Report on Form 10-K for the fiscal year ended December 31, 2020, filed with the SEC on February 26, 2021, under Part II, Item 7, Management’s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provides primarily SaaS based applications for healthcare organizations—all designed to improve business and clinical outcomes by supporting the people who deliver patient care.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in the process of more completely unifying the Company under a single platform strategy that will serve as the foundation for the entire enterprise. By enabling our applications through a common technology platform known as hStream, we believe that stand-alone applications, which already provide a powerful value proposition, will begin to leverage each other to more efficiently and effectively empower our customers to manage their businesses and improve their outcomes. As we continue to achieve this goal of orienting multiple applications in relation to a single technology platform, distinctions between our current reporting segments of Workforce Solutions and Provider Solutions may become less applicable, or even obsolete, in terms of how we operate and report on the Company's business. At the current time, what we characterize and report on as Workforce Solutions products are used by healthcare organizations to meet a broad range of their clinical development, learning and performance, certification, scheduling, safety and compliance, and competency assessment needs. Provider Solutions products are used by healthcare organizations for provider credentialing, privileging, and enrollment needs. HealthStream’s primary customers include healthcare organizations and other participants in the healthcare industry.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for the year ended December 31, 2021 were $256.7 million, compared to $244.8 million for the year ended December 31, 2020, an increase of 5%. Revenues were positively impacted from recent acquisitions (detailed below) of $27.2 million, net of deferred revenue write-downs, and growth in other workforce and provider revenues of $19.6 million. The contributions from recent acquisitions and growth in other revenues more than offset the decline of $34.9 million from the legacy resuscitation products. Gross margins improved to 64.5% during 2021 compared to 63.5% in 2020. Operating income decreased by 49% to $8.1 million for 2021, compared to $15.8 million for 2020. Net income decreased to $5.8 million for 2021, compared to $14.1 million for 2020. Earnings per share were $0.18 per share (diluted) for 2021, compared to $0.44 per share (diluted) for 2020. Revenues from Workforce Solutions increased by 4%, or $7.9 million, and revenues from Provider Solutions grew by 9%, or $4.0 million. As of December 31, 2021, the Company had approximately 5.04 million contracted subscriptions to hStream, our emerging technology platform. During 2021, the Company deployed capital to fund two acquisitions for approximately $6.0 million in cash and made approximately $5.1 million of share repurchases. As of December 31, 2021, cash and investment balances approximated $51.9 million, and the Company maintained full availability under its $65.0 million revolving credit facility.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the beginning of 2020, we have completed six acquisitions. We acquired NurseGrid in March 2020, we acquired ShiftWizard in October 2020, and in December 2020, we acquired ANSOS and substantially all of the assets of myClinicalExchange. In January 2021, we acquired ComplyALIGN and substantially all the assets of Rievent in December 2021. For additional information regarding acquisitions, please see Note 8 of the Consolidated Financial Statements included elsewhere in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IMPACT AND RESPONSE TO COVID-19 PANDEMIC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COVID-19 pandemic persists and continues to cause uncertainty and potential economic volatility, including with regard to the pandemic’s various and unpredictable impacts on our healthcare customers and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focused on providing solutions to healthcare organizations, and as such the pandemic’s adverse impact on healthcare organizations has resulted in an adverse impact on our Company. We believe that certain developments related to the pandemic negatively impacted our business in 2021, and are expected to continue to negatively impact our business during 2022 and potentially thereafter, as described below. In particular, sales cycles have been delayed or postponed such that declines in sales bookings by customers since the beginning of the pandemic will result in a negative impact to revenue and earnings in 2022 and potentially thereafter.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Similar to the year ended December 31, 2020, our operating income for the year ended December 31, 2021 benefited from a temporary reduction of operating expenses related to the pandemic, but the operating expense reduction itself—despite its positive impact on our operating results—is indicative of the negative impact the pandemic is having on new bookings and renewals. We have experienced, and expect to continue to experience, delayed and reduced bookings and renewals due to the pandemic. Given that we sell multiple year subscriptions to our solutions, the revenue impact of lost or delayed sales in a given period generally does not manifest until future periods, just as the revenue we recognize in a given period is generally the result of sales from a prior period. Since mid-March 2020, our sales organization has had limited opportunities to travel and conduct onsite sales meetings with existing or prospective customers, and we have also cancelled tradeshows, which typically provide future sales opportunities.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travel restrictions lessen and travel resumes at a more normal level, we expect operating expenses associated with travel to have a negative impact on our operating results, and we do not expect revenue generated from such activities to begin offsetting such increases to operating expenses at the same time we incur such expenses. However, the uncertain trajectory of the pandemic may impact when and to what extent normal operating expenses, including expenses related to sales travel and in-person tradeshows, increases or remains abated.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closely monitor developments related to the pandemic that may have an adverse impact on our operational and financial performance. We also continue to take actions focused on the safety and well-being of our employees, assisting our customers in this time of need, and mitigating operational and financial impacts to our business. We intend to continue serving our customers both in their battle to defeat the coronavirus and across the continuum of their other workforce and provider solution needs.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to promote the safety and well-being of our employees, we required our entire workforce to begin working remotely from home beginning March 16, 2020. Beginning December 1, 2021, we allowed employees who demonstrated proof of vaccination the option to work in our offices at their discretion, but a large majority of our workforce continues to work remotely. In 2021, we also adopted a hybrid work policy that allows employees the choice of whether to work in an office or remotely, and we expect this policy to govern our work after the pandemic 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healthcare organizations have been, and may continue to be, substantially adversely impacted by the pandemic. The period of time over which this adverse impact continues, the extent to which certain healthcare organizations continue to receive and/or are eligible to utilize governmental funds as the result of federal stimulus and relief measures, and ongoing public health conditions related to the pandemic are important factors that may impact our business.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light of adverse developments with respect to healthcare organizations as noted above, we are continuing to monitor the ability or willingness of our customers to:</w:t>
      </w:r>
    </w:p>
    <w:p>
      <w:pPr>
        <w:pStyle w:val="TextBody"/>
        <w:spacing w:before="0" w:after="0"/>
        <w:ind w:left="0" w:right="0" w:hanging="0"/>
        <w:rPr>
          <w:caps w:val="false"/>
          <w:smallCaps w:val="false"/>
        </w:rPr>
      </w:pPr>
      <w:r>
        <w:rPr>
          <w:caps w:val="false"/>
          <w:smallCaps w:val="false"/>
        </w:rPr>
        <w:t> </w:t>
      </w:r>
    </w:p>
    <w:tbl>
      <w:tblPr>
        <w:tblW w:w="4780" w:type="dxa"/>
        <w:jc w:val="left"/>
        <w:tblInd w:w="0" w:type="dxa"/>
        <w:tblCellMar>
          <w:top w:w="0" w:type="dxa"/>
          <w:left w:w="0" w:type="dxa"/>
          <w:bottom w:w="0" w:type="dxa"/>
          <w:right w:w="0" w:type="dxa"/>
        </w:tblCellMar>
      </w:tblPr>
      <w:tblGrid>
        <w:gridCol w:w="60"/>
        <w:gridCol w:w="110"/>
        <w:gridCol w:w="461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6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 for our solutions in a timely manner, in full, or at all;</w:t>
            </w:r>
          </w:p>
        </w:tc>
      </w:tr>
    </w:tbl>
    <w:tbl>
      <w:tblPr>
        <w:tblW w:w="4615" w:type="dxa"/>
        <w:jc w:val="left"/>
        <w:tblInd w:w="0" w:type="dxa"/>
        <w:tblCellMar>
          <w:top w:w="0" w:type="dxa"/>
          <w:left w:w="0" w:type="dxa"/>
          <w:bottom w:w="0" w:type="dxa"/>
          <w:right w:w="0" w:type="dxa"/>
        </w:tblCellMar>
      </w:tblPr>
      <w:tblGrid>
        <w:gridCol w:w="60"/>
        <w:gridCol w:w="110"/>
        <w:gridCol w:w="444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4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implement solutions they have purchased from us; and</w:t>
            </w:r>
          </w:p>
        </w:tc>
      </w:tr>
    </w:tbl>
    <w:tbl>
      <w:tblPr>
        <w:tblW w:w="5065" w:type="dxa"/>
        <w:jc w:val="left"/>
        <w:tblInd w:w="0" w:type="dxa"/>
        <w:tblCellMar>
          <w:top w:w="0" w:type="dxa"/>
          <w:left w:w="0" w:type="dxa"/>
          <w:bottom w:w="0" w:type="dxa"/>
          <w:right w:w="0" w:type="dxa"/>
        </w:tblCellMar>
      </w:tblPr>
      <w:tblGrid>
        <w:gridCol w:w="60"/>
        <w:gridCol w:w="110"/>
        <w:gridCol w:w="489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renew existing or purchase new products or services from us.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monitor our cash position and credit exposure by evaluating, among other things, weekly cash receipts, days sales outstanding (DSO), customer requests to modify payment or contract terms, and bankruptcy notices. We experienced modest decreases in DSO during 2021 compared to 2020 as a result of faster payments from customers, and bad debts were not significantly different from pre-pandemic levels. However, while we have not experienced any adverse impacts to customer defaults resulting from COVID-19, we are unable to know whether or to what extent future negative trends related to the pandemic may arise or increase over time. Any deterioration in the collectability (or the timing of payments) of our accounts receivable could adversely impact our financial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of implementation of our services is also relevant to our business because our software solutions do not result in revenue recognition until they are made available for use. To the extent our customers delay or fail to implement products they have previously purchased, our financial results will be adversely impacted. While we have experienced a negative impact from certain implementation delays related to COVID-19, these delays have not been consistent across products or across customers. In fact, we have become more efficient in implementing certain products during the pandemic, particularly with regard to products focused on workforce development solutions such as hStream and the HealthStream Learning Center. In contrast, solutions like CredentialStream that require greater change management efforts on the part of our customers have, in some instances, been more sensitive to implementation delays.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economy has recently experienced various disruptions, including inflationary pressures, significant disruptions to global supply networks, and challenging labor market conditions. In this regard, we have recently experienced, and believe that some of our customers have experienced, increased labor, supply chain, capital, and other expenditures associated with current inflationary pressures. We may be unable to fully offset the impact of these increased expenditures, which may adversely impact our business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Conditions related to the pandemic have caused, and may continue to cause, some customers to delay purchasing decisions they otherwise would have made. Such conditions also adversely impacted the ability or willingness of some customers to renew their contracts with us or to renew contracts at the same levels. Pandemic-related conditions have also delayed or otherwise adversely impacted our ability to enter into contracts with new potential customers, as some potential customers have been focused on dealing with the impact and demands that the pandemic is having on their businesses. In addition, the limitations noted above on onsite sales meetings and in-person trade shows, as well as our customers’ ongoing uncertainties due to the pandemic, have reduced, and may continue to reduce, the ability of our sales team to make sales they otherwise would likely make but for the impact of the pandemic. As the pandemic has persisted, we have, however, continued to evolve our sales approach such that our sales representatives are in frequent contact with customers via video conference and other remote means that do not require physical travel or onsite visits to our customers’ facilities. The timing and extent of the resumption of in-person activities will be dependent on the prevalence and severity of future COVID-19 outbreaks, including with regard to new variants of COVID-19 that may emerge.</w:t>
      </w:r>
    </w:p>
    <w:p>
      <w:pPr>
        <w:pStyle w:val="TextBody"/>
        <w:spacing w:before="0" w:after="0"/>
        <w:ind w:left="0" w:right="0" w:hanging="0"/>
        <w:jc w:val="both"/>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Given the uncertainty surrounding the adverse impacts that the pandemic could have on our business, we took certain expense management measures in 2020 as previously disclosed. For the year ended December 31, 2021, we generally discontinued these expense management measures taking into account the improved economic environment and current conditions related to the pandemic, provided that certain expenses such as those associated with travel and tradeshows remain significantly lower than pre-pandemic levels due to limitations on our ability to engage in such activities at the same levels as prior to the pandemic. We are continuing to monitor developments related to the pandemic and will continue to make such expense management adjustments as we deem necessary.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spacing w:lineRule="auto" w:line="300" w:before="0" w:after="0"/>
        <w:ind w:left="16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Preparation of our Consolidated Financial Statements requires us to make estimates and assumptions affecting the reported amounts of assets and liabilities at the date of the financial statements, reported amounts of revenues and expenses during the reporting period, and related disclosures. In the Notes to our Consolidated Financial Statements, we describe our significant accounting policies used in preparing the Consolidated Financial Statements. Our policies are evaluated on an ongoing basis and are drawn from historical experience and other assumptions that we believe to be reasonable under the circumstances. Actual results could differ under different assumptions or conditions. Our management has identified the following critical accounting policies for the areas that are materially impacted by estimates and assumptions.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are recognized when control of the promised goods or services is transferred to the customer in an amount that reflects the consideration the Company expects to be entitled in exchange for transferring those goods or services. Our contracts with customers often contain promises for multiple goods and services. For these contracts, the Company accounts for the promised goods and services in its contracts as separate performance obligations if they are distinct. The contract price, which represents transaction price when the contract reflects a fixed fee arrangement, or management’s estimate of variable consideration including application of the constraint when the contract does not have a fixed fee,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subscriptions within the contract. Judgment is required in determining whether performance obligations are distinct, standalone selling prices, and the amount of variable consideration to reflect as transaction price.</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Accounting for Income Taxes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We assess the realizability of our deferred tax assets, and to the extent that we believe a recovery is not likely, we establish a valuation allowance to reduce the deferred tax asset to the amount we estimate will be recoverable. As of December 31, 2021, the Company established a valuation allowance of $2.0 million for the portion of its deferred tax assets that are not more likely than not expected to be realized, compared to a valuation allowance of $0.6 million as of December 31, 2020.</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Goodwill</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Goodwill represents the excess of purchase price in a business combination over the fair value of the net identifiable assets acquired. We evaluate goodwill for impairment at the reporting unit level by assessing whether it is more likely than not that the fair value of a reporting unit exceeds its carrying value. If this assessment concludes that it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market-based models.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assessment whenever events or changes in facts or circumstances indicate that impairment may exist and during the fourth quarter each year. The cash flow estimates and discount rates incorporate management’s best estimates, using appropriate and customary assumptions and projections at the date of evaluation. For 2021, our qualitative assessment indicated that the fair value of our reporting units substantially exceeded their carrying values such that a quantitative assessment was not necessary.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Revenues and Expense Components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descriptions of the components of revenues and expenses apply to the comparison of results of operations.</w:t>
      </w:r>
    </w:p>
    <w:p>
      <w:pPr>
        <w:pStyle w:val="TextBody"/>
        <w:spacing w:lineRule="auto" w:line="300"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Revenues, net.</w:t>
      </w:r>
      <w:r>
        <w:rPr>
          <w:rFonts w:ascii="Times New Roman" w:hAnsi="Times New Roman"/>
          <w:caps w:val="false"/>
          <w:smallCaps w:val="false"/>
          <w:sz w:val="20"/>
        </w:rPr>
        <w:t xml:space="preserve"> Revenues for our Workforce Solutions business segment primarily consist of the following products and services: provision of services through our platform, learning management applications, a variety of training and development content subscriptions, staff scheduling software solutions, competency tools, training, implementation and onboarding, and consulting services to serve professionals that work within healthcare organizations. Revenues for our Provider Solutions business segment are generated from our proprietary software and SaaS-based applications to help facilitate provider credentialing, privileging, and enrollment administration for healthcare organizations.</w:t>
      </w:r>
    </w:p>
    <w:p>
      <w:pPr>
        <w:pStyle w:val="TextBody"/>
        <w:spacing w:lineRule="auto" w:line="300"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Cost of Revenues (excluding depreciation and amortization).</w:t>
      </w:r>
      <w:r>
        <w:rPr>
          <w:rFonts w:ascii="Times New Roman" w:hAnsi="Times New Roman"/>
          <w:caps w:val="false"/>
          <w:smallCaps w:val="false"/>
          <w:sz w:val="20"/>
        </w:rPr>
        <w:t xml:space="preserve"> Cost of revenues (excluding depreciation and amortization) consist primarily of salaries and employee benefits, stock-based compensation, employee travel and lodging, materials, contract labor, hosting costs, third party software licensing costs, and other direct expenses associated with revenues, as well as royalties paid by us to content providers. Personnel costs within cost of revenues are associated with individuals that facilitate product delivery, provide services, handle customer support calls or inquiries, manage the technology infrastructure for our applications, manage content, and provide training or implementation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consists primarily of salaries and employee benefits, contract labor, stock-based compensation, costs associated with the development of new software feature enhancements, new products, third party software licensing costs, and costs associated with maintaining and developing our products. Personnel costs within product development include our systems teams, application development, quality assurance teams, product managers, and other personnel associated with software and product development.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consist primarily of salaries and employee benefits, commissions, stock-based compensation, employee travel and lodging, third party software licensing costs, advertising, trade shows, customer conferences, promotions, and related marketing costs. Personnel costs within sales and marketing include our sales teams and marketing personnel.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General and Administrative Expenses.</w:t>
      </w:r>
      <w:r>
        <w:rPr>
          <w:rFonts w:ascii="Times New Roman" w:hAnsi="Times New Roman"/>
          <w:caps w:val="false"/>
          <w:smallCaps w:val="false"/>
          <w:sz w:val="20"/>
        </w:rPr>
        <w:t xml:space="preserve"> Other general and administrative expenses consist primarily of salaries and employee benefits, stock-based compensation, employee travel and lodging, facility expenses, office expenses, fees for professional services, business development and acquisition-related costs, third party software licensing costs, and other operational expenses. Personnel costs within general and administrative expenses include individuals associated with normal corporate functions (accounting, legal, business development, human resources, administrative, internal information systems, and executive management).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Depreciation and Amortization.</w:t>
      </w:r>
      <w:r>
        <w:rPr>
          <w:rFonts w:ascii="Times New Roman" w:hAnsi="Times New Roman"/>
          <w:caps w:val="false"/>
          <w:smallCaps w:val="false"/>
          <w:sz w:val="20"/>
        </w:rPr>
        <w:t xml:space="preserve"> Depreciation and amortization consist of fixed asset depreciation, amortization of intangibles considered to have definite lives, and amortization of capitalized software development.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(Loss) Income, Net.</w:t>
      </w:r>
      <w:r>
        <w:rPr>
          <w:rFonts w:ascii="Times New Roman" w:hAnsi="Times New Roman"/>
          <w:caps w:val="false"/>
          <w:smallCaps w:val="false"/>
          <w:sz w:val="20"/>
        </w:rPr>
        <w:t xml:space="preserve"> The primary components of other income is interest income related to interest earned on cash and cash equivalents and investments in marketable securities. The primary component of other expense is interest expense related to our revolving credit facility. In addition, the income or loss attributed to equity method investments and fair value adjustments related to non-marketable equity investments is included in this category.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2021 Compared to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Revenues, net.</w:t>
      </w:r>
      <w:r>
        <w:rPr>
          <w:rFonts w:ascii="Times New Roman" w:hAnsi="Times New Roman"/>
          <w:caps w:val="false"/>
          <w:smallCaps w:val="false"/>
          <w:sz w:val="20"/>
        </w:rPr>
        <w:t xml:space="preserve"> Revenues increased approximately $11.9 million, or 5%, to $256.7 million for 2021 from $244.8 million for 2020. At December 31, 2021, the Company had 5.04 million contracted subscriptions to hStream, our emerging technology platform, as compared to 4.22 million contracted subscriptions at December 31, 2020. A comparison of revenues by business segment is as follows (in thousands):</w:t>
      </w:r>
    </w:p>
    <w:p>
      <w:pPr>
        <w:pStyle w:val="TextBody"/>
        <w:spacing w:before="0" w:after="0"/>
        <w:ind w:left="0" w:right="0" w:hanging="0"/>
        <w:rPr>
          <w:caps w:val="false"/>
          <w:smallCaps w:val="false"/>
        </w:rPr>
      </w:pPr>
      <w:r>
        <w:rPr>
          <w:caps w:val="false"/>
          <w:smallCaps w:val="false"/>
        </w:rPr>
        <w:t> </w:t>
      </w:r>
    </w:p>
    <w:tbl>
      <w:tblPr>
        <w:tblW w:w="6689" w:type="dxa"/>
        <w:jc w:val="left"/>
        <w:tblInd w:w="0" w:type="dxa"/>
        <w:tblCellMar>
          <w:top w:w="0" w:type="dxa"/>
          <w:left w:w="0" w:type="dxa"/>
          <w:bottom w:w="0" w:type="dxa"/>
          <w:right w:w="0" w:type="dxa"/>
        </w:tblCellMar>
      </w:tblPr>
      <w:tblGrid>
        <w:gridCol w:w="2660"/>
        <w:gridCol w:w="60"/>
        <w:gridCol w:w="125"/>
        <w:gridCol w:w="695"/>
        <w:gridCol w:w="185"/>
        <w:gridCol w:w="60"/>
        <w:gridCol w:w="125"/>
        <w:gridCol w:w="695"/>
        <w:gridCol w:w="185"/>
        <w:gridCol w:w="60"/>
        <w:gridCol w:w="535"/>
        <w:gridCol w:w="1119"/>
        <w:gridCol w:w="185"/>
      </w:tblGrid>
      <w:tr>
        <w:trPr/>
        <w:tc>
          <w:tcPr>
            <w:tcW w:w="26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784"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185" w:type="dxa"/>
            <w:tcBorders/>
            <w:shd w:fill="FFFFFF" w:val="clear"/>
            <w:vAlign w:val="center"/>
          </w:tcPr>
          <w:p>
            <w:pPr>
              <w:pStyle w:val="TableContents"/>
              <w:spacing w:before="0" w:after="283"/>
              <w:rPr/>
            </w:pPr>
            <w:r>
              <w:rPr/>
              <w:t> </w:t>
            </w:r>
          </w:p>
        </w:tc>
      </w:tr>
      <w:tr>
        <w:trPr/>
        <w:tc>
          <w:tcPr>
            <w:tcW w:w="2660"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Revenues by Business Segment:</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Change</w:t>
            </w:r>
          </w:p>
        </w:tc>
        <w:tc>
          <w:tcPr>
            <w:tcW w:w="185" w:type="dxa"/>
            <w:tcBorders/>
            <w:shd w:fill="FFFFFF" w:val="clear"/>
            <w:vAlign w:val="center"/>
          </w:tcPr>
          <w:p>
            <w:pPr>
              <w:pStyle w:val="TableContents"/>
              <w:spacing w:before="0" w:after="283"/>
              <w:rPr/>
            </w:pPr>
            <w:r>
              <w:rPr/>
              <w:t> </w:t>
            </w:r>
          </w:p>
        </w:tc>
      </w:tr>
      <w:tr>
        <w:trPr/>
        <w:tc>
          <w:tcPr>
            <w:tcW w:w="26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Workforce Solutions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205,443</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197,587</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35" w:type="dxa"/>
            <w:tcBorders/>
            <w:shd w:fill="FFFFFF" w:val="clear"/>
            <w:vAlign w:val="center"/>
          </w:tcPr>
          <w:p>
            <w:pPr>
              <w:pStyle w:val="TableContents"/>
              <w:spacing w:before="0" w:after="283"/>
              <w:ind w:left="0" w:right="0" w:hanging="0"/>
              <w:rPr/>
            </w:pPr>
            <w:r>
              <w:rPr/>
              <w:t> </w:t>
            </w:r>
          </w:p>
        </w:tc>
        <w:tc>
          <w:tcPr>
            <w:tcW w:w="111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6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Provider Solutions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51,269</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47,239</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35" w:type="dxa"/>
            <w:tcBorders/>
            <w:shd w:fill="CCEEFF" w:val="clear"/>
            <w:vAlign w:val="center"/>
          </w:tcPr>
          <w:p>
            <w:pPr>
              <w:pStyle w:val="TableContents"/>
              <w:spacing w:before="0" w:after="283"/>
              <w:ind w:left="0" w:right="0" w:hanging="0"/>
              <w:rPr/>
            </w:pPr>
            <w:r>
              <w:rPr/>
              <w:t> </w:t>
            </w:r>
          </w:p>
        </w:tc>
        <w:tc>
          <w:tcPr>
            <w:tcW w:w="111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66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256,712</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244,826</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35" w:type="dxa"/>
            <w:tcBorders/>
            <w:shd w:fill="FFFFFF" w:val="clear"/>
            <w:vAlign w:val="center"/>
          </w:tcPr>
          <w:p>
            <w:pPr>
              <w:pStyle w:val="TableContents"/>
              <w:spacing w:before="0" w:after="283"/>
              <w:ind w:left="0" w:right="0" w:hanging="0"/>
              <w:rPr/>
            </w:pPr>
            <w:r>
              <w:rPr/>
              <w:t> </w:t>
            </w:r>
          </w:p>
        </w:tc>
        <w:tc>
          <w:tcPr>
            <w:tcW w:w="111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6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35" w:type="dxa"/>
            <w:tcBorders/>
            <w:shd w:fill="CCEEFF" w:val="clear"/>
            <w:vAlign w:val="center"/>
          </w:tcPr>
          <w:p>
            <w:pPr>
              <w:pStyle w:val="TableContents"/>
              <w:spacing w:before="0" w:after="283"/>
              <w:rPr/>
            </w:pPr>
            <w:r>
              <w:rPr/>
              <w:t> </w:t>
            </w:r>
          </w:p>
        </w:tc>
        <w:tc>
          <w:tcPr>
            <w:tcW w:w="1119"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2660"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35" w:type="dxa"/>
            <w:tcBorders/>
            <w:shd w:fill="FFFFFF" w:val="clear"/>
            <w:vAlign w:val="center"/>
          </w:tcPr>
          <w:p>
            <w:pPr>
              <w:pStyle w:val="TableContents"/>
              <w:spacing w:before="0" w:after="283"/>
              <w:rPr/>
            </w:pPr>
            <w:r>
              <w:rPr/>
              <w:t> </w:t>
            </w:r>
          </w:p>
        </w:tc>
        <w:tc>
          <w:tcPr>
            <w:tcW w:w="1119"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Workforce Solutions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535" w:type="dxa"/>
            <w:tcBorders/>
            <w:shd w:fill="CCEEFF" w:val="clear"/>
            <w:vAlign w:val="center"/>
          </w:tcPr>
          <w:p>
            <w:pPr>
              <w:pStyle w:val="TableContents"/>
              <w:spacing w:before="0" w:after="283"/>
              <w:rPr/>
            </w:pPr>
            <w:r>
              <w:rPr/>
              <w:t> </w:t>
            </w:r>
          </w:p>
        </w:tc>
        <w:tc>
          <w:tcPr>
            <w:tcW w:w="1119" w:type="dxa"/>
            <w:tcBorders/>
            <w:shd w:fill="CCEEFF" w:val="clear"/>
            <w:vAlign w:val="center"/>
          </w:tcPr>
          <w:p>
            <w:pPr>
              <w:pStyle w:val="TableContents"/>
              <w:spacing w:before="0" w:after="283"/>
              <w:jc w:val="right"/>
              <w:rPr/>
            </w:pPr>
            <w:r>
              <w:rPr/>
              <w:t> </w:t>
            </w:r>
          </w:p>
        </w:tc>
        <w:tc>
          <w:tcPr>
            <w:tcW w:w="185" w:type="dxa"/>
            <w:tcBorders/>
            <w:shd w:fill="CCEEFF" w:val="clear"/>
            <w:vAlign w:val="center"/>
          </w:tcPr>
          <w:p>
            <w:pPr>
              <w:pStyle w:val="TableContents"/>
              <w:spacing w:before="0" w:after="283"/>
              <w:rPr/>
            </w:pPr>
            <w:r>
              <w:rPr/>
              <w:t> </w:t>
            </w:r>
          </w:p>
        </w:tc>
      </w:tr>
      <w:tr>
        <w:trPr/>
        <w:tc>
          <w:tcPr>
            <w:tcW w:w="26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Provider Solutions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535" w:type="dxa"/>
            <w:tcBorders/>
            <w:shd w:fill="FFFFFF" w:val="clear"/>
            <w:vAlign w:val="center"/>
          </w:tcPr>
          <w:p>
            <w:pPr>
              <w:pStyle w:val="TableContents"/>
              <w:spacing w:before="0" w:after="283"/>
              <w:rPr/>
            </w:pPr>
            <w:r>
              <w:rPr/>
              <w:t> </w:t>
            </w:r>
          </w:p>
        </w:tc>
        <w:tc>
          <w:tcPr>
            <w:tcW w:w="1119"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for Workforce Solutions, which are primarily subscription-based, increased $7.9 million, or 4%, to $205.4 million in 2021 from $197.6 million in 2020. Revenues from recent acquisitions contributed to the year-over-year growth of approximately $27.2 million, net of deferred revenue write-downs, while growth from other solutions accounted for an additional $15.6 million compared to last year. Partially offsetting this revenue growth were reductions from our legacy resuscitation products, which were $3.5 million for 2021 compared to $38.4 million for 2020, a decrease of $34.9 million. </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for Provider Solutions increased $4.0 million, or 9%, to $51.3 million for 2021 from $47.2 million for 2020. Revenue growth in 2021 was primarily attributable to new subscription revenues.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Cost of Revenues (excluding depreciation and amortization).</w:t>
      </w:r>
      <w:r>
        <w:rPr>
          <w:rFonts w:ascii="Times New Roman" w:hAnsi="Times New Roman"/>
          <w:caps w:val="false"/>
          <w:smallCaps w:val="false"/>
          <w:sz w:val="20"/>
        </w:rPr>
        <w:t xml:space="preserve"> Cost of revenues increased $1.7 million, or 2%, to $91.0 million for 2021 from $89.3 million for 2020. Cost of revenues as a percentage of revenues was 35% and 36% of revenues for 2021 and 2020, respectively</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revenues for Workforce Solutions increased $0.7 million to $74.1 million and approximated 36% and 37% of revenues for Workforce Solutions for 2021 and 2020, respectively. The increase in amount is primarily associated with increased expenses related to recent acquisitions, the one-time contractual adjustment to cost of revenues in the amount of $3.4 million recorded during the first quarter of 2020, an increase in software expense classified as cost of revenues, and stock-based compensation related to the stock awards granted during the three months ended December 31, 2021 in connection with the contribution of stock by our chief executive officer to enable such grants. These increases in cost of revenues were partially offset by lower royalty expense associated with the decline in the legacy resuscitation revenues. Cost of revenues for Provider Solutions increased $1.0 million to $16.9 million and approximated 33% and 34% of Provider Solutions revenues for 2021 and 2020, respectively. The increase in amount is primarily associated with an increase in software expense classified as cost of revenues as well as an increase in personnel expenses.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expenses increased $9.4 million, or 29%, to $41.7 million for 2021 from $32.3 million for 2020. Product development expenses as a percentage of revenues were 16% and 13% of revenues for 2021 and 2020, respectively.</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development expenses for Workforce Solutions increased $9.9 million to $35.4 million and approximated 17% and 13% of revenues for Workforce Solutions for 2021 and 2020, respectively. The increase is primarily due to an increase in personnel associated with the recent acquisitions, increased product development efforts across other workforce solutions, and stock-based compensation related to stock awards granted during the three months ended December 31, 2021 as noted above. Product development expenses for Provider Solutions decreased $0.5 million to $6.3 million and approximated 12% and 14% of revenues for Provider Solutions for 2021 and 2020, respectively. The decrease is primarily due to an increase in labor capitalized for internally developed software related to additional product investments across the VerityStream product suite. </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expenses, including personnel costs, increased $4.2 million, or 12%, to $39.5 million for 2021 from $35.3 million for 2020. Sales and marketing expenses were 15% and 14% of revenues for 2021 and 2020,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marketing expenses for Workforce Solutions increased $3.5 million to $31.5 million and approximated 15% and 14% of revenues for Workforce Solutions for 2021 and 2020, respectively. The increase is primarily due to increases in personnel associated with recent acquisitions, stock-based compensation related to stock awards granted during the three months ended December 31, 2021 as noted above, and marketing expenses, but was partially offset by lower sales commissions associated with the decline in legacy resuscitation revenues and decreases in travel and entertainment expenses as a result of the COVID-19 pandemic. Sales and marketing expenses for Provider Solutions increased $0.5 million to $6.7 million and approximated 13% of revenues for Provider Solutions for both 2021 and 2020. The increase in amount is primarily due to increases in general marketing expenses and stock-based compensation related to stock awards granted during the three months ended December 31, 2021 as noted above. The unallocated corporate portion of sales and marketing expenses increased $0.2 million to $1.3 million for 2021 compared to 2020 due to increases in investor relation expenses.</w:t>
      </w:r>
    </w:p>
    <w:p>
      <w:pPr>
        <w:pStyle w:val="TextBody"/>
        <w:spacing w:lineRule="auto" w:line="300" w:before="0" w:after="0"/>
        <w:ind w:left="0" w:right="0" w:hanging="0"/>
        <w:jc w:val="both"/>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General and Administrative Expenses.</w:t>
      </w:r>
      <w:r>
        <w:rPr>
          <w:rFonts w:ascii="Times New Roman" w:hAnsi="Times New Roman"/>
          <w:caps w:val="false"/>
          <w:smallCaps w:val="false"/>
          <w:sz w:val="20"/>
        </w:rPr>
        <w:t xml:space="preserve"> Other general and administrative expenses decreased $2.2 million, or 5%, to $39.7 million for 2021 from $41.9 million for 2020. Other general and administrative expenses as a percentage of revenues were 15% and 17% of revenues for 2021 and 2020, respectively.</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general and administrative expenses for Workforce Solutions decreased $4.0 million to $12.1 million and approximated 6% and 8% of revenues for Workforce Solutions for 2021 and 2020, respectively. The decrease is primarily associated with a decrease in software expense classified as general and administrative expenses, partially offset by expenses associated with recent acquisitions and stock-based compensation related to stock awards granted during the three months ended December 31, 2021 as noted above. Other general and administrative expenses for Provider Solutions increased $0.2 million to $3.6 million and approximated 7% of revenues for Provider Solutions for both 2021 and 2020. The increase in amount is primarily due to increases in personnel expenses and stock-based compensation related to stock awards granted during the three months ended December 31, 2021 as noted above, partially offset by a decrease in software expense classified as general and administrative expenses. The unallocated corporate portion of other general and administrative expenses increased $1.6 million to $24.0 for 2021 from $22.5 for 2020. The increase is primarily due to increased personnel expenses over the prior year and stock-based compensation related to stock awards granted during the three months ended December 31, 2021 as noted above, partially offset by a reduction in acquisition-related expenses.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Depreciation and Amortization.</w:t>
      </w:r>
      <w:r>
        <w:rPr>
          <w:rFonts w:ascii="Times New Roman" w:hAnsi="Times New Roman"/>
          <w:caps w:val="false"/>
          <w:smallCaps w:val="false"/>
          <w:sz w:val="20"/>
        </w:rPr>
        <w:t xml:space="preserve"> Depreciation and amortization increased $6.6 million, or 22%, to $36.8 million for 2021 from $30.2 million for 2020. The increase resulted from higher amortization of capitalized software and intangibles resulting from our recent acquisitions.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(Loss) Income, Net</w:t>
      </w:r>
      <w:r>
        <w:rPr>
          <w:rFonts w:ascii="Times New Roman" w:hAnsi="Times New Roman"/>
          <w:caps w:val="false"/>
          <w:smallCaps w:val="false"/>
          <w:sz w:val="20"/>
        </w:rPr>
        <w:t>. Other (loss) income, net was a loss of $0.3 million for 2021 compared to income of $2.0 million for 2020. The decrease is driven by the $1.2 million gain associated with the change in fair value of the non-marketable equity investment in NurseGrid prior to the acquisition of NurseGrid on March 9, 2020, coupled with lower interest income due to reductions in bond yields and bank interest rates.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Income Tax Provision.</w:t>
      </w:r>
      <w:r>
        <w:rPr>
          <w:rFonts w:ascii="Times New Roman" w:hAnsi="Times New Roman"/>
          <w:caps w:val="false"/>
          <w:smallCaps w:val="false"/>
          <w:sz w:val="20"/>
        </w:rPr>
        <w:t xml:space="preserve"> The Company recorded a provision for income taxes of $1.9 million and $3.7 million for 2021 and 2020, respectively. The Company’s effective tax rate was 25% for 2021 compared to 21% for 2020. The Company's effective tax rate primarily reflects the statutory corporate income tax rate, the net effect of state taxes, foreign income taxes, and the effect of various permanent tax differences. During the year ended December 31, 2021, the Company recorded discrete tax expense of $0.5 million, which included changes in state tax rates enacted during the period and lower research and development tax credits recognized than previously estimated. During the year ended December 31, 2020, the Company recorded a $1.2 million change in the fair value of non-marketable equity investments as a result of the NurseGrid acquisition, which is not a taxable transaction, resulting in a tax benefit of $0.3 million, and recognized tax benefits from higher research and development tax credits than previously estimated. </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Income.</w:t>
      </w:r>
      <w:r>
        <w:rPr>
          <w:rFonts w:ascii="Times New Roman" w:hAnsi="Times New Roman"/>
          <w:caps w:val="false"/>
          <w:smallCaps w:val="false"/>
          <w:sz w:val="20"/>
        </w:rPr>
        <w:t xml:space="preserve"> Net income decreased $8.3 million, or 59%, to $5.8 million for 2021 compared to $14.1 million for 2020. Earnings per diluted share were $0.18 per share (diluted) for 2021, compared to $0.44 per share (diluted) for 2020.</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increased 15% to $52.7 million for 2021 compared to $46.0 million for 2020. The increase resulted from the factors mentioned above. Adjusted EBITDA is a non-GAAP financial measure which we define as net income excluding the impact of the deferred revenue write-downs associated with fair value accounting for acquired businesses and before interest, income taxes, stock-based compensation, depreciation and amortization, changes in fair value of non-marketable equity investments, the de-recognition of non-cash expense resulting from the PTO expense reduction in the first quarter of 2021 and the de-recognition of non-cash royalty expense resulting from our resolution of a mutual disagreement related to various elements of a past partnership which resulted in a reduction to cost of sales in the first quarter of 2020. See "Reconciliation of Non-GAAP Financial Measures" below for a reconciliation of this calculation to the most comparable measure under U.S. GAAP and information regarding why this non-GAAP financial measure provides useful information to investors.</w:t>
      </w:r>
    </w:p>
    <w:p>
      <w:pPr>
        <w:pStyle w:val="TextBody"/>
        <w:spacing w:lineRule="auto" w:line="300"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lineRule="auto" w:line="300"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Key Business Metrics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management utilizes the following financial and non-financial metrics in connection with managing our business.</w:t>
      </w:r>
    </w:p>
    <w:p>
      <w:pPr>
        <w:pStyle w:val="TextBody"/>
        <w:spacing w:lineRule="auto" w:line="300"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lineRule="auto" w:line="300"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lineRule="auto" w:line="300" w:before="0" w:after="283"/>
              <w:jc w:val="both"/>
              <w:rPr>
                <w:rFonts w:ascii="Times New Roman;Times;serif" w:hAnsi="Times New Roman;Times;serif"/>
                <w:sz w:val="20"/>
              </w:rPr>
            </w:pPr>
            <w:r>
              <w:rPr>
                <w:rFonts w:ascii="Times New Roman;Times;serif" w:hAnsi="Times New Roman;Times;serif"/>
                <w:i/>
                <w:sz w:val="20"/>
              </w:rPr>
              <w:t>Revenues, net</w:t>
            </w:r>
            <w:r>
              <w:rPr>
                <w:rFonts w:ascii="Times New Roman;Times;serif" w:hAnsi="Times New Roman;Times;serif"/>
                <w:sz w:val="20"/>
              </w:rPr>
              <w:t>. Revenues, net, reflect income generated by the sales of goods and services related to our operations and reflect deferred revenue write-downs associated with fair value accounting for acquired businesses. Revenues, net, were $256.7 million for the year ended December 31, 2021 compared to $244.8 million for the year ended December 31, 2020. Management utilizes revenue in connection with managing our business and believes that this metric provides useful information to investors as a key indicator of the growth and success of our products.</w:t>
            </w:r>
          </w:p>
        </w:tc>
      </w:tr>
    </w:tbl>
    <w:p>
      <w:pPr>
        <w:pStyle w:val="TextBody"/>
        <w:spacing w:lineRule="auto" w:line="300"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lineRule="auto" w:line="300"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Operating Income</w:t>
            </w:r>
            <w:r>
              <w:rPr>
                <w:rFonts w:ascii="Times New Roman" w:hAnsi="Times New Roman"/>
                <w:caps w:val="false"/>
                <w:smallCaps w:val="false"/>
                <w:sz w:val="20"/>
              </w:rPr>
              <w:t>. Operating income represents the amount of profit realized from our operations and is calculated as the difference between revenues, net and operating costs and expenses. Operating income was $8.1 million for the year ended December 31, 2021, compared to $15.8 million for the year ended December 31, 2020. Management utilizes operating income in connection with managing our business as a key indicator of profitability. We also believe that operating income is useful to investors as a key measure of our profitability. </w:t>
            </w:r>
          </w:p>
        </w:tc>
      </w:tr>
    </w:tbl>
    <w:p>
      <w:pPr>
        <w:pStyle w:val="TextBody"/>
        <w:spacing w:lineRule="auto" w:line="300"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lineRule="auto" w:line="300"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Adjusted EBITDA</w:t>
            </w:r>
            <w:r>
              <w:rPr>
                <w:rFonts w:ascii="Times New Roman" w:hAnsi="Times New Roman"/>
                <w:caps w:val="false"/>
                <w:smallCaps w:val="false"/>
                <w:sz w:val="20"/>
              </w:rPr>
              <w:t>. Adjusted EBITDA, calculated as set forth below under “Reconciliation of Non-GAAP Financial Measures,” is utilized by our management in connection with managing our business and provides useful information to investors because adjusted EBITDA reflects net income adjusted for certain GAAP accounting, non-cash and non-operating items, as more specifically set forth below, which may not fully reflect the underlying operating performance of our business. Management further believes that adjusted EBITDA from continuing operations is a useful measure for evaluating the operating performance of the Company because such measure excludes the gain on sale in connection with the sale of the PX business in February 2018 included in our results of operations during the year ended December 31, 2019 and thus reflects the Company’s ongoing business operations and assists in comparing the Company’s results of operations between periods. We believe that adjusted EBITDA and adjusted EBITDA from continuing operations are useful to many investors to assess the Company’s ongoing results from current operations. Adjusted EBITDA was $52.7 million for the year ended December 31, 2021, compared to $46.0 million for the year ended December 31, 2020. In addition, beginning in 2021, executive bonuses are based on the achievement of adjusted EBITDA targets.</w:t>
            </w:r>
          </w:p>
        </w:tc>
      </w:tr>
    </w:tbl>
    <w:p>
      <w:pPr>
        <w:pStyle w:val="TextBody"/>
        <w:spacing w:lineRule="auto" w:line="300"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lineRule="auto" w:line="300" w:before="0" w:after="0"/>
              <w:ind w:left="0" w:right="0" w:hanging="0"/>
              <w:rPr>
                <w:caps w:val="false"/>
                <w:smallCaps w:val="false"/>
              </w:rPr>
            </w:pPr>
            <w:r>
              <w:rPr>
                <w:caps w:val="false"/>
                <w:smallCaps w:val="false"/>
              </w:rPr>
              <w:t>•</w:t>
            </w:r>
          </w:p>
        </w:tc>
        <w:tc>
          <w:tcPr>
            <w:tcW w:w="10095" w:type="dxa"/>
            <w:tcBorders/>
            <w:shd w:fill="auto" w:val="clear"/>
            <w:vAlign w:val="center"/>
          </w:tcPr>
          <w:p>
            <w:pPr>
              <w:pStyle w:val="TableContents"/>
              <w:spacing w:lineRule="auto" w:line="300"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hStream Subscriptions</w:t>
            </w:r>
            <w:r>
              <w:rPr>
                <w:rFonts w:ascii="Times New Roman" w:hAnsi="Times New Roman"/>
                <w:caps w:val="false"/>
                <w:smallCaps w:val="false"/>
                <w:sz w:val="20"/>
              </w:rPr>
              <w:t>. hStream subscriptions are determined as the number of subscriptions under contract for hStream. Our management utilizes hStream subscriptions in connection with managing our business and believes this metric provides useful information to investors as a measure of our progress in growing the value of our customer base. At December 31, 2021, we had approximately 5.04 million contracted subscriptions to hStream compared to 4.22 million as of December 31, 2020.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Reconciliation of Non-GAAP Financial Measures</w:t>
      </w:r>
    </w:p>
    <w:p>
      <w:pPr>
        <w:pStyle w:val="TextBody"/>
        <w:spacing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report presents adjusted EBITDA and adjusted EBITDA from continuing operations, both of which are non-GAAP financial measures used by management in analyzing our financial results and ongoing operational performance.</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better assess the Company’s financial results, management believes that net income excluding the impact of the deferred revenue write-downs associated with fair value accounting for acquired businesses and before interest, income taxes, stock-based compensation, depreciation and amortization, changes in fair value of non-marketable equity investments, the de-recognition of non-cash expense resulting from the paid time off expense reduction in the first quarter of 2021, and the resolution of a mutual disagreement related to various elements of a past partnership which resulted in a reduction to cost of sales in the first quarter of 2020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Management also believes that adjusted EBITDA from continuing operations is a useful measure for evaluating the operating performance of the Company because such measure excludes the gain on sale in connection with the sale of the PX business in February 2018 included in our results of operations during the year ended December 31, 2019, and thus reflects the Company’s ongoing business operations and assists in comparing the Company’s results of operations between periods. We also believe that adjusted EBITDA and adjusted EBITDA from continuing operations are useful to many investors to assess the Company’s ongoing results from current operations. In addition, beginning in 2021, executive bonuses are based on the achievement of adjusted EBITDA targets.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noted above, the definition of adjusted EBITDA and adjusted EBITDA from continuing operations includes an adjustment for the impact of the deferred revenue write-downs associated with fair value accounting for acquired businesses. Following the completion of any acquisition by the Company, the Company must record the acquired deferred revenue at fair value as defined in GAAP, which may result in a write-down of deferred revenue. If the Company is required to record a write-down of deferred revenue, it may result in lower recognized revenue, operating income, and net income in subsequent periods. Revenue for any such acquired business is deferred and is typically recognized over a one-to-two year period following the completion of any particular acquisition, so our GAAP revenues for this one-to-two year period will not reflect the full amount of revenues that would have been reported if the acquired deferred revenue was not written down to fair value. Management believes that including an adjustment in the definition of adjusted EBITDA and adjusted EBITDA from continuing operations for the impact of the deferred write-downs associated with fair value accounting for acquired businesses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and adjusted EBITDA from continuing operations are non-GAAP financial measures and should not be considered as measures of financial performance under GAAP. Because adjusted EBITDA and adjusted EBITDA from continuing operations are not measurements determined in accordance with GAAP, such non-GAAP financial measures are susceptible to varying calculations. Accordingly, adjusted EBITDA and adjusted EBITDA from continuing operations, as presented, may not be comparable to other similarly titled measures of other companies.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non-GAAP financial measures should not be considered as a substitute for, or superior to, measures of financial performance which are prepared in accordance with US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reconciliation of adjusted EBITDA and adjusted EBITDA from continuing operations to the most directly comparable GAAP measures for the years ended December 31, 2021, December 31, 2020, and December 31, 2019, is set forth below (in thousands).</w:t>
      </w:r>
    </w:p>
    <w:p>
      <w:pPr>
        <w:pStyle w:val="TextBody"/>
        <w:spacing w:before="0" w:after="0"/>
        <w:ind w:left="0" w:right="0" w:hanging="0"/>
        <w:rPr>
          <w:caps w:val="false"/>
          <w:smallCaps w:val="false"/>
        </w:rPr>
      </w:pPr>
      <w:r>
        <w:rPr>
          <w:caps w:val="false"/>
          <w:smallCaps w:val="false"/>
        </w:rPr>
        <w:t> </w:t>
      </w:r>
    </w:p>
    <w:tbl>
      <w:tblPr>
        <w:tblW w:w="7355" w:type="dxa"/>
        <w:jc w:val="left"/>
        <w:tblInd w:w="0" w:type="dxa"/>
        <w:tblCellMar>
          <w:top w:w="0" w:type="dxa"/>
          <w:left w:w="0" w:type="dxa"/>
          <w:bottom w:w="0" w:type="dxa"/>
          <w:right w:w="0" w:type="dxa"/>
        </w:tblCellMar>
      </w:tblPr>
      <w:tblGrid>
        <w:gridCol w:w="4790"/>
        <w:gridCol w:w="60"/>
        <w:gridCol w:w="125"/>
        <w:gridCol w:w="590"/>
        <w:gridCol w:w="80"/>
        <w:gridCol w:w="60"/>
        <w:gridCol w:w="125"/>
        <w:gridCol w:w="590"/>
        <w:gridCol w:w="80"/>
        <w:gridCol w:w="60"/>
        <w:gridCol w:w="125"/>
        <w:gridCol w:w="590"/>
        <w:gridCol w:w="80"/>
      </w:tblGrid>
      <w:tr>
        <w:trPr/>
        <w:tc>
          <w:tcPr>
            <w:tcW w:w="47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GAAP income from continuing operations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14,091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14,196</w:t>
            </w:r>
          </w:p>
        </w:tc>
        <w:tc>
          <w:tcPr>
            <w:tcW w:w="80" w:type="dxa"/>
            <w:tcBorders/>
            <w:shd w:fill="CCEEFF" w:val="clear"/>
            <w:vAlign w:val="center"/>
          </w:tcPr>
          <w:p>
            <w:pPr>
              <w:pStyle w:val="TableContents"/>
              <w:spacing w:before="0" w:after="283"/>
              <w:rPr/>
            </w:pPr>
            <w:r>
              <w:rPr/>
              <w:t> </w:t>
            </w:r>
          </w:p>
        </w:tc>
      </w:tr>
      <w:tr>
        <w:trPr/>
        <w:tc>
          <w:tcPr>
            <w:tcW w:w="479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revenue write-down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4,040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1,274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280</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(3,272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79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3,733</w:t>
            </w:r>
          </w:p>
        </w:tc>
        <w:tc>
          <w:tcPr>
            <w:tcW w:w="80" w:type="dxa"/>
            <w:tcBorders/>
            <w:shd w:fill="CCEEFF" w:val="clear"/>
            <w:vAlign w:val="center"/>
          </w:tcPr>
          <w:p>
            <w:pPr>
              <w:pStyle w:val="TableContents"/>
              <w:spacing w:before="0" w:after="283"/>
              <w:rPr/>
            </w:pPr>
            <w:r>
              <w:rPr/>
              <w:t> </w:t>
            </w:r>
          </w:p>
        </w:tc>
      </w:tr>
      <w:tr>
        <w:trPr/>
        <w:tc>
          <w:tcPr>
            <w:tcW w:w="479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2,218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4,244</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36,813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30,189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27,869</w:t>
            </w:r>
          </w:p>
        </w:tc>
        <w:tc>
          <w:tcPr>
            <w:tcW w:w="80" w:type="dxa"/>
            <w:tcBorders/>
            <w:shd w:fill="CCEEFF" w:val="clear"/>
            <w:vAlign w:val="center"/>
          </w:tcPr>
          <w:p>
            <w:pPr>
              <w:pStyle w:val="TableContents"/>
              <w:spacing w:before="0" w:after="283"/>
              <w:rPr/>
            </w:pPr>
            <w:r>
              <w:rPr/>
              <w:t> </w:t>
            </w:r>
          </w:p>
        </w:tc>
      </w:tr>
      <w:tr>
        <w:trPr/>
        <w:tc>
          <w:tcPr>
            <w:tcW w:w="479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Non-cash paid time off expense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(1,011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Change in fair value of non-marketable equity investments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479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Non-cash royalty expense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(3,440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Adjusted EBITDA from continuing operations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52,684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45,986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47,152</w:t>
            </w:r>
          </w:p>
        </w:tc>
        <w:tc>
          <w:tcPr>
            <w:tcW w:w="80" w:type="dxa"/>
            <w:tcBorders/>
            <w:shd w:fill="CCEEFF" w:val="clear"/>
            <w:vAlign w:val="center"/>
          </w:tcPr>
          <w:p>
            <w:pPr>
              <w:pStyle w:val="TableContents"/>
              <w:spacing w:before="0" w:after="283"/>
              <w:rPr/>
            </w:pPr>
            <w:r>
              <w:rPr/>
              <w:t> </w:t>
            </w:r>
          </w:p>
        </w:tc>
      </w:tr>
      <w:tr>
        <w:trPr/>
        <w:tc>
          <w:tcPr>
            <w:tcW w:w="47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GAAP net income</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14,091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15,770</w:t>
            </w:r>
          </w:p>
        </w:tc>
        <w:tc>
          <w:tcPr>
            <w:tcW w:w="80" w:type="dxa"/>
            <w:tcBorders/>
            <w:shd w:fill="CCEEFF" w:val="clear"/>
            <w:vAlign w:val="center"/>
          </w:tcPr>
          <w:p>
            <w:pPr>
              <w:pStyle w:val="TableContents"/>
              <w:spacing w:before="0" w:after="283"/>
              <w:rPr/>
            </w:pPr>
            <w:r>
              <w:rPr/>
              <w:t> </w:t>
            </w:r>
          </w:p>
        </w:tc>
      </w:tr>
      <w:tr>
        <w:trPr/>
        <w:tc>
          <w:tcPr>
            <w:tcW w:w="479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revenue write-down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4,040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1,274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280</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(3,272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79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4,212</w:t>
            </w:r>
          </w:p>
        </w:tc>
        <w:tc>
          <w:tcPr>
            <w:tcW w:w="80" w:type="dxa"/>
            <w:tcBorders/>
            <w:shd w:fill="CCEEFF" w:val="clear"/>
            <w:vAlign w:val="center"/>
          </w:tcPr>
          <w:p>
            <w:pPr>
              <w:pStyle w:val="TableContents"/>
              <w:spacing w:before="0" w:after="283"/>
              <w:rPr/>
            </w:pPr>
            <w:r>
              <w:rPr/>
              <w:t> </w:t>
            </w:r>
          </w:p>
        </w:tc>
      </w:tr>
      <w:tr>
        <w:trPr/>
        <w:tc>
          <w:tcPr>
            <w:tcW w:w="479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2,218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4,244</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36,813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30,189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27,869</w:t>
            </w:r>
          </w:p>
        </w:tc>
        <w:tc>
          <w:tcPr>
            <w:tcW w:w="80" w:type="dxa"/>
            <w:tcBorders/>
            <w:shd w:fill="CCEEFF" w:val="clear"/>
            <w:vAlign w:val="center"/>
          </w:tcPr>
          <w:p>
            <w:pPr>
              <w:pStyle w:val="TableContents"/>
              <w:spacing w:before="0" w:after="283"/>
              <w:rPr/>
            </w:pPr>
            <w:r>
              <w:rPr/>
              <w:t> </w:t>
            </w:r>
          </w:p>
        </w:tc>
      </w:tr>
      <w:tr>
        <w:trPr/>
        <w:tc>
          <w:tcPr>
            <w:tcW w:w="479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Non-cash paid time off expense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(1,011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Change in fair value of non-marketable equity investments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479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Non-cash royalty expense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(3,440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52,684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45,986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49,205</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lineRule="auto" w:line="300"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was $42.4 million during 2021 compared to $35.9 million during 2020, an increase of 18%. The increase resulted from higher cash collections compared to the prior year. The number of days sales outstanding (DSO) was 50 days for 2021 compared to 51 days for 2020. The Company calculates DSO by dividing the average accounts receivable balance (excluding unbilled and other receivables) by average daily revenues for the year.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approximately $25.7 million during 2021 compared to $110.4 million during 2020. During 2021, the Company acquired two businesses, ComplyALIGN, and Rievent, for a combined $5.9 million in cash and on a net basis received $1.2 million of proceeds upon settling post-closing adjustments related to the ANSOS and ShiftWizard acquisitions which closed during 2020 for a net cash outflow of $4.7 million, invested in marketable securities of $5.2 million, made payments for capitalized software development of $21.9 million, purchased property and equipment of $3.4 million, and invested $1.8 million in non-marketable equity investments. These uses of cash were partially offset by $9.9 million in maturities of marketable securities and $1.4 million in proceeds from the sale of non-marketable equity investments. During 2020, the Company acquired four businesses, NurseGrid, ShiftWizard, ANSOS, and myClinicalExchange, for a combined $121.3 million in cash, invested in marketable securities of $61.2 million, purchased property and equipment of $2.0 million, made payments for capitalized software development of $16.8 million, and invested $1.3 million in non-marketable equity investments. These uses of cash were partially offset by $92.2 million in sales and maturities of marketable securities.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financing activities was $6.2 million during 2021 compared to $20.5 million during 2020. The primary uses of cash in financing activities during 2021 included $5.0 million for repurchases of common stock and $1.2 million for payments of payroll taxes from stock-based compensation. During 2020, the primary use of cash in financing activities included $20.0 million for repurchases of common stock and $0.4 million for payments of payroll taxes from stock-based compensation. </w:t>
      </w:r>
    </w:p>
    <w:p>
      <w:pPr>
        <w:pStyle w:val="TextBody"/>
        <w:spacing w:lineRule="auto" w:line="240" w:before="0" w:after="0"/>
        <w:ind w:left="0" w:right="0" w:hanging="0"/>
        <w:rPr>
          <w:caps w:val="false"/>
          <w:smallCaps w:val="false"/>
        </w:rPr>
      </w:pPr>
      <w:r>
        <w:rPr>
          <w:caps w:val="false"/>
          <w:smallCaps w:val="false"/>
        </w:rPr>
        <w:t> </w:t>
      </w:r>
    </w:p>
    <w:p>
      <w:pPr>
        <w:pStyle w:val="TextBody"/>
        <w:spacing w:lineRule="auto" w:line="240"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rPr/>
      </w:pPr>
      <w:r>
        <w:rPr/>
      </w:r>
    </w:p>
    <w:p>
      <w:pPr>
        <w:pStyle w:val="TextBody"/>
        <w:spacing w:lineRule="auto" w:line="24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lineRule="auto" w:line="240" w:before="0" w:after="0"/>
        <w:ind w:left="0" w:right="0" w:hanging="0"/>
        <w:jc w:val="left"/>
        <w:rPr/>
      </w:pPr>
      <w:r>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balance sheet reflects positive working capital of $6.5 million at December 31, 2021 compared to negative working capital of $4.7 million at December 31, 2020. The increase in working capital was primarily due to an increase in cash and marketable securities and a reduction in accounts payable, accrued liabilities, and current deferred revenue. The Company’s primary source of liquidity is $51.9 million of cash and cash equivalents and marketable securities. The Company also has a $65.0 million revolving credit facility loan agreement, all of which was available at December 31, 2021. For additional information regarding our revolving credit facility, see Note 14 to the Company’s Consolidated Financial Statements included elsewhere in this report.</w:t>
      </w:r>
    </w:p>
    <w:p>
      <w:pPr>
        <w:pStyle w:val="TextBody"/>
        <w:spacing w:lineRule="auto" w:line="300" w:before="0" w:after="0"/>
        <w:ind w:left="0" w:right="0" w:hanging="0"/>
        <w:jc w:val="both"/>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contractual obligations arising in the normal course of business primarily consist of operating lease obligations and purchase obligations. The amounts included as contractual obligations represent the non-cancelable portion of agreements or the minimum cancellation fee. As further discussed in Note 15 to the Company's Consolidated Financial Statements, as of December 31, 2021, we had operating lease obligations of approximately $38.0 million, of which $4.5 million is expected to be paid within 12 months. The Company's purchase obligations that represent non-cancelable contractual obligations primarily relate to information technology assets and our revolving credit facility, which facility is described further in Note 14 to the Company's Consolidated Financial Statements. As of December 31, 2021, the Company had purchase obligations of $2.6 million, with $1.7 million expected to be paid within 12 months. 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 and for the foreseeable future thereafter.</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growth strategy includes acquiring businesses that provide complementary products and services. It is anticipated that future acquisitions, if any, would be affected through cash consideration, stock consideration, or a combination of both. The issuance of our stock as consideration for an 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the revolving credit facility would be dependent on the covenant values at the time of borrowing. As of December 31, 2021, the Company was in compliance with all covenants. There can be no assurance that amounts available for borrowing under our revolving credit facility will be sufficient to consummate any possible acquisitions, and we cannot be assured that if we need additional financing,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pStyle w:val="TextBody"/>
        <w:spacing w:lineRule="auto" w:line="300" w:before="0" w:after="0"/>
        <w:ind w:left="0" w:right="0" w:hanging="0"/>
        <w:jc w:val="both"/>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spacing w:lineRule="auto" w:line="300" w:before="0" w:after="0"/>
        <w:ind w:left="0" w:right="0" w:hanging="0"/>
        <w:jc w:val="both"/>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October 2021, the Financial Accounting Standards Board issued Accounting Standards Update ("ASU") 2021-08, </w:t>
      </w:r>
      <w:r>
        <w:rPr>
          <w:rFonts w:ascii="Times New Roman" w:hAnsi="Times New Roman"/>
          <w:i/>
          <w:caps w:val="false"/>
          <w:smallCaps w:val="false"/>
          <w:sz w:val="20"/>
        </w:rPr>
        <w:t>Business Combinations (Topic 805): Accounting for Contract Assets and Contract Liabilities from Contracts with Customers. </w:t>
      </w:r>
      <w:r>
        <w:rPr>
          <w:rFonts w:ascii="Times New Roman" w:hAnsi="Times New Roman"/>
          <w:caps w:val="false"/>
          <w:smallCaps w:val="false"/>
          <w:sz w:val="20"/>
        </w:rPr>
        <w:t xml:space="preserve">The new guidance requires contract assets and contract liabilities acquired in a business combination to be recognized and measured by the acquirer on the acquisition date in accordance with Accounting Standards Codification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as if it had originated the contracts. This approach differs from the current requirement to measure contract assets and contract liabilities acquired in a business combination at fair value. The standard will be effective for the first interim period within annual reporting periods beginning after December 15, 2022 and early adoption is permitted. The Company will early adopt this ASU on January 1, 2022 and the adoption impact of the new standard will depend on the magnitude of future acquisitions. The standard will not impact contract assets or liabilities from business combinations occurring prior to the adoption date.</w:t>
      </w:r>
    </w:p>
    <w:p>
      <w:pPr>
        <w:pStyle w:val="TextBody"/>
        <w:spacing w:lineRule="auto" w:line="300"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lineRule="auto" w:line="300" w:before="0" w:after="0"/>
        <w:ind w:left="0" w:right="0" w:hanging="0"/>
        <w:jc w:val="both"/>
        <w:rPr>
          <w:rFonts w:ascii="Times New Roman" w:hAnsi="Times New Roman"/>
          <w:caps w:val="false"/>
          <w:smallCaps w:val="false"/>
          <w:sz w:val="20"/>
        </w:rPr>
      </w:pPr>
      <w:bookmarkStart w:id="14" w:name="i7A"/>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7A.</w:t>
      </w:r>
      <w:r>
        <w:rPr>
          <w:rFonts w:ascii="Times New Roman" w:hAnsi="Times New Roman"/>
          <w:caps w:val="false"/>
          <w:smallCaps w:val="false"/>
          <w:sz w:val="20"/>
        </w:rPr>
        <w:t xml:space="preserve"> </w:t>
      </w:r>
      <w:r>
        <w:rPr>
          <w:rFonts w:ascii="Times New Roman" w:hAnsi="Times New Roman"/>
          <w:b/>
          <w:i/>
          <w:caps w:val="false"/>
          <w:smallCaps w:val="false"/>
          <w:sz w:val="20"/>
        </w:rPr>
        <w:t>Quantitative and Qualitative Disclosures about Market Risk</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market risk from changes in interest rates, foreign currency risk, and investment risk. We do not have any material commodity price risk.</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Rate Risk</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2021,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exposed to market risk with respect to our cash and investment balances, which approximated $51.9 million at December 31, 2021. Assuming a hypothetical 10% decrease in interest rates, interest income from cash and investments would decrease on an annualized basis by approximately $6,000.</w:t>
      </w:r>
    </w:p>
    <w:p>
      <w:pPr>
        <w:pStyle w:val="TextBody"/>
        <w:spacing w:lineRule="auto" w:line="300" w:before="0" w:after="0"/>
        <w:ind w:left="0" w:right="0" w:hanging="0"/>
        <w:jc w:val="both"/>
        <w:rPr>
          <w:caps w:val="false"/>
          <w:smallCaps w:val="false"/>
        </w:rPr>
      </w:pPr>
      <w:r>
        <w:rPr>
          <w:caps w:val="false"/>
          <w:smallCaps w:val="false"/>
        </w:rPr>
        <w:t> </w:t>
      </w:r>
    </w:p>
    <w:p>
      <w:pPr>
        <w:pStyle w:val="TextBody"/>
        <w:spacing w:lineRule="auto" w:line="300" w:before="0" w:after="0"/>
        <w:ind w:left="0" w:right="0" w:hanging="0"/>
        <w:jc w:val="left"/>
        <w:rPr>
          <w:rFonts w:ascii="Times New Roman;Times;serif" w:hAnsi="Times New Roman;Times;serif"/>
          <w:b/>
          <w:sz w:val="20"/>
        </w:rPr>
      </w:pPr>
      <w:r>
        <w:rPr>
          <w:rFonts w:ascii="Times New Roman;Times;serif" w:hAnsi="Times New Roman;Times;serif"/>
          <w:b/>
          <w:sz w:val="20"/>
        </w:rPr>
        <w:t>Foreign Currency Risk</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foreign currency risks related to our revenue and operating expenses denominated in currencies other than the US dollar, including Canadian dollar, New Zealand dollar, and Australian dollar. Increases and decreases in our foreign-denominated revenue from movements in foreign exchange rates are often partially offset by the corresponding decreases or increases in our foreign-denominated operating expenses.</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Investment Risk</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 </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bookmarkStart w:id="15" w:name="i8"/>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8.</w:t>
      </w:r>
      <w:r>
        <w:rPr>
          <w:rFonts w:ascii="Times New Roman" w:hAnsi="Times New Roman"/>
          <w:caps w:val="false"/>
          <w:smallCaps w:val="false"/>
          <w:sz w:val="20"/>
        </w:rPr>
        <w:t xml:space="preserve"> </w:t>
      </w:r>
      <w:r>
        <w:rPr>
          <w:rFonts w:ascii="Times New Roman" w:hAnsi="Times New Roman"/>
          <w:b/>
          <w:i/>
          <w:caps w:val="false"/>
          <w:smallCaps w:val="false"/>
          <w:sz w:val="20"/>
        </w:rPr>
        <w:t>Financial Statements and Supplementary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HEALTHSTREAM, INC.</w:t>
      </w:r>
      <w:r>
        <w:rPr>
          <w:rFonts w:ascii="Times New Roman" w:hAnsi="Times New Roman"/>
          <w:caps w:val="false"/>
          <w:smallCaps w:val="false"/>
          <w:sz w:val="20"/>
        </w:rPr>
        <w:br/>
      </w:r>
      <w:r>
        <w:rPr>
          <w:rFonts w:ascii="Times New Roman" w:hAnsi="Times New Roman"/>
          <w:b/>
          <w:caps w:val="false"/>
          <w:smallCaps w:val="false"/>
          <w:sz w:val="20"/>
        </w:rPr>
        <w:t>INDEX TO CONSOLIDATED FINANCIAL STATEMENTS</w:t>
      </w:r>
    </w:p>
    <w:p>
      <w:pPr>
        <w:pStyle w:val="TextBody"/>
        <w:spacing w:before="0" w:after="0"/>
        <w:ind w:left="0" w:right="0" w:hanging="0"/>
        <w:rPr>
          <w:caps w:val="false"/>
          <w:smallCaps w:val="false"/>
        </w:rPr>
      </w:pPr>
      <w:r>
        <w:rPr>
          <w:caps w:val="false"/>
          <w:smallCaps w:val="false"/>
        </w:rPr>
        <w:t> </w:t>
      </w:r>
    </w:p>
    <w:tbl>
      <w:tblPr>
        <w:tblW w:w="6700" w:type="dxa"/>
        <w:jc w:val="left"/>
        <w:tblInd w:w="0" w:type="dxa"/>
        <w:tblCellMar>
          <w:top w:w="0" w:type="dxa"/>
          <w:left w:w="0" w:type="dxa"/>
          <w:bottom w:w="0" w:type="dxa"/>
          <w:right w:w="0" w:type="dxa"/>
        </w:tblCellMar>
      </w:tblPr>
      <w:tblGrid>
        <w:gridCol w:w="6200"/>
        <w:gridCol w:w="60"/>
        <w:gridCol w:w="440"/>
      </w:tblGrid>
      <w:tr>
        <w:trPr/>
        <w:tc>
          <w:tcPr>
            <w:tcW w:w="62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620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0"/>
              <w:ind w:left="200" w:right="0" w:hanging="200"/>
              <w:rPr/>
            </w:pPr>
            <w:hyperlink w:anchor="ind_report">
              <w:r>
                <w:rPr>
                  <w:rStyle w:val="InternetLink"/>
                  <w:rFonts w:ascii="Times New Roman" w:hAnsi="Times New Roman"/>
                  <w:caps w:val="false"/>
                  <w:smallCaps w:val="false"/>
                  <w:sz w:val="20"/>
                </w:rPr>
                <w:t>Reports of Independent Registered Public Accounting Firm (PCAOB ID: 42)</w:t>
              </w:r>
            </w:hyperlink>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0"/>
              <w:ind w:left="0" w:right="0" w:hanging="0"/>
              <w:jc w:val="right"/>
              <w:rPr/>
            </w:pPr>
            <w:hyperlink w:anchor="ind_report">
              <w:r>
                <w:rPr>
                  <w:rStyle w:val="InternetLink"/>
                  <w:rFonts w:ascii="Times New Roman" w:hAnsi="Times New Roman"/>
                  <w:caps w:val="false"/>
                  <w:smallCaps w:val="false"/>
                  <w:sz w:val="20"/>
                </w:rPr>
                <w:t>41</w:t>
              </w:r>
            </w:hyperlink>
          </w:p>
        </w:tc>
      </w:tr>
      <w:tr>
        <w:trPr/>
        <w:tc>
          <w:tcPr>
            <w:tcW w:w="6200" w:type="dxa"/>
            <w:tcBorders/>
            <w:shd w:fill="auto" w:val="clear"/>
            <w:vAlign w:val="center"/>
          </w:tcPr>
          <w:p>
            <w:pPr>
              <w:pStyle w:val="TableContents"/>
              <w:spacing w:before="0" w:after="0"/>
              <w:ind w:left="200" w:right="0" w:hanging="200"/>
              <w:rPr/>
            </w:pPr>
            <w:hyperlink w:anchor="bal_sheet">
              <w:r>
                <w:rPr>
                  <w:rStyle w:val="InternetLink"/>
                  <w:rFonts w:ascii="Times New Roman" w:hAnsi="Times New Roman"/>
                  <w:caps w:val="false"/>
                  <w:smallCaps w:val="false"/>
                  <w:sz w:val="20"/>
                </w:rPr>
                <w:t>Consolidated Balance Sheets</w:t>
              </w:r>
            </w:hyperlink>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0"/>
              <w:ind w:left="0" w:right="0" w:hanging="0"/>
              <w:jc w:val="right"/>
              <w:rPr/>
            </w:pPr>
            <w:hyperlink w:anchor="bal_sheet">
              <w:r>
                <w:rPr>
                  <w:rStyle w:val="InternetLink"/>
                  <w:rFonts w:ascii="Times New Roman" w:hAnsi="Times New Roman"/>
                  <w:caps w:val="false"/>
                  <w:smallCaps w:val="false"/>
                  <w:sz w:val="20"/>
                </w:rPr>
                <w:t>43</w:t>
              </w:r>
            </w:hyperlink>
          </w:p>
        </w:tc>
      </w:tr>
      <w:tr>
        <w:trPr/>
        <w:tc>
          <w:tcPr>
            <w:tcW w:w="6200" w:type="dxa"/>
            <w:tcBorders/>
            <w:shd w:fill="auto" w:val="clear"/>
            <w:vAlign w:val="center"/>
          </w:tcPr>
          <w:p>
            <w:pPr>
              <w:pStyle w:val="TableContents"/>
              <w:spacing w:before="0" w:after="0"/>
              <w:ind w:left="200" w:right="0" w:hanging="200"/>
              <w:rPr/>
            </w:pPr>
            <w:hyperlink w:anchor="inc">
              <w:r>
                <w:rPr>
                  <w:rStyle w:val="InternetLink"/>
                  <w:rFonts w:ascii="Times New Roman" w:hAnsi="Times New Roman"/>
                  <w:caps w:val="false"/>
                  <w:smallCaps w:val="false"/>
                  <w:sz w:val="20"/>
                </w:rPr>
                <w:t>Consolidated Statements of Income</w:t>
              </w:r>
            </w:hyperlink>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0"/>
              <w:ind w:left="0" w:right="0" w:hanging="0"/>
              <w:jc w:val="right"/>
              <w:rPr/>
            </w:pPr>
            <w:hyperlink w:anchor="inc">
              <w:r>
                <w:rPr>
                  <w:rStyle w:val="InternetLink"/>
                  <w:rFonts w:ascii="Times New Roman" w:hAnsi="Times New Roman"/>
                  <w:caps w:val="false"/>
                  <w:smallCaps w:val="false"/>
                  <w:sz w:val="20"/>
                </w:rPr>
                <w:t>44</w:t>
              </w:r>
            </w:hyperlink>
          </w:p>
        </w:tc>
      </w:tr>
      <w:tr>
        <w:trPr/>
        <w:tc>
          <w:tcPr>
            <w:tcW w:w="6200" w:type="dxa"/>
            <w:tcBorders/>
            <w:shd w:fill="auto" w:val="clear"/>
            <w:vAlign w:val="center"/>
          </w:tcPr>
          <w:p>
            <w:pPr>
              <w:pStyle w:val="TableContents"/>
              <w:spacing w:before="0" w:after="0"/>
              <w:ind w:left="200" w:right="0" w:hanging="200"/>
              <w:rPr/>
            </w:pPr>
            <w:hyperlink w:anchor="comp_inc">
              <w:r>
                <w:rPr>
                  <w:rStyle w:val="InternetLink"/>
                  <w:rFonts w:ascii="Times New Roman" w:hAnsi="Times New Roman"/>
                  <w:caps w:val="false"/>
                  <w:smallCaps w:val="false"/>
                  <w:sz w:val="20"/>
                </w:rPr>
                <w:t>Consolidated Statements of Comprehensive Income</w:t>
              </w:r>
            </w:hyperlink>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0"/>
              <w:ind w:left="0" w:right="0" w:hanging="0"/>
              <w:jc w:val="right"/>
              <w:rPr/>
            </w:pPr>
            <w:hyperlink w:anchor="comp_inc">
              <w:r>
                <w:rPr>
                  <w:rStyle w:val="InternetLink"/>
                  <w:rFonts w:ascii="Times New Roman" w:hAnsi="Times New Roman"/>
                  <w:caps w:val="false"/>
                  <w:smallCaps w:val="false"/>
                  <w:sz w:val="20"/>
                </w:rPr>
                <w:t>45</w:t>
              </w:r>
            </w:hyperlink>
          </w:p>
        </w:tc>
      </w:tr>
      <w:tr>
        <w:trPr/>
        <w:tc>
          <w:tcPr>
            <w:tcW w:w="6200" w:type="dxa"/>
            <w:tcBorders/>
            <w:shd w:fill="auto" w:val="clear"/>
            <w:vAlign w:val="center"/>
          </w:tcPr>
          <w:p>
            <w:pPr>
              <w:pStyle w:val="TableContents"/>
              <w:spacing w:before="0" w:after="0"/>
              <w:ind w:left="200" w:right="0" w:hanging="200"/>
              <w:rPr/>
            </w:pPr>
            <w:hyperlink w:anchor="equity">
              <w:r>
                <w:rPr>
                  <w:rStyle w:val="InternetLink"/>
                  <w:rFonts w:ascii="Times New Roman" w:hAnsi="Times New Roman"/>
                  <w:caps w:val="false"/>
                  <w:smallCaps w:val="false"/>
                  <w:sz w:val="20"/>
                </w:rPr>
                <w:t>Consolidated Statements of Shareholders’ Equity</w:t>
              </w:r>
            </w:hyperlink>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0"/>
              <w:ind w:left="0" w:right="0" w:hanging="0"/>
              <w:jc w:val="right"/>
              <w:rPr/>
            </w:pPr>
            <w:hyperlink w:anchor="equity">
              <w:r>
                <w:rPr>
                  <w:rStyle w:val="InternetLink"/>
                  <w:rFonts w:ascii="Times New Roman" w:hAnsi="Times New Roman"/>
                  <w:caps w:val="false"/>
                  <w:smallCaps w:val="false"/>
                  <w:sz w:val="20"/>
                </w:rPr>
                <w:t>46</w:t>
              </w:r>
            </w:hyperlink>
          </w:p>
        </w:tc>
      </w:tr>
      <w:tr>
        <w:trPr/>
        <w:tc>
          <w:tcPr>
            <w:tcW w:w="6200" w:type="dxa"/>
            <w:tcBorders/>
            <w:shd w:fill="auto" w:val="clear"/>
            <w:vAlign w:val="center"/>
          </w:tcPr>
          <w:p>
            <w:pPr>
              <w:pStyle w:val="TableContents"/>
              <w:spacing w:before="0" w:after="0"/>
              <w:ind w:left="200" w:right="0" w:hanging="200"/>
              <w:rPr/>
            </w:pPr>
            <w:hyperlink w:anchor="cf">
              <w:r>
                <w:rPr>
                  <w:rStyle w:val="InternetLink"/>
                  <w:rFonts w:ascii="Times New Roman" w:hAnsi="Times New Roman"/>
                  <w:caps w:val="false"/>
                  <w:smallCaps w:val="false"/>
                  <w:sz w:val="20"/>
                </w:rPr>
                <w:t>Consolidated Statements of Cash Flows</w:t>
              </w:r>
            </w:hyperlink>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0"/>
              <w:ind w:left="0" w:right="0" w:hanging="0"/>
              <w:jc w:val="right"/>
              <w:rPr/>
            </w:pPr>
            <w:hyperlink w:anchor="cf">
              <w:r>
                <w:rPr>
                  <w:rStyle w:val="InternetLink"/>
                  <w:rFonts w:ascii="Times New Roman" w:hAnsi="Times New Roman"/>
                  <w:caps w:val="false"/>
                  <w:smallCaps w:val="false"/>
                  <w:sz w:val="20"/>
                </w:rPr>
                <w:t>47</w:t>
              </w:r>
            </w:hyperlink>
          </w:p>
        </w:tc>
      </w:tr>
      <w:tr>
        <w:trPr/>
        <w:tc>
          <w:tcPr>
            <w:tcW w:w="6200" w:type="dxa"/>
            <w:tcBorders/>
            <w:shd w:fill="auto" w:val="clear"/>
            <w:vAlign w:val="center"/>
          </w:tcPr>
          <w:p>
            <w:pPr>
              <w:pStyle w:val="TableContents"/>
              <w:spacing w:before="0" w:after="0"/>
              <w:ind w:left="200" w:right="0" w:hanging="200"/>
              <w:rPr/>
            </w:pPr>
            <w:hyperlink w:anchor="notes">
              <w:r>
                <w:rPr>
                  <w:rStyle w:val="InternetLink"/>
                  <w:rFonts w:ascii="Times New Roman" w:hAnsi="Times New Roman"/>
                  <w:caps w:val="false"/>
                  <w:smallCaps w:val="false"/>
                  <w:sz w:val="20"/>
                </w:rPr>
                <w:t>Notes to Consolidated Financial Statements</w:t>
              </w:r>
            </w:hyperlink>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0"/>
              <w:ind w:left="0" w:right="0" w:hanging="0"/>
              <w:jc w:val="right"/>
              <w:rPr/>
            </w:pPr>
            <w:hyperlink w:anchor="notes">
              <w:r>
                <w:rPr>
                  <w:rStyle w:val="InternetLink"/>
                  <w:rFonts w:ascii="Times New Roman" w:hAnsi="Times New Roman"/>
                  <w:caps w:val="false"/>
                  <w:smallCaps w:val="false"/>
                  <w:sz w:val="20"/>
                </w:rPr>
                <w:t>48</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lineRule="auto" w:line="300" w:before="0" w:after="0"/>
        <w:jc w:val="center"/>
        <w:rPr>
          <w:rFonts w:ascii="Times New Roman" w:hAnsi="Times New Roman"/>
          <w:b/>
          <w:sz w:val="20"/>
        </w:rPr>
      </w:pPr>
      <w:bookmarkStart w:id="16" w:name="ind_report"/>
      <w:bookmarkEnd w:id="16"/>
      <w:r>
        <w:rPr>
          <w:rFonts w:ascii="Times New Roman" w:hAnsi="Times New Roman"/>
          <w:b/>
          <w:sz w:val="20"/>
        </w:rPr>
        <w:t>Report of Independent Registered Public Accounting Firm</w:t>
      </w:r>
    </w:p>
    <w:p>
      <w:pPr>
        <w:pStyle w:val="TextBody"/>
        <w:spacing w:lineRule="auto" w:line="300" w:before="0" w:after="0"/>
        <w:rPr/>
      </w:pPr>
      <w:r>
        <w:rPr/>
        <w:t> </w:t>
      </w:r>
    </w:p>
    <w:p>
      <w:pPr>
        <w:pStyle w:val="TextBody"/>
        <w:spacing w:lineRule="auto" w:line="300" w:before="0" w:after="0"/>
        <w:rPr>
          <w:rFonts w:ascii="Times New Roman" w:hAnsi="Times New Roman"/>
          <w:sz w:val="20"/>
        </w:rPr>
      </w:pPr>
      <w:r>
        <w:rPr>
          <w:rFonts w:ascii="Times New Roman" w:hAnsi="Times New Roman"/>
          <w:sz w:val="20"/>
        </w:rPr>
        <w:t>To the Shareholders and the Board of Directors of HealthStream, Inc.</w:t>
      </w:r>
    </w:p>
    <w:p>
      <w:pPr>
        <w:pStyle w:val="TextBody"/>
        <w:spacing w:lineRule="auto" w:line="300" w:before="0" w:after="0"/>
        <w:rPr/>
      </w:pPr>
      <w:r>
        <w:rPr/>
        <w:t> </w:t>
      </w:r>
    </w:p>
    <w:p>
      <w:pPr>
        <w:pStyle w:val="TextBody"/>
        <w:spacing w:lineRule="auto" w:line="300" w:before="0" w:after="0"/>
        <w:rPr>
          <w:rFonts w:ascii="Times New Roman" w:hAnsi="Times New Roman"/>
          <w:b/>
          <w:sz w:val="20"/>
        </w:rPr>
      </w:pPr>
      <w:r>
        <w:rPr>
          <w:rFonts w:ascii="Times New Roman" w:hAnsi="Times New Roman"/>
          <w:b/>
          <w:sz w:val="20"/>
        </w:rPr>
        <w:t>Opinion on the Financial Statements</w:t>
      </w:r>
    </w:p>
    <w:p>
      <w:pPr>
        <w:pStyle w:val="TextBody"/>
        <w:spacing w:lineRule="auto" w:line="300" w:before="0" w:after="0"/>
        <w:jc w:val="both"/>
        <w:rPr>
          <w:rFonts w:ascii="Times New Roman" w:hAnsi="Times New Roman"/>
          <w:sz w:val="20"/>
        </w:rPr>
      </w:pPr>
      <w:r>
        <w:rPr>
          <w:rFonts w:ascii="Times New Roman" w:hAnsi="Times New Roman"/>
          <w:sz w:val="20"/>
        </w:rPr>
        <w:t>We have audited the accompanying consolidated balance sheets of HealthStream, Inc. (the Company) as of December 31, 2021 and December 31, 2020, the related consolidated statements of income, comprehensive income,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pStyle w:val="TextBody"/>
        <w:spacing w:lineRule="auto" w:line="300" w:before="0" w:after="0"/>
        <w:jc w:val="both"/>
        <w:rPr/>
      </w:pPr>
      <w:r>
        <w:rPr/>
        <w:t> </w:t>
      </w:r>
    </w:p>
    <w:p>
      <w:pPr>
        <w:pStyle w:val="TextBody"/>
        <w:spacing w:lineRule="auto" w:line="300" w:before="0" w:after="0"/>
        <w:jc w:val="both"/>
        <w:rPr>
          <w:rFonts w:ascii="Times New Roman" w:hAnsi="Times New Roman"/>
          <w:sz w:val="20"/>
        </w:rPr>
      </w:pPr>
      <w:r>
        <w:rPr>
          <w:rFonts w:ascii="Times New Roman" w:hAnsi="Times New Roman"/>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28, 2022, expressed an unqualified opinion thereon.</w:t>
      </w:r>
    </w:p>
    <w:p>
      <w:pPr>
        <w:pStyle w:val="TextBody"/>
        <w:spacing w:lineRule="auto" w:line="300" w:before="0" w:after="0"/>
        <w:rPr/>
      </w:pPr>
      <w:r>
        <w:rPr/>
        <w:t> </w:t>
      </w:r>
    </w:p>
    <w:p>
      <w:pPr>
        <w:pStyle w:val="TextBody"/>
        <w:spacing w:lineRule="auto" w:line="300" w:before="0" w:after="0"/>
        <w:rPr>
          <w:rFonts w:ascii="Times New Roman" w:hAnsi="Times New Roman"/>
          <w:b/>
          <w:sz w:val="20"/>
        </w:rPr>
      </w:pPr>
      <w:r>
        <w:rPr>
          <w:rFonts w:ascii="Times New Roman" w:hAnsi="Times New Roman"/>
          <w:b/>
          <w:sz w:val="20"/>
        </w:rPr>
        <w:t>Basis for Opinion</w:t>
      </w:r>
    </w:p>
    <w:p>
      <w:pPr>
        <w:pStyle w:val="TextBody"/>
        <w:spacing w:lineRule="auto" w:line="300" w:before="0" w:after="0"/>
        <w:jc w:val="both"/>
        <w:rPr>
          <w:rFonts w:ascii="Times New Roman" w:hAnsi="Times New Roman"/>
          <w:sz w:val="20"/>
        </w:rPr>
      </w:pPr>
      <w:r>
        <w:rPr>
          <w:rFonts w:ascii="Times New Roman" w:hAnsi="Times New Roman"/>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300" w:before="0" w:after="0"/>
        <w:jc w:val="both"/>
        <w:rPr/>
      </w:pPr>
      <w:r>
        <w:rPr/>
        <w:t> </w:t>
      </w:r>
    </w:p>
    <w:p>
      <w:pPr>
        <w:pStyle w:val="TextBody"/>
        <w:spacing w:lineRule="auto" w:line="300" w:before="0" w:after="0"/>
        <w:jc w:val="both"/>
        <w:rPr>
          <w:rFonts w:ascii="Times New Roman" w:hAnsi="Times New Roman"/>
          <w:sz w:val="20"/>
        </w:rPr>
      </w:pPr>
      <w:r>
        <w:rPr>
          <w:rFonts w:ascii="Times New Roman" w:hAnsi="Times New Roman"/>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w:t>
      </w:r>
    </w:p>
    <w:p>
      <w:pPr>
        <w:pStyle w:val="TextBody"/>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the matter arising from the current 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tbl>
      <w:tblPr>
        <w:tblW w:w="10205" w:type="dxa"/>
        <w:jc w:val="left"/>
        <w:tblInd w:w="0" w:type="dxa"/>
        <w:tblCellMar>
          <w:top w:w="0" w:type="dxa"/>
          <w:left w:w="0" w:type="dxa"/>
          <w:bottom w:w="0" w:type="dxa"/>
          <w:right w:w="0" w:type="dxa"/>
        </w:tblCellMar>
      </w:tblPr>
      <w:tblGrid>
        <w:gridCol w:w="1271"/>
        <w:gridCol w:w="60"/>
        <w:gridCol w:w="8874"/>
      </w:tblGrid>
      <w:tr>
        <w:trPr/>
        <w:tc>
          <w:tcPr>
            <w:tcW w:w="1271" w:type="dxa"/>
            <w:tcBorders/>
            <w:shd w:fill="auto" w:val="clear"/>
            <w:vAlign w:val="center"/>
          </w:tcPr>
          <w:p>
            <w:pPr>
              <w:pStyle w:val="TableContents"/>
              <w:spacing w:lineRule="auto" w:line="300" w:before="0" w:after="283"/>
              <w:rPr/>
            </w:pPr>
            <w:r>
              <w:rPr/>
              <w:t> </w:t>
            </w:r>
          </w:p>
        </w:tc>
        <w:tc>
          <w:tcPr>
            <w:tcW w:w="60" w:type="dxa"/>
            <w:tcBorders/>
            <w:shd w:fill="auto" w:val="clear"/>
            <w:vAlign w:val="center"/>
          </w:tcPr>
          <w:p>
            <w:pPr>
              <w:pStyle w:val="TableContents"/>
              <w:spacing w:lineRule="auto" w:line="300" w:before="0" w:after="283"/>
              <w:rPr/>
            </w:pPr>
            <w:r>
              <w:rPr/>
              <w:t> </w:t>
            </w:r>
          </w:p>
        </w:tc>
        <w:tc>
          <w:tcPr>
            <w:tcW w:w="8874" w:type="dxa"/>
            <w:tcBorders/>
            <w:shd w:fill="auto" w:val="clear"/>
            <w:vAlign w:val="center"/>
          </w:tcPr>
          <w:p>
            <w:pPr>
              <w:pStyle w:val="TableContents"/>
              <w:spacing w:lineRule="auto" w:line="300" w:before="0" w:after="283"/>
              <w:rPr/>
            </w:pPr>
            <w:r>
              <w:rPr/>
              <w:t> </w:t>
            </w:r>
          </w:p>
        </w:tc>
      </w:tr>
      <w:tr>
        <w:trPr/>
        <w:tc>
          <w:tcPr>
            <w:tcW w:w="1271" w:type="dxa"/>
            <w:tcBorders/>
            <w:shd w:fill="auto" w:val="clear"/>
            <w:vAlign w:val="center"/>
          </w:tcPr>
          <w:p>
            <w:pPr>
              <w:pStyle w:val="TableContents"/>
              <w:spacing w:lineRule="auto" w:line="300" w:before="0" w:after="283"/>
              <w:rPr/>
            </w:pPr>
            <w:r>
              <w:rPr/>
              <w:t> </w:t>
            </w:r>
          </w:p>
        </w:tc>
        <w:tc>
          <w:tcPr>
            <w:tcW w:w="60" w:type="dxa"/>
            <w:tcBorders/>
            <w:shd w:fill="auto" w:val="clear"/>
            <w:vAlign w:val="center"/>
          </w:tcPr>
          <w:p>
            <w:pPr>
              <w:pStyle w:val="TableContents"/>
              <w:spacing w:lineRule="auto" w:line="300" w:before="0" w:after="283"/>
              <w:rPr/>
            </w:pPr>
            <w:r>
              <w:rPr/>
              <w:t> </w:t>
            </w:r>
          </w:p>
        </w:tc>
        <w:tc>
          <w:tcPr>
            <w:tcW w:w="8874" w:type="dxa"/>
            <w:tcBorders/>
            <w:shd w:fill="auto" w:val="clear"/>
            <w:vAlign w:val="center"/>
          </w:tcPr>
          <w:p>
            <w:pPr>
              <w:pStyle w:val="TableContents"/>
              <w:spacing w:lineRule="auto" w:line="300"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Revenue Recognition</w:t>
            </w:r>
          </w:p>
        </w:tc>
      </w:tr>
      <w:tr>
        <w:trPr/>
        <w:tc>
          <w:tcPr>
            <w:tcW w:w="1271" w:type="dxa"/>
            <w:tcBorders/>
            <w:shd w:fill="auto" w:val="clear"/>
            <w:vAlign w:val="center"/>
          </w:tcPr>
          <w:p>
            <w:pPr>
              <w:pStyle w:val="TableContents"/>
              <w:spacing w:lineRule="auto" w:line="300" w:before="0" w:after="283"/>
              <w:rPr/>
            </w:pPr>
            <w:r>
              <w:rPr/>
              <w:t> </w:t>
            </w:r>
          </w:p>
        </w:tc>
        <w:tc>
          <w:tcPr>
            <w:tcW w:w="60" w:type="dxa"/>
            <w:tcBorders/>
            <w:shd w:fill="auto" w:val="clear"/>
            <w:vAlign w:val="center"/>
          </w:tcPr>
          <w:p>
            <w:pPr>
              <w:pStyle w:val="TableContents"/>
              <w:spacing w:lineRule="auto" w:line="300" w:before="0" w:after="283"/>
              <w:rPr/>
            </w:pPr>
            <w:r>
              <w:rPr/>
              <w:t> </w:t>
            </w:r>
          </w:p>
        </w:tc>
        <w:tc>
          <w:tcPr>
            <w:tcW w:w="8874" w:type="dxa"/>
            <w:tcBorders/>
            <w:shd w:fill="auto" w:val="clear"/>
            <w:vAlign w:val="center"/>
          </w:tcPr>
          <w:p>
            <w:pPr>
              <w:pStyle w:val="TableContents"/>
              <w:spacing w:lineRule="auto" w:line="300" w:before="0" w:after="283"/>
              <w:rPr/>
            </w:pPr>
            <w:r>
              <w:rPr/>
              <w:t> </w:t>
            </w:r>
          </w:p>
        </w:tc>
      </w:tr>
      <w:tr>
        <w:trPr/>
        <w:tc>
          <w:tcPr>
            <w:tcW w:w="1271" w:type="dxa"/>
            <w:tcBorders/>
            <w:shd w:fill="auto" w:val="clear"/>
            <w:vAlign w:val="center"/>
          </w:tcPr>
          <w:p>
            <w:pPr>
              <w:pStyle w:val="TableContents"/>
              <w:spacing w:lineRule="auto" w:line="300"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Description of the Matter</w:t>
            </w:r>
          </w:p>
        </w:tc>
        <w:tc>
          <w:tcPr>
            <w:tcW w:w="60" w:type="dxa"/>
            <w:tcBorders/>
            <w:shd w:fill="auto" w:val="clear"/>
            <w:vAlign w:val="center"/>
          </w:tcPr>
          <w:p>
            <w:pPr>
              <w:pStyle w:val="TableContents"/>
              <w:spacing w:lineRule="auto" w:line="300" w:before="0" w:after="283"/>
              <w:rPr/>
            </w:pPr>
            <w:r>
              <w:rPr/>
              <w:t> </w:t>
            </w:r>
          </w:p>
        </w:tc>
        <w:tc>
          <w:tcPr>
            <w:tcW w:w="8874" w:type="dxa"/>
            <w:tcBorders/>
            <w:shd w:fill="auto" w:val="clear"/>
            <w:vAlign w:val="center"/>
          </w:tcPr>
          <w:p>
            <w:pPr>
              <w:pStyle w:val="TableContents"/>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in Note 1 of the consolidated financial statements, the Company recognizes revenue when control of the promised goods or services is transferred to the customer in an amount that reflects the consideration the Company expects to be entitled in exchange for transferring those goods or services. The Company’s contracts with customers often contain promises for multiple goods and services. The Company accounts for the promised goods and services in its contracts as separate performance obligations if they are distinct. The transaction price is then allocated to the separate performance obligations on a relative standalone selling price basis.</w:t>
            </w:r>
          </w:p>
          <w:p>
            <w:pPr>
              <w:pStyle w:val="TableContents"/>
              <w:spacing w:lineRule="auto" w:line="300" w:before="0" w:after="0"/>
              <w:ind w:left="0" w:right="0" w:hanging="0"/>
              <w:jc w:val="both"/>
              <w:rPr>
                <w:caps w:val="false"/>
                <w:smallCaps w:val="false"/>
              </w:rPr>
            </w:pPr>
            <w:r>
              <w:rPr>
                <w:caps w:val="false"/>
                <w:smallCaps w:val="false"/>
              </w:rPr>
              <w:t> </w:t>
            </w:r>
          </w:p>
          <w:p>
            <w:pPr>
              <w:pStyle w:val="TableContents"/>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Auditing the Company’s accounting for revenue recognition was challenging due to the judgment and effort required to analyze the Company’s contracts to determine whether promised goods and services are distinct performance obligations and to determine stand-alone selling prices used to allocate the transaction price to those performance obligations.</w:t>
            </w:r>
          </w:p>
        </w:tc>
      </w:tr>
      <w:tr>
        <w:trPr/>
        <w:tc>
          <w:tcPr>
            <w:tcW w:w="1271" w:type="dxa"/>
            <w:tcBorders/>
            <w:shd w:fill="auto" w:val="clear"/>
            <w:vAlign w:val="center"/>
          </w:tcPr>
          <w:p>
            <w:pPr>
              <w:pStyle w:val="TableContents"/>
              <w:spacing w:lineRule="auto" w:line="300" w:before="0" w:after="283"/>
              <w:rPr/>
            </w:pPr>
            <w:r>
              <w:rPr/>
              <w:t> </w:t>
            </w:r>
          </w:p>
        </w:tc>
        <w:tc>
          <w:tcPr>
            <w:tcW w:w="60" w:type="dxa"/>
            <w:tcBorders/>
            <w:shd w:fill="auto" w:val="clear"/>
            <w:vAlign w:val="center"/>
          </w:tcPr>
          <w:p>
            <w:pPr>
              <w:pStyle w:val="TableContents"/>
              <w:spacing w:lineRule="auto" w:line="300" w:before="0" w:after="283"/>
              <w:rPr/>
            </w:pPr>
            <w:r>
              <w:rPr/>
              <w:t> </w:t>
            </w:r>
          </w:p>
        </w:tc>
        <w:tc>
          <w:tcPr>
            <w:tcW w:w="8874" w:type="dxa"/>
            <w:tcBorders/>
            <w:shd w:fill="auto" w:val="clear"/>
            <w:vAlign w:val="center"/>
          </w:tcPr>
          <w:p>
            <w:pPr>
              <w:pStyle w:val="TableContents"/>
              <w:spacing w:lineRule="auto" w:line="300" w:before="0" w:after="283"/>
              <w:rPr/>
            </w:pPr>
            <w:r>
              <w:rPr/>
              <w:t> </w:t>
            </w:r>
          </w:p>
        </w:tc>
      </w:tr>
      <w:tr>
        <w:trPr/>
        <w:tc>
          <w:tcPr>
            <w:tcW w:w="1271" w:type="dxa"/>
            <w:tcBorders/>
            <w:shd w:fill="auto" w:val="clear"/>
            <w:vAlign w:val="center"/>
          </w:tcPr>
          <w:p>
            <w:pPr>
              <w:pStyle w:val="TableContents"/>
              <w:spacing w:lineRule="auto" w:line="300"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How We Addressed the Matter in Our Audit</w:t>
            </w:r>
          </w:p>
        </w:tc>
        <w:tc>
          <w:tcPr>
            <w:tcW w:w="60" w:type="dxa"/>
            <w:tcBorders/>
            <w:shd w:fill="auto" w:val="clear"/>
            <w:vAlign w:val="center"/>
          </w:tcPr>
          <w:p>
            <w:pPr>
              <w:pStyle w:val="TableContents"/>
              <w:spacing w:lineRule="auto" w:line="300" w:before="0" w:after="283"/>
              <w:rPr/>
            </w:pPr>
            <w:r>
              <w:rPr/>
              <w:t> </w:t>
            </w:r>
          </w:p>
        </w:tc>
        <w:tc>
          <w:tcPr>
            <w:tcW w:w="8874" w:type="dxa"/>
            <w:tcBorders/>
            <w:shd w:fill="auto" w:val="clear"/>
            <w:vAlign w:val="center"/>
          </w:tcPr>
          <w:p>
            <w:pPr>
              <w:pStyle w:val="TableContents"/>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obtained an understanding, evaluated the design and tested the operating effectiveness of controls over the Company's process to identify and evaluate performance obligations and determine the stand-alone selling prices used to allocate the transaction price to those performance obligations.</w:t>
            </w:r>
          </w:p>
          <w:p>
            <w:pPr>
              <w:pStyle w:val="TableContents"/>
              <w:spacing w:lineRule="auto" w:line="300" w:before="0" w:after="0"/>
              <w:ind w:left="0" w:right="0" w:hanging="0"/>
              <w:jc w:val="both"/>
              <w:rPr>
                <w:caps w:val="false"/>
                <w:smallCaps w:val="false"/>
              </w:rPr>
            </w:pPr>
            <w:r>
              <w:rPr>
                <w:caps w:val="false"/>
                <w:smallCaps w:val="false"/>
              </w:rPr>
              <w:t> </w:t>
            </w:r>
          </w:p>
          <w:p>
            <w:pPr>
              <w:pStyle w:val="TableContents"/>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Among other procedures to evaluate management’s identification and determination of the distinct performance obligations, we obtained an understanding of the Company’s various product and service offerings and tested the application of the revenue recognition accounting requirements to determine which performance obligations were distinct. To test management’s determination of relative standalone selling price for each performance obligation, we performed audit procedures that included, among others, assessing the methodology applied and testing the data underlying the Company’s calculations. We inspected a sample of customer contracts to assess management’s treatment of significant terms and tested the amounts recognized as revenue or recorded in deferred revenue.</w:t>
            </w:r>
          </w:p>
        </w:tc>
      </w:tr>
    </w:tbl>
    <w:p>
      <w:pPr>
        <w:pStyle w:val="TextBody"/>
        <w:spacing w:lineRule="auto" w:line="300" w:before="0" w:after="0"/>
        <w:ind w:left="0" w:right="0" w:hanging="0"/>
        <w:rPr>
          <w:caps w:val="false"/>
          <w:smallCaps w:val="false"/>
        </w:rPr>
      </w:pPr>
      <w:r>
        <w:rPr>
          <w:caps w:val="false"/>
          <w:smallCaps w:val="false"/>
        </w:rPr>
        <w:t> </w:t>
      </w:r>
    </w:p>
    <w:p>
      <w:pPr>
        <w:pStyle w:val="TextBody"/>
        <w:spacing w:lineRule="auto" w:line="300"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spacing w:lineRule="auto" w:line="300" w:before="0" w:after="0"/>
        <w:ind w:left="0" w:right="0" w:hanging="0"/>
        <w:rPr>
          <w:caps w:val="false"/>
          <w:smallCaps w:val="false"/>
        </w:rPr>
      </w:pPr>
      <w:r>
        <w:rPr>
          <w:caps w:val="false"/>
          <w:smallCaps w:val="false"/>
        </w:rPr>
        <w:t> </w:t>
      </w:r>
    </w:p>
    <w:tbl>
      <w:tblPr>
        <w:tblW w:w="4385" w:type="dxa"/>
        <w:jc w:val="left"/>
        <w:tblInd w:w="0" w:type="dxa"/>
        <w:tblCellMar>
          <w:top w:w="0" w:type="dxa"/>
          <w:left w:w="0" w:type="dxa"/>
          <w:bottom w:w="0" w:type="dxa"/>
          <w:right w:w="0" w:type="dxa"/>
        </w:tblCellMar>
      </w:tblPr>
      <w:tblGrid>
        <w:gridCol w:w="4385"/>
      </w:tblGrid>
      <w:tr>
        <w:trPr/>
        <w:tc>
          <w:tcPr>
            <w:tcW w:w="4385" w:type="dxa"/>
            <w:tcBorders/>
            <w:shd w:fill="auto" w:val="clear"/>
            <w:vAlign w:val="center"/>
          </w:tcPr>
          <w:p>
            <w:pPr>
              <w:pStyle w:val="TableContents"/>
              <w:spacing w:lineRule="auto" w:line="300"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have served as the Company’s auditor since 1998.</w:t>
            </w:r>
          </w:p>
          <w:p>
            <w:pPr>
              <w:pStyle w:val="TableContents"/>
              <w:spacing w:lineRule="auto" w:line="300" w:before="0" w:after="0"/>
              <w:ind w:left="0" w:right="0" w:hanging="0"/>
              <w:rPr>
                <w:caps w:val="false"/>
                <w:smallCaps w:val="false"/>
              </w:rPr>
            </w:pPr>
            <w:r>
              <w:rPr>
                <w:caps w:val="false"/>
                <w:smallCaps w:val="false"/>
              </w:rPr>
              <w:t> </w:t>
            </w:r>
          </w:p>
          <w:p>
            <w:pPr>
              <w:pStyle w:val="TableContents"/>
              <w:spacing w:lineRule="auto" w:line="300"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Nashville, Tennessee</w:t>
              <w:br/>
              <w:t>February 28, 2022</w:t>
            </w:r>
          </w:p>
          <w:p>
            <w:pPr>
              <w:pStyle w:val="TableContents"/>
              <w:spacing w:before="0" w:after="0"/>
              <w:ind w:left="0" w:right="0" w:hanging="0"/>
              <w:rPr>
                <w:caps w:val="false"/>
                <w:smallCaps w:val="false"/>
              </w:rPr>
            </w:pPr>
            <w:r>
              <w:rPr>
                <w:caps w:val="false"/>
                <w:smallCaps w:val="false"/>
              </w:rPr>
              <w:t> </w:t>
            </w:r>
          </w:p>
        </w:tc>
      </w:tr>
    </w:tbl>
    <w:p>
      <w:pPr>
        <w:pStyle w:val="TextBody"/>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lineRule="auto" w:line="300" w:before="0" w:after="0"/>
        <w:jc w:val="center"/>
        <w:rPr>
          <w:rFonts w:ascii="Times New Roman" w:hAnsi="Times New Roman"/>
          <w:b/>
          <w:sz w:val="20"/>
        </w:rPr>
      </w:pPr>
      <w:r>
        <w:rPr>
          <w:rFonts w:ascii="Times New Roman" w:hAnsi="Times New Roman"/>
          <w:b/>
          <w:sz w:val="20"/>
        </w:rPr>
        <w:t>Report of Independent Registered Public Accounting Firm</w:t>
      </w:r>
    </w:p>
    <w:p>
      <w:pPr>
        <w:pStyle w:val="TextBody"/>
        <w:spacing w:lineRule="auto" w:line="300" w:before="0" w:after="0"/>
        <w:rPr/>
      </w:pPr>
      <w:r>
        <w:rPr/>
        <w:t> </w:t>
      </w:r>
    </w:p>
    <w:p>
      <w:pPr>
        <w:pStyle w:val="TextBody"/>
        <w:spacing w:lineRule="auto" w:line="300" w:before="0" w:after="0"/>
        <w:rPr>
          <w:rFonts w:ascii="Times New Roman" w:hAnsi="Times New Roman"/>
          <w:sz w:val="20"/>
        </w:rPr>
      </w:pPr>
      <w:r>
        <w:rPr>
          <w:rFonts w:ascii="Times New Roman" w:hAnsi="Times New Roman"/>
          <w:sz w:val="20"/>
        </w:rPr>
        <w:t>To the Shareholders and the Board of Directors of HealthStream, Inc.</w:t>
      </w:r>
    </w:p>
    <w:p>
      <w:pPr>
        <w:pStyle w:val="TextBody"/>
        <w:spacing w:lineRule="auto" w:line="300" w:before="0" w:after="0"/>
        <w:ind w:left="0" w:right="0" w:hanging="0"/>
        <w:rPr/>
      </w:pPr>
      <w:r>
        <w:rPr/>
        <w:t> </w:t>
      </w:r>
    </w:p>
    <w:p>
      <w:pPr>
        <w:pStyle w:val="TextBody"/>
        <w:spacing w:lineRule="auto" w:line="300" w:before="0" w:after="0"/>
        <w:rPr>
          <w:rFonts w:ascii="Times New Roman" w:hAnsi="Times New Roman"/>
          <w:b/>
          <w:sz w:val="20"/>
        </w:rPr>
      </w:pPr>
      <w:r>
        <w:rPr>
          <w:rFonts w:ascii="Times New Roman" w:hAnsi="Times New Roman"/>
          <w:b/>
          <w:sz w:val="20"/>
        </w:rPr>
        <w:t>Opinion on the Internal Control Over Financial Reporting</w:t>
      </w:r>
    </w:p>
    <w:p>
      <w:pPr>
        <w:pStyle w:val="TextBody"/>
        <w:spacing w:lineRule="auto" w:line="300" w:before="0" w:after="0"/>
        <w:jc w:val="both"/>
        <w:rPr>
          <w:rFonts w:ascii="Times New Roman" w:hAnsi="Times New Roman"/>
          <w:sz w:val="20"/>
        </w:rPr>
      </w:pPr>
      <w:r>
        <w:rPr>
          <w:rFonts w:ascii="Times New Roman" w:hAnsi="Times New Roman"/>
          <w:sz w:val="20"/>
        </w:rPr>
        <w:t>We have audited HealthStream, Inc.’s internal control over financial reporting as of December 31, 2021, based on criteria established in Internal Control—Integrated Framework issued by the Committee of Sponsoring Organizations of the Treadway Commission (2013 framework) (the COSO criteria). In our opinion, HealthStream, Inc. (the Company) maintained, in all material respects, effective internal control over financial reporting as of December 31, 2021, based on the COSO criteria. As described in Management’s Report on Internal Control over Financial Reporting, management excluded the following acquired businesses from its assessment of internal control over financial reporting as of December 31, 2021: (i) Rievent Technologies, LLC, whose assets as of December 31, 2021 represented less than 1% of the Company’s total consolidated assets as of such date, and whose net revenues during the year ended December 31, 2021 (including the period in 2021 prior to the Company’s acquisition of Rievent Technologies, LLC) represented less than 1% of the consolidated net revenues of the Company during its fiscal year ended December 31, 2021. Accordingly, our audit did not include the internal control over financial reporting with respect to the acquired businesses of Rievent Technologies, LLC.</w:t>
      </w:r>
    </w:p>
    <w:p>
      <w:pPr>
        <w:pStyle w:val="TextBody"/>
        <w:spacing w:lineRule="auto" w:line="300" w:before="0" w:after="0"/>
        <w:jc w:val="both"/>
        <w:rPr/>
      </w:pPr>
      <w:r>
        <w:rPr/>
        <w:t> </w:t>
      </w:r>
    </w:p>
    <w:p>
      <w:pPr>
        <w:pStyle w:val="TextBody"/>
        <w:spacing w:lineRule="auto" w:line="300" w:before="0" w:after="0"/>
        <w:jc w:val="both"/>
        <w:rPr>
          <w:rFonts w:ascii="Times New Roman" w:hAnsi="Times New Roman"/>
          <w:sz w:val="20"/>
        </w:rPr>
      </w:pPr>
      <w:r>
        <w:rPr>
          <w:rFonts w:ascii="Times New Roman" w:hAnsi="Times New Roman"/>
          <w:sz w:val="20"/>
        </w:rPr>
        <w:t>We also have audited, in accordance with the standards of the Public Company Accounting Oversight Board (United States) (PCAOB), the consolidated balance sheets of HealthStream, Inc. as of December 31, 2021 and 2020, and the related consolidated statements of income, comprehensive income, shareholders’ equity, and cash flows for each of the three years in the period ended December 31, 2021, and the related notes and our report dated February 28, 2022, expressed an unqualified opinion thereon.</w:t>
      </w:r>
    </w:p>
    <w:p>
      <w:pPr>
        <w:pStyle w:val="TextBody"/>
        <w:spacing w:lineRule="auto" w:line="300" w:before="0" w:after="0"/>
        <w:rPr/>
      </w:pPr>
      <w:r>
        <w:rPr/>
        <w:t> </w:t>
      </w:r>
    </w:p>
    <w:p>
      <w:pPr>
        <w:pStyle w:val="TextBody"/>
        <w:spacing w:lineRule="auto" w:line="300" w:before="0" w:after="0"/>
        <w:rPr>
          <w:rFonts w:ascii="Times New Roman" w:hAnsi="Times New Roman"/>
          <w:b/>
          <w:sz w:val="20"/>
        </w:rPr>
      </w:pPr>
      <w:r>
        <w:rPr>
          <w:rFonts w:ascii="Times New Roman" w:hAnsi="Times New Roman"/>
          <w:b/>
          <w:sz w:val="20"/>
        </w:rPr>
        <w:t>Basis for Opinion</w:t>
      </w:r>
    </w:p>
    <w:p>
      <w:pPr>
        <w:pStyle w:val="TextBody"/>
        <w:spacing w:lineRule="auto" w:line="300" w:before="0" w:after="0"/>
        <w:jc w:val="both"/>
        <w:rPr>
          <w:rFonts w:ascii="Times New Roman" w:hAnsi="Times New Roman"/>
          <w:sz w:val="20"/>
        </w:rPr>
      </w:pPr>
      <w:r>
        <w:rPr>
          <w:rFonts w:ascii="Times New Roman" w:hAnsi="Times New Roman"/>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the respect to the Company in accordance with U.S. federal securities laws and the applicable rules and regulations of the Securities and Exchange Commission and the PCAOB.</w:t>
      </w:r>
    </w:p>
    <w:p>
      <w:pPr>
        <w:pStyle w:val="TextBody"/>
        <w:spacing w:lineRule="auto" w:line="300" w:before="0" w:after="0"/>
        <w:ind w:left="0" w:right="0" w:hanging="0"/>
        <w:jc w:val="both"/>
        <w:rPr/>
      </w:pPr>
      <w:r>
        <w:rPr/>
        <w:t> </w:t>
      </w:r>
    </w:p>
    <w:p>
      <w:pPr>
        <w:pStyle w:val="TextBody"/>
        <w:spacing w:lineRule="auto" w:line="300" w:before="0" w:after="0"/>
        <w:jc w:val="both"/>
        <w:rPr>
          <w:rFonts w:ascii="Times New Roman" w:hAnsi="Times New Roman"/>
          <w:sz w:val="20"/>
        </w:rPr>
      </w:pPr>
      <w:r>
        <w:rPr>
          <w:rFonts w:ascii="Times New Roman" w:hAnsi="Times New Roman"/>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lineRule="auto" w:line="300" w:before="0" w:after="0"/>
        <w:jc w:val="both"/>
        <w:rPr/>
      </w:pPr>
      <w:r>
        <w:rPr/>
        <w:t> </w:t>
      </w:r>
    </w:p>
    <w:p>
      <w:pPr>
        <w:pStyle w:val="TextBody"/>
        <w:spacing w:lineRule="auto" w:line="300" w:before="0" w:after="0"/>
        <w:jc w:val="both"/>
        <w:rPr>
          <w:rFonts w:ascii="Times New Roman" w:hAnsi="Times New Roman"/>
          <w:sz w:val="20"/>
        </w:rPr>
      </w:pPr>
      <w:r>
        <w:rPr>
          <w:rFonts w:ascii="Times New Roman" w:hAnsi="Times New Roman"/>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300" w:before="0" w:after="0"/>
        <w:rPr/>
      </w:pPr>
      <w:r>
        <w:rPr/>
        <w:t> </w:t>
      </w:r>
    </w:p>
    <w:p>
      <w:pPr>
        <w:pStyle w:val="TextBody"/>
        <w:spacing w:lineRule="auto" w:line="300" w:before="0" w:after="0"/>
        <w:rPr>
          <w:rFonts w:ascii="Times New Roman" w:hAnsi="Times New Roman"/>
          <w:b/>
          <w:sz w:val="20"/>
        </w:rPr>
      </w:pPr>
      <w:r>
        <w:rPr>
          <w:rFonts w:ascii="Times New Roman" w:hAnsi="Times New Roman"/>
          <w:b/>
          <w:sz w:val="20"/>
        </w:rPr>
        <w:t>Definition and Limitations of Internal Control Over Financial Reporting</w:t>
      </w:r>
    </w:p>
    <w:p>
      <w:pPr>
        <w:pStyle w:val="TextBody"/>
        <w:spacing w:lineRule="auto" w:line="300" w:before="0" w:after="0"/>
        <w:jc w:val="both"/>
        <w:rPr>
          <w:rFonts w:ascii="Times New Roman" w:hAnsi="Times New Roman"/>
          <w:sz w:val="20"/>
        </w:rPr>
      </w:pPr>
      <w:r>
        <w:rPr>
          <w:rFonts w:ascii="Times New Roman" w:hAnsi="Times New Roman"/>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300" w:before="0" w:after="0"/>
        <w:jc w:val="both"/>
        <w:rPr/>
      </w:pPr>
      <w:r>
        <w:rPr/>
        <w:t> </w:t>
      </w:r>
    </w:p>
    <w:p>
      <w:pPr>
        <w:pStyle w:val="TextBody"/>
        <w:spacing w:lineRule="auto" w:line="300" w:before="0" w:after="0"/>
        <w:jc w:val="both"/>
        <w:rPr>
          <w:rFonts w:ascii="Times New Roman" w:hAnsi="Times New Roman"/>
          <w:sz w:val="20"/>
        </w:rPr>
      </w:pPr>
      <w:r>
        <w:rPr>
          <w:rFonts w:ascii="Times New Roman" w:hAnsi="Times New Roman"/>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300" w:before="0" w:after="0"/>
        <w:ind w:left="0" w:right="0" w:hanging="0"/>
        <w:rPr/>
      </w:pPr>
      <w:r>
        <w:rPr/>
        <w:t> </w:t>
      </w:r>
    </w:p>
    <w:tbl>
      <w:tblPr>
        <w:tblW w:w="1865" w:type="dxa"/>
        <w:jc w:val="left"/>
        <w:tblInd w:w="0" w:type="dxa"/>
        <w:tblCellMar>
          <w:top w:w="0" w:type="dxa"/>
          <w:left w:w="0" w:type="dxa"/>
          <w:bottom w:w="0" w:type="dxa"/>
          <w:right w:w="0" w:type="dxa"/>
        </w:tblCellMar>
      </w:tblPr>
      <w:tblGrid>
        <w:gridCol w:w="1865"/>
      </w:tblGrid>
      <w:tr>
        <w:trPr/>
        <w:tc>
          <w:tcPr>
            <w:tcW w:w="1865" w:type="dxa"/>
            <w:tcBorders/>
            <w:shd w:fill="auto" w:val="clear"/>
            <w:vAlign w:val="center"/>
          </w:tcPr>
          <w:p>
            <w:pPr>
              <w:pStyle w:val="TableContents"/>
              <w:spacing w:lineRule="auto" w:line="300"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Ernst &amp; Young LLP</w:t>
            </w:r>
          </w:p>
        </w:tc>
      </w:tr>
      <w:tr>
        <w:trPr/>
        <w:tc>
          <w:tcPr>
            <w:tcW w:w="1865" w:type="dxa"/>
            <w:tcBorders/>
            <w:shd w:fill="auto" w:val="clear"/>
            <w:vAlign w:val="center"/>
          </w:tcPr>
          <w:p>
            <w:pPr>
              <w:pStyle w:val="TableContents"/>
              <w:spacing w:lineRule="auto" w:line="300" w:before="0" w:after="283"/>
              <w:rPr/>
            </w:pPr>
            <w:r>
              <w:rPr/>
              <w:t> </w:t>
            </w:r>
          </w:p>
        </w:tc>
      </w:tr>
      <w:tr>
        <w:trPr/>
        <w:tc>
          <w:tcPr>
            <w:tcW w:w="1865" w:type="dxa"/>
            <w:tcBorders/>
            <w:shd w:fill="auto" w:val="clear"/>
            <w:vAlign w:val="center"/>
          </w:tcPr>
          <w:p>
            <w:pPr>
              <w:pStyle w:val="TableContents"/>
              <w:spacing w:lineRule="auto" w:line="300"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Nashville, Tennessee</w:t>
            </w:r>
          </w:p>
        </w:tc>
      </w:tr>
      <w:tr>
        <w:trPr/>
        <w:tc>
          <w:tcPr>
            <w:tcW w:w="1865" w:type="dxa"/>
            <w:tcBorders/>
            <w:shd w:fill="auto" w:val="clear"/>
            <w:vAlign w:val="center"/>
          </w:tcPr>
          <w:p>
            <w:pPr>
              <w:pStyle w:val="TableContents"/>
              <w:spacing w:lineRule="auto" w:line="300"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February 28, 2022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17" w:name="bal_sheet"/>
      <w:bookmarkEnd w:id="17"/>
      <w:r>
        <w:rPr>
          <w:rFonts w:ascii="Times New Roman" w:hAnsi="Times New Roman"/>
          <w:b/>
          <w:caps w:val="false"/>
          <w:smallCaps w:val="false"/>
          <w:sz w:val="20"/>
        </w:rPr>
        <w:t>HEALTHSTREAM,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922"/>
        <w:gridCol w:w="60"/>
        <w:gridCol w:w="154"/>
        <w:gridCol w:w="866"/>
        <w:gridCol w:w="60"/>
        <w:gridCol w:w="60"/>
        <w:gridCol w:w="154"/>
        <w:gridCol w:w="866"/>
        <w:gridCol w:w="63"/>
      </w:tblGrid>
      <w:tr>
        <w:trPr/>
        <w:tc>
          <w:tcPr>
            <w:tcW w:w="792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3" w:type="dxa"/>
            <w:tcBorders/>
            <w:shd w:fill="FFFF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jc w:val="center"/>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jc w:val="center"/>
              <w:rPr/>
            </w:pPr>
            <w:r>
              <w:rPr/>
              <w:t> </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15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46,905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5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36,566</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Marketable securities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5,041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9,928</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540" w:right="0" w:hanging="180"/>
              <w:rPr>
                <w:rFonts w:ascii="Times New Roman" w:hAnsi="Times New Roman"/>
                <w:caps w:val="false"/>
                <w:smallCaps w:val="false"/>
                <w:sz w:val="20"/>
              </w:rPr>
            </w:pPr>
            <w:r>
              <w:rPr>
                <w:rFonts w:ascii="Times New Roman" w:hAnsi="Times New Roman"/>
                <w:caps w:val="false"/>
                <w:smallCaps w:val="false"/>
                <w:sz w:val="20"/>
              </w:rPr>
              <w:t>Accounts receivable, net of allowance of $853 and $549 at December 31, 2021 and 2020, respectively</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30,308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40,726</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receivable - unbilled</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4,612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5,374</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Prepaid royalties, net of amortization</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9,571</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Other prepaid expenses and other current assets</w:t>
            </w:r>
          </w:p>
        </w:tc>
        <w:tc>
          <w:tcPr>
            <w:tcW w:w="60" w:type="dxa"/>
            <w:tcBorders/>
            <w:shd w:fill="FFFFFF" w:val="clear"/>
            <w:vAlign w:val="center"/>
          </w:tcPr>
          <w:p>
            <w:pPr>
              <w:pStyle w:val="TableContents"/>
              <w:spacing w:before="0" w:after="283"/>
              <w:rPr/>
            </w:pPr>
            <w:r>
              <w:rPr/>
              <w:t> </w:t>
            </w:r>
          </w:p>
        </w:tc>
        <w:tc>
          <w:tcPr>
            <w:tcW w:w="15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10,824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12,560</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106,845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114,725</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Property and equipment, net of accumulated depreciation of $17,999 and $19,237 at December 31, 2021 and 2020, respectively</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22,218</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Capitalized software development, net of accumulated amortization of $86,097 and $70,516 at December 31, 2021 and 2020, respectively</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32,412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26,631</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lease right of use assets, net</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25,168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28,081</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182,501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178,440</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Customer-related intangibles, net of accumulated amortization of $45,615 and $36,723 at December 31, 2021 and 2020, respectively</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68,803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76,927</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Other intangible assets, net of accumulated amortization of $16,752 and $10,748 at December 31, 2021 and 2020, respectively</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20,402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23,788</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974</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commissions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24,012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19,907</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Non-marketable equity investments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7,043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6,845</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spacing w:before="0" w:after="283"/>
              <w:rPr/>
            </w:pPr>
            <w:r>
              <w:rPr/>
              <w:t> </w:t>
            </w:r>
          </w:p>
        </w:tc>
        <w:tc>
          <w:tcPr>
            <w:tcW w:w="15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1,016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1,777</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spacing w:before="0" w:after="283"/>
              <w:ind w:left="0" w:right="0" w:hanging="0"/>
              <w:rPr/>
            </w:pPr>
            <w:r>
              <w:rPr/>
              <w:t> </w:t>
            </w:r>
          </w:p>
        </w:tc>
        <w:tc>
          <w:tcPr>
            <w:tcW w:w="15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486,753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5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500,313</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jc w:val="center"/>
              <w:rPr>
                <w:rFonts w:ascii="Times New Roman" w:hAnsi="Times New Roman"/>
                <w:b/>
                <w:caps w:val="false"/>
                <w:smallCaps w:val="false"/>
                <w:sz w:val="20"/>
              </w:rPr>
            </w:pPr>
            <w:r>
              <w:rPr>
                <w:rFonts w:ascii="Times New Roman" w:hAnsi="Times New Roman"/>
                <w:b/>
                <w:caps w:val="false"/>
                <w:smallCaps w:val="false"/>
                <w:sz w:val="20"/>
              </w:rPr>
              <w:t>LIABILITIES AND SHAREHOLDERS’ EQUITY</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jc w:val="center"/>
              <w:rPr/>
            </w:pPr>
            <w:r>
              <w:rPr/>
              <w:t> </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spacing w:before="0" w:after="283"/>
              <w:ind w:left="0" w:right="0" w:hanging="0"/>
              <w:rPr/>
            </w:pPr>
            <w:r>
              <w:rPr/>
              <w:t> </w:t>
            </w:r>
          </w:p>
        </w:tc>
        <w:tc>
          <w:tcPr>
            <w:tcW w:w="15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5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9,333</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Accrued royalties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5,037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8,809</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16,371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20,124</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spacing w:before="0" w:after="283"/>
              <w:rPr/>
            </w:pPr>
            <w:r>
              <w:rPr/>
              <w:t> </w:t>
            </w:r>
          </w:p>
        </w:tc>
        <w:tc>
          <w:tcPr>
            <w:tcW w:w="15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73,816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81,176</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100,350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119,442</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14,523</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revenue, non-current</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1,603</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lease liability, non-current</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26,178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28,479</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2,204</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Commitments and contingencies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Shareholders’ equity:</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866"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ind w:left="540" w:right="0" w:hanging="180"/>
              <w:rPr>
                <w:rFonts w:ascii="Times New Roman" w:hAnsi="Times New Roman"/>
                <w:caps w:val="false"/>
                <w:smallCaps w:val="false"/>
                <w:sz w:val="20"/>
              </w:rPr>
            </w:pPr>
            <w:r>
              <w:rPr>
                <w:rFonts w:ascii="Times New Roman" w:hAnsi="Times New Roman"/>
                <w:caps w:val="false"/>
                <w:smallCaps w:val="false"/>
                <w:sz w:val="20"/>
              </w:rPr>
              <w:t>Common stock, no par value, 75,000 shares authorized; 31,327 and 31,493 shares issued and outstanding at December 31, 2021 and 2020, respectively</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270,791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8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271,784</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68,122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8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62,277</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Accumulated other comprehensive income</w:t>
            </w:r>
          </w:p>
        </w:tc>
        <w:tc>
          <w:tcPr>
            <w:tcW w:w="60" w:type="dxa"/>
            <w:tcBorders/>
            <w:shd w:fill="FFFFFF" w:val="clear"/>
            <w:vAlign w:val="center"/>
          </w:tcPr>
          <w:p>
            <w:pPr>
              <w:pStyle w:val="TableContents"/>
              <w:spacing w:before="0" w:after="283"/>
              <w:rPr/>
            </w:pPr>
            <w:r>
              <w:rPr/>
              <w:t> </w:t>
            </w:r>
          </w:p>
        </w:tc>
        <w:tc>
          <w:tcPr>
            <w:tcW w:w="15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63" w:type="dxa"/>
            <w:tcBorders/>
            <w:shd w:fill="FFFFFF" w:val="clear"/>
            <w:vAlign w:val="center"/>
          </w:tcPr>
          <w:p>
            <w:pPr>
              <w:pStyle w:val="TableContents"/>
              <w:spacing w:before="0" w:after="283"/>
              <w:rPr/>
            </w:pPr>
            <w:r>
              <w:rPr/>
              <w:t> </w:t>
            </w:r>
          </w:p>
        </w:tc>
      </w:tr>
      <w:tr>
        <w:trPr/>
        <w:tc>
          <w:tcPr>
            <w:tcW w:w="7922"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shareholders’ equity</w:t>
            </w:r>
          </w:p>
        </w:tc>
        <w:tc>
          <w:tcPr>
            <w:tcW w:w="60" w:type="dxa"/>
            <w:tcBorders/>
            <w:shd w:fill="CCEEFF" w:val="clear"/>
            <w:vAlign w:val="center"/>
          </w:tcPr>
          <w:p>
            <w:pPr>
              <w:pStyle w:val="TableContents"/>
              <w:spacing w:before="0" w:after="283"/>
              <w:rPr/>
            </w:pPr>
            <w:r>
              <w:rPr/>
              <w:t> </w:t>
            </w:r>
          </w:p>
        </w:tc>
        <w:tc>
          <w:tcPr>
            <w:tcW w:w="15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6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339,019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6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334,062</w:t>
            </w:r>
          </w:p>
        </w:tc>
        <w:tc>
          <w:tcPr>
            <w:tcW w:w="63" w:type="dxa"/>
            <w:tcBorders/>
            <w:shd w:fill="CCEEFF" w:val="clear"/>
            <w:vAlign w:val="center"/>
          </w:tcPr>
          <w:p>
            <w:pPr>
              <w:pStyle w:val="TableContents"/>
              <w:spacing w:before="0" w:after="283"/>
              <w:rPr/>
            </w:pPr>
            <w:r>
              <w:rPr/>
              <w:t> </w:t>
            </w:r>
          </w:p>
        </w:tc>
      </w:tr>
      <w:tr>
        <w:trPr/>
        <w:tc>
          <w:tcPr>
            <w:tcW w:w="7922"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liabilities and shareholders’ equity</w:t>
            </w:r>
          </w:p>
        </w:tc>
        <w:tc>
          <w:tcPr>
            <w:tcW w:w="60" w:type="dxa"/>
            <w:tcBorders/>
            <w:shd w:fill="FFFFFF" w:val="clear"/>
            <w:vAlign w:val="center"/>
          </w:tcPr>
          <w:p>
            <w:pPr>
              <w:pStyle w:val="TableContents"/>
              <w:spacing w:before="0" w:after="283"/>
              <w:ind w:left="0" w:right="0" w:hanging="0"/>
              <w:rPr/>
            </w:pPr>
            <w:r>
              <w:rPr/>
              <w:t> </w:t>
            </w:r>
          </w:p>
        </w:tc>
        <w:tc>
          <w:tcPr>
            <w:tcW w:w="15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486,753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6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500,313</w:t>
            </w:r>
          </w:p>
        </w:tc>
        <w:tc>
          <w:tcPr>
            <w:tcW w:w="63"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18" w:name="inc"/>
      <w:bookmarkEnd w:id="18"/>
      <w:r>
        <w:rPr>
          <w:rFonts w:ascii="Times New Roman" w:hAnsi="Times New Roman"/>
          <w:b/>
          <w:caps w:val="false"/>
          <w:smallCaps w:val="false"/>
          <w:sz w:val="20"/>
        </w:rPr>
        <w:t>HEALTHSTREAM,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INCOME</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spacing w:before="0" w:after="0"/>
        <w:ind w:left="0" w:right="0" w:hanging="0"/>
        <w:jc w:val="center"/>
        <w:rPr>
          <w:caps w:val="false"/>
          <w:smallCaps w:val="false"/>
        </w:rPr>
      </w:pPr>
      <w:r>
        <w:rPr>
          <w:caps w:val="false"/>
          <w:smallCaps w:val="false"/>
        </w:rPr>
        <w:t> </w:t>
      </w:r>
    </w:p>
    <w:tbl>
      <w:tblPr>
        <w:tblW w:w="8050" w:type="dxa"/>
        <w:jc w:val="left"/>
        <w:tblInd w:w="0" w:type="dxa"/>
        <w:tblCellMar>
          <w:top w:w="0" w:type="dxa"/>
          <w:left w:w="0" w:type="dxa"/>
          <w:bottom w:w="0" w:type="dxa"/>
          <w:right w:w="0" w:type="dxa"/>
        </w:tblCellMar>
      </w:tblPr>
      <w:tblGrid>
        <w:gridCol w:w="5210"/>
        <w:gridCol w:w="60"/>
        <w:gridCol w:w="125"/>
        <w:gridCol w:w="695"/>
        <w:gridCol w:w="80"/>
        <w:gridCol w:w="60"/>
        <w:gridCol w:w="125"/>
        <w:gridCol w:w="695"/>
        <w:gridCol w:w="60"/>
        <w:gridCol w:w="60"/>
        <w:gridCol w:w="125"/>
        <w:gridCol w:w="695"/>
        <w:gridCol w:w="60"/>
      </w:tblGrid>
      <w:tr>
        <w:trPr/>
        <w:tc>
          <w:tcPr>
            <w:tcW w:w="5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2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Revenues, net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256,712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244,826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254,112</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costs and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Cost of revenues (excluding depreciation and amortization)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91,033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89,332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103,890</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Product development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41,659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32,305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29,109</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39,457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35,297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37,945</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Other general and administrative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39,695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41,885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40,579</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36,813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30,189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27,869</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operating costs and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248,657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229,008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239,392</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income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8,055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15,818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14,720</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(loss) income, net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3,209</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from continuing operations before income tax provision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7,766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17,823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17,929</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3,733</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Income from continuing operations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14,091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14,196</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Discontinued operations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Gain on sale of discontinued operations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2,053</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479</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Income from discontinued operations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1,574</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15,770</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basic:</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Continuing operations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Discontinued operations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0.05</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basic</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0.49</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diluted:</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Continuing operations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Discontinued operations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0.05</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diluted</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0.49</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Weighted average shares of common stock outstanding: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52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31,534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31,960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32,372</w:t>
            </w:r>
          </w:p>
        </w:tc>
        <w:tc>
          <w:tcPr>
            <w:tcW w:w="60" w:type="dxa"/>
            <w:tcBorders/>
            <w:shd w:fill="FFFFFF"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31,618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31,989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32,428</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19" w:name="comp_inc"/>
      <w:bookmarkEnd w:id="19"/>
      <w:r>
        <w:rPr>
          <w:rFonts w:ascii="Times New Roman" w:hAnsi="Times New Roman"/>
          <w:b/>
          <w:caps w:val="false"/>
          <w:smallCaps w:val="false"/>
          <w:sz w:val="20"/>
        </w:rPr>
        <w:t>HEALTHSTREAM,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INCOME</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spacing w:before="0" w:after="0"/>
        <w:ind w:left="0" w:right="0" w:hanging="0"/>
        <w:rPr>
          <w:caps w:val="false"/>
          <w:smallCaps w:val="false"/>
        </w:rPr>
      </w:pPr>
      <w:r>
        <w:rPr>
          <w:caps w:val="false"/>
          <w:smallCaps w:val="false"/>
        </w:rPr>
        <w:t> </w:t>
      </w:r>
    </w:p>
    <w:tbl>
      <w:tblPr>
        <w:tblW w:w="6220" w:type="dxa"/>
        <w:jc w:val="left"/>
        <w:tblInd w:w="0" w:type="dxa"/>
        <w:tblCellMar>
          <w:top w:w="0" w:type="dxa"/>
          <w:left w:w="0" w:type="dxa"/>
          <w:bottom w:w="0" w:type="dxa"/>
          <w:right w:w="0" w:type="dxa"/>
        </w:tblCellMar>
      </w:tblPr>
      <w:tblGrid>
        <w:gridCol w:w="3800"/>
        <w:gridCol w:w="60"/>
        <w:gridCol w:w="125"/>
        <w:gridCol w:w="485"/>
        <w:gridCol w:w="60"/>
        <w:gridCol w:w="60"/>
        <w:gridCol w:w="125"/>
        <w:gridCol w:w="590"/>
        <w:gridCol w:w="80"/>
        <w:gridCol w:w="60"/>
        <w:gridCol w:w="125"/>
        <w:gridCol w:w="590"/>
        <w:gridCol w:w="60"/>
      </w:tblGrid>
      <w:tr>
        <w:trPr/>
        <w:tc>
          <w:tcPr>
            <w:tcW w:w="38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0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14,091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15,770</w:t>
            </w:r>
          </w:p>
        </w:tc>
        <w:tc>
          <w:tcPr>
            <w:tcW w:w="60"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comprehensive income, net of taxes: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Foreign currency translation adjustments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Unrealized gain (loss) on marketable securities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w:t>
            </w:r>
          </w:p>
        </w:tc>
        <w:tc>
          <w:tcPr>
            <w:tcW w:w="60"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other comprehensive income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60" w:type="dxa"/>
            <w:tcBorders/>
            <w:shd w:fill="FFFFFF"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14,088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15,797</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20" w:name="equity"/>
      <w:bookmarkEnd w:id="20"/>
      <w:r>
        <w:rPr>
          <w:rFonts w:ascii="Times New Roman" w:hAnsi="Times New Roman"/>
          <w:b/>
          <w:caps w:val="false"/>
          <w:smallCaps w:val="false"/>
          <w:sz w:val="20"/>
        </w:rPr>
        <w:t>HEALTHSTREAM, INC.</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235"/>
        <w:gridCol w:w="60"/>
        <w:gridCol w:w="60"/>
        <w:gridCol w:w="590"/>
        <w:gridCol w:w="80"/>
        <w:gridCol w:w="60"/>
        <w:gridCol w:w="125"/>
        <w:gridCol w:w="695"/>
        <w:gridCol w:w="80"/>
        <w:gridCol w:w="60"/>
        <w:gridCol w:w="137"/>
        <w:gridCol w:w="648"/>
        <w:gridCol w:w="60"/>
        <w:gridCol w:w="60"/>
        <w:gridCol w:w="284"/>
        <w:gridCol w:w="769"/>
        <w:gridCol w:w="80"/>
        <w:gridCol w:w="60"/>
        <w:gridCol w:w="125"/>
        <w:gridCol w:w="695"/>
        <w:gridCol w:w="242"/>
      </w:tblGrid>
      <w:tr>
        <w:trPr/>
        <w:tc>
          <w:tcPr>
            <w:tcW w:w="52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5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Earnings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5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(Loss)/Income</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Equity</w:t>
            </w:r>
          </w:p>
        </w:tc>
        <w:tc>
          <w:tcPr>
            <w:tcW w:w="242" w:type="dxa"/>
            <w:tcBorders/>
            <w:shd w:fill="FFFFFF" w:val="clear"/>
            <w:vAlign w:val="center"/>
          </w:tcPr>
          <w:p>
            <w:pPr>
              <w:pStyle w:val="TableContents"/>
              <w:spacing w:before="0" w:after="283"/>
              <w:rPr/>
            </w:pPr>
            <w:r>
              <w:rPr/>
              <w:t> </w:t>
            </w:r>
          </w:p>
        </w:tc>
      </w:tr>
      <w:tr>
        <w:trPr/>
        <w:tc>
          <w:tcPr>
            <w:tcW w:w="52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December 31, 2018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32,325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286,597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7"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32,373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8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318,947</w:t>
            </w:r>
          </w:p>
        </w:tc>
        <w:tc>
          <w:tcPr>
            <w:tcW w:w="242" w:type="dxa"/>
            <w:tcBorders/>
            <w:shd w:fill="FFFFFF" w:val="clear"/>
            <w:vAlign w:val="center"/>
          </w:tcPr>
          <w:p>
            <w:pPr>
              <w:pStyle w:val="TableContents"/>
              <w:spacing w:before="0" w:after="283"/>
              <w:rPr/>
            </w:pPr>
            <w:r>
              <w:rPr/>
              <w:t> </w:t>
            </w:r>
          </w:p>
        </w:tc>
      </w:tr>
      <w:tr>
        <w:trPr/>
        <w:tc>
          <w:tcPr>
            <w:tcW w:w="523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ind w:left="0" w:right="0" w:hanging="0"/>
              <w:rPr/>
            </w:pPr>
            <w:r>
              <w:rPr/>
              <w:t> </w:t>
            </w:r>
          </w:p>
        </w:tc>
        <w:tc>
          <w:tcPr>
            <w:tcW w:w="769"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15,770</w:t>
            </w:r>
          </w:p>
        </w:tc>
        <w:tc>
          <w:tcPr>
            <w:tcW w:w="242" w:type="dxa"/>
            <w:tcBorders/>
            <w:shd w:fill="CCEEFF" w:val="clear"/>
            <w:vAlign w:val="center"/>
          </w:tcPr>
          <w:p>
            <w:pPr>
              <w:pStyle w:val="TableContents"/>
              <w:spacing w:before="0" w:after="283"/>
              <w:rPr/>
            </w:pPr>
            <w:r>
              <w:rPr/>
              <w:t> </w:t>
            </w:r>
          </w:p>
        </w:tc>
      </w:tr>
      <w:tr>
        <w:trPr/>
        <w:tc>
          <w:tcPr>
            <w:tcW w:w="523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4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ind w:left="0" w:right="0" w:hanging="0"/>
              <w:rPr/>
            </w:pPr>
            <w:r>
              <w:rPr/>
              <w:t> </w:t>
            </w:r>
          </w:p>
        </w:tc>
        <w:tc>
          <w:tcPr>
            <w:tcW w:w="7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242" w:type="dxa"/>
            <w:tcBorders/>
            <w:shd w:fill="FFFFFF" w:val="clear"/>
            <w:vAlign w:val="center"/>
          </w:tcPr>
          <w:p>
            <w:pPr>
              <w:pStyle w:val="TableContents"/>
              <w:spacing w:before="0" w:after="283"/>
              <w:rPr/>
            </w:pPr>
            <w:r>
              <w:rPr/>
              <w:t> </w:t>
            </w:r>
          </w:p>
        </w:tc>
      </w:tr>
      <w:tr>
        <w:trPr/>
        <w:tc>
          <w:tcPr>
            <w:tcW w:w="523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Stock donated to Company (held in treasury)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4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ind w:left="0" w:right="0" w:hanging="0"/>
              <w:rPr/>
            </w:pPr>
            <w:r>
              <w:rPr/>
              <w:t> </w:t>
            </w:r>
          </w:p>
        </w:tc>
        <w:tc>
          <w:tcPr>
            <w:tcW w:w="769"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pPr>
            <w:r>
              <w:rPr/>
              <w:t>—</w:t>
            </w:r>
          </w:p>
        </w:tc>
        <w:tc>
          <w:tcPr>
            <w:tcW w:w="242" w:type="dxa"/>
            <w:tcBorders/>
            <w:shd w:fill="CCEEFF" w:val="clear"/>
            <w:vAlign w:val="center"/>
          </w:tcPr>
          <w:p>
            <w:pPr>
              <w:pStyle w:val="TableContents"/>
              <w:spacing w:before="0" w:after="283"/>
              <w:rPr/>
            </w:pPr>
            <w:r>
              <w:rPr/>
              <w:t> </w:t>
            </w:r>
          </w:p>
        </w:tc>
      </w:tr>
      <w:tr>
        <w:trPr/>
        <w:tc>
          <w:tcPr>
            <w:tcW w:w="523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4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ind w:left="0" w:right="0" w:hanging="0"/>
              <w:rPr/>
            </w:pPr>
            <w:r>
              <w:rPr/>
              <w:t> </w:t>
            </w:r>
          </w:p>
        </w:tc>
        <w:tc>
          <w:tcPr>
            <w:tcW w:w="76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4,244</w:t>
            </w:r>
          </w:p>
        </w:tc>
        <w:tc>
          <w:tcPr>
            <w:tcW w:w="242" w:type="dxa"/>
            <w:tcBorders/>
            <w:shd w:fill="FFFFFF" w:val="clear"/>
            <w:vAlign w:val="center"/>
          </w:tcPr>
          <w:p>
            <w:pPr>
              <w:pStyle w:val="TableContents"/>
              <w:spacing w:before="0" w:after="283"/>
              <w:rPr/>
            </w:pPr>
            <w:r>
              <w:rPr/>
              <w:t> </w:t>
            </w:r>
          </w:p>
        </w:tc>
      </w:tr>
      <w:tr>
        <w:trPr/>
        <w:tc>
          <w:tcPr>
            <w:tcW w:w="523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Common stock issued under stock plans, net of shares withheld for employee taxes</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3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48"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6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(820</w:t>
            </w:r>
          </w:p>
        </w:tc>
        <w:tc>
          <w:tcPr>
            <w:tcW w:w="24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2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December 31, 2019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32,379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290,021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48,143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ind w:left="0" w:right="0" w:hanging="0"/>
              <w:rPr/>
            </w:pPr>
            <w:r>
              <w:rPr/>
              <w:t> </w:t>
            </w:r>
          </w:p>
        </w:tc>
        <w:tc>
          <w:tcPr>
            <w:tcW w:w="7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338,168</w:t>
            </w:r>
          </w:p>
        </w:tc>
        <w:tc>
          <w:tcPr>
            <w:tcW w:w="242" w:type="dxa"/>
            <w:tcBorders/>
            <w:shd w:fill="FFFFFF" w:val="clear"/>
            <w:vAlign w:val="center"/>
          </w:tcPr>
          <w:p>
            <w:pPr>
              <w:pStyle w:val="TableContents"/>
              <w:spacing w:before="0" w:after="283"/>
              <w:rPr/>
            </w:pPr>
            <w:r>
              <w:rPr/>
              <w:t> </w:t>
            </w:r>
          </w:p>
        </w:tc>
      </w:tr>
      <w:tr>
        <w:trPr/>
        <w:tc>
          <w:tcPr>
            <w:tcW w:w="523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ind w:left="0" w:right="0" w:hanging="0"/>
              <w:rPr/>
            </w:pPr>
            <w:r>
              <w:rPr/>
              <w:t> </w:t>
            </w:r>
          </w:p>
        </w:tc>
        <w:tc>
          <w:tcPr>
            <w:tcW w:w="769"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14,091</w:t>
            </w:r>
          </w:p>
        </w:tc>
        <w:tc>
          <w:tcPr>
            <w:tcW w:w="242" w:type="dxa"/>
            <w:tcBorders/>
            <w:shd w:fill="CCEEFF" w:val="clear"/>
            <w:vAlign w:val="center"/>
          </w:tcPr>
          <w:p>
            <w:pPr>
              <w:pStyle w:val="TableContents"/>
              <w:spacing w:before="0" w:after="283"/>
              <w:rPr/>
            </w:pPr>
            <w:r>
              <w:rPr/>
              <w:t> </w:t>
            </w:r>
          </w:p>
        </w:tc>
      </w:tr>
      <w:tr>
        <w:trPr/>
        <w:tc>
          <w:tcPr>
            <w:tcW w:w="523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Dividend forfeitures on unvested equity awards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ind w:left="0" w:right="0" w:hanging="0"/>
              <w:rPr/>
            </w:pPr>
            <w:r>
              <w:rPr/>
              <w:t> </w:t>
            </w:r>
          </w:p>
        </w:tc>
        <w:tc>
          <w:tcPr>
            <w:tcW w:w="76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w:t>
            </w:r>
          </w:p>
        </w:tc>
        <w:tc>
          <w:tcPr>
            <w:tcW w:w="242" w:type="dxa"/>
            <w:tcBorders/>
            <w:shd w:fill="FFFFFF" w:val="clear"/>
            <w:vAlign w:val="center"/>
          </w:tcPr>
          <w:p>
            <w:pPr>
              <w:pStyle w:val="TableContents"/>
              <w:spacing w:before="0" w:after="283"/>
              <w:rPr/>
            </w:pPr>
            <w:r>
              <w:rPr/>
              <w:t> </w:t>
            </w:r>
          </w:p>
        </w:tc>
      </w:tr>
      <w:tr>
        <w:trPr/>
        <w:tc>
          <w:tcPr>
            <w:tcW w:w="523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4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ind w:left="0" w:right="0" w:hanging="0"/>
              <w:rPr/>
            </w:pPr>
            <w:r>
              <w:rPr/>
              <w:t> </w:t>
            </w:r>
          </w:p>
        </w:tc>
        <w:tc>
          <w:tcPr>
            <w:tcW w:w="7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24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23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2,217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4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ind w:left="0" w:right="0" w:hanging="0"/>
              <w:rPr/>
            </w:pPr>
            <w:r>
              <w:rPr/>
              <w:t> </w:t>
            </w:r>
          </w:p>
        </w:tc>
        <w:tc>
          <w:tcPr>
            <w:tcW w:w="76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2,217</w:t>
            </w:r>
          </w:p>
        </w:tc>
        <w:tc>
          <w:tcPr>
            <w:tcW w:w="242" w:type="dxa"/>
            <w:tcBorders/>
            <w:shd w:fill="FFFFFF" w:val="clear"/>
            <w:vAlign w:val="center"/>
          </w:tcPr>
          <w:p>
            <w:pPr>
              <w:pStyle w:val="TableContents"/>
              <w:spacing w:before="0" w:after="283"/>
              <w:rPr/>
            </w:pPr>
            <w:r>
              <w:rPr/>
              <w:t> </w:t>
            </w:r>
          </w:p>
        </w:tc>
      </w:tr>
      <w:tr>
        <w:trPr/>
        <w:tc>
          <w:tcPr>
            <w:tcW w:w="523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Common stock issued under stock plans, net of shares withheld for employee taxes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4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ind w:left="0" w:right="0" w:hanging="0"/>
              <w:rPr/>
            </w:pPr>
            <w:r>
              <w:rPr/>
              <w:t> </w:t>
            </w:r>
          </w:p>
        </w:tc>
        <w:tc>
          <w:tcPr>
            <w:tcW w:w="769"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(435</w:t>
            </w:r>
          </w:p>
        </w:tc>
        <w:tc>
          <w:tcPr>
            <w:tcW w:w="24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23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(20,019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4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69"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(20,019</w:t>
            </w:r>
          </w:p>
        </w:tc>
        <w:tc>
          <w:tcPr>
            <w:tcW w:w="24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2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December 31,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31,493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271,784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62,277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ind w:left="0" w:right="0" w:hanging="0"/>
              <w:rPr/>
            </w:pPr>
            <w:r>
              <w:rPr/>
              <w:t> </w:t>
            </w:r>
          </w:p>
        </w:tc>
        <w:tc>
          <w:tcPr>
            <w:tcW w:w="7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334,062</w:t>
            </w:r>
          </w:p>
        </w:tc>
        <w:tc>
          <w:tcPr>
            <w:tcW w:w="242" w:type="dxa"/>
            <w:tcBorders/>
            <w:shd w:fill="CCEEFF" w:val="clear"/>
            <w:vAlign w:val="center"/>
          </w:tcPr>
          <w:p>
            <w:pPr>
              <w:pStyle w:val="TableContents"/>
              <w:spacing w:before="0" w:after="283"/>
              <w:rPr/>
            </w:pPr>
            <w:r>
              <w:rPr/>
              <w:t> </w:t>
            </w:r>
          </w:p>
        </w:tc>
      </w:tr>
      <w:tr>
        <w:trPr/>
        <w:tc>
          <w:tcPr>
            <w:tcW w:w="523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ind w:left="0" w:right="0" w:hanging="0"/>
              <w:rPr/>
            </w:pPr>
            <w:r>
              <w:rPr/>
              <w:t> </w:t>
            </w:r>
          </w:p>
        </w:tc>
        <w:tc>
          <w:tcPr>
            <w:tcW w:w="76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5,845</w:t>
            </w:r>
          </w:p>
        </w:tc>
        <w:tc>
          <w:tcPr>
            <w:tcW w:w="242" w:type="dxa"/>
            <w:tcBorders/>
            <w:shd w:fill="FFFFFF" w:val="clear"/>
            <w:vAlign w:val="center"/>
          </w:tcPr>
          <w:p>
            <w:pPr>
              <w:pStyle w:val="TableContents"/>
              <w:spacing w:before="0" w:after="283"/>
              <w:rPr/>
            </w:pPr>
            <w:r>
              <w:rPr/>
              <w:t> </w:t>
            </w:r>
          </w:p>
        </w:tc>
      </w:tr>
      <w:tr>
        <w:trPr/>
        <w:tc>
          <w:tcPr>
            <w:tcW w:w="523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4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ind w:left="0" w:right="0" w:hanging="0"/>
              <w:rPr/>
            </w:pPr>
            <w:r>
              <w:rPr/>
              <w:t> </w:t>
            </w:r>
          </w:p>
        </w:tc>
        <w:tc>
          <w:tcPr>
            <w:tcW w:w="7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105</w:t>
            </w:r>
          </w:p>
        </w:tc>
        <w:tc>
          <w:tcPr>
            <w:tcW w:w="242" w:type="dxa"/>
            <w:tcBorders/>
            <w:shd w:fill="CCEEFF" w:val="clear"/>
            <w:vAlign w:val="center"/>
          </w:tcPr>
          <w:p>
            <w:pPr>
              <w:pStyle w:val="TableContents"/>
              <w:spacing w:before="0" w:after="283"/>
              <w:ind w:left="0" w:right="0" w:firstLine="180"/>
              <w:rPr/>
            </w:pPr>
            <w:r>
              <w:rPr/>
              <w:t> </w:t>
            </w:r>
          </w:p>
        </w:tc>
      </w:tr>
      <w:tr>
        <w:trPr/>
        <w:tc>
          <w:tcPr>
            <w:tcW w:w="5235"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Stock donated to Company (held in treasury)</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(94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648"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rPr/>
            </w:pPr>
            <w:r>
              <w:rPr/>
              <w:t> </w:t>
            </w:r>
          </w:p>
        </w:tc>
        <w:tc>
          <w:tcPr>
            <w:tcW w:w="769"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pPr>
            <w:r>
              <w:rPr/>
              <w:t>—</w:t>
            </w:r>
          </w:p>
        </w:tc>
        <w:tc>
          <w:tcPr>
            <w:tcW w:w="242" w:type="dxa"/>
            <w:tcBorders/>
            <w:shd w:fill="FFFFFF" w:val="clear"/>
            <w:vAlign w:val="center"/>
          </w:tcPr>
          <w:p>
            <w:pPr>
              <w:pStyle w:val="TableContents"/>
              <w:spacing w:before="0" w:after="283"/>
              <w:rPr/>
            </w:pPr>
            <w:r>
              <w:rPr/>
              <w:t> </w:t>
            </w:r>
          </w:p>
        </w:tc>
      </w:tr>
      <w:tr>
        <w:trPr/>
        <w:tc>
          <w:tcPr>
            <w:tcW w:w="523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4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ind w:left="0" w:right="0" w:hanging="0"/>
              <w:rPr/>
            </w:pPr>
            <w:r>
              <w:rPr/>
              <w:t> </w:t>
            </w:r>
          </w:p>
        </w:tc>
        <w:tc>
          <w:tcPr>
            <w:tcW w:w="769"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5,303</w:t>
            </w:r>
          </w:p>
        </w:tc>
        <w:tc>
          <w:tcPr>
            <w:tcW w:w="242" w:type="dxa"/>
            <w:tcBorders/>
            <w:shd w:fill="CCEEFF" w:val="clear"/>
            <w:vAlign w:val="center"/>
          </w:tcPr>
          <w:p>
            <w:pPr>
              <w:pStyle w:val="TableContents"/>
              <w:spacing w:before="0" w:after="283"/>
              <w:rPr/>
            </w:pPr>
            <w:r>
              <w:rPr/>
              <w:t> </w:t>
            </w:r>
          </w:p>
        </w:tc>
      </w:tr>
      <w:tr>
        <w:trPr/>
        <w:tc>
          <w:tcPr>
            <w:tcW w:w="523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Common stock issued under stock plans, net of shares withheld for employee taxes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4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4" w:type="dxa"/>
            <w:tcBorders/>
            <w:shd w:fill="FFFFFF" w:val="clear"/>
            <w:vAlign w:val="center"/>
          </w:tcPr>
          <w:p>
            <w:pPr>
              <w:pStyle w:val="TableContents"/>
              <w:spacing w:before="0" w:after="283"/>
              <w:ind w:left="0" w:right="0" w:hanging="0"/>
              <w:rPr/>
            </w:pPr>
            <w:r>
              <w:rPr/>
              <w:t> </w:t>
            </w:r>
          </w:p>
        </w:tc>
        <w:tc>
          <w:tcPr>
            <w:tcW w:w="76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(1,182</w:t>
            </w:r>
          </w:p>
        </w:tc>
        <w:tc>
          <w:tcPr>
            <w:tcW w:w="24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23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(5,114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3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48"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6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(5,114</w:t>
            </w:r>
          </w:p>
        </w:tc>
        <w:tc>
          <w:tcPr>
            <w:tcW w:w="24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23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December 31, 2021</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31,327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270,791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4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68,122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8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339,019</w:t>
            </w:r>
          </w:p>
        </w:tc>
        <w:tc>
          <w:tcPr>
            <w:tcW w:w="242"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21" w:name="cf"/>
      <w:bookmarkEnd w:id="21"/>
      <w:r>
        <w:rPr>
          <w:rFonts w:ascii="Times New Roman" w:hAnsi="Times New Roman"/>
          <w:b/>
          <w:caps w:val="false"/>
          <w:smallCaps w:val="false"/>
          <w:sz w:val="20"/>
        </w:rPr>
        <w:t>HEALTHSTREAM,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spacing w:before="0" w:after="0"/>
        <w:ind w:left="0" w:right="0" w:hanging="0"/>
        <w:rPr>
          <w:caps w:val="false"/>
          <w:smallCaps w:val="false"/>
        </w:rPr>
      </w:pPr>
      <w:r>
        <w:rPr>
          <w:caps w:val="false"/>
          <w:smallCaps w:val="false"/>
        </w:rPr>
        <w:t> </w:t>
      </w:r>
    </w:p>
    <w:tbl>
      <w:tblPr>
        <w:tblW w:w="9515" w:type="dxa"/>
        <w:jc w:val="left"/>
        <w:tblInd w:w="0" w:type="dxa"/>
        <w:tblCellMar>
          <w:top w:w="0" w:type="dxa"/>
          <w:left w:w="0" w:type="dxa"/>
          <w:bottom w:w="0" w:type="dxa"/>
          <w:right w:w="0" w:type="dxa"/>
        </w:tblCellMar>
      </w:tblPr>
      <w:tblGrid>
        <w:gridCol w:w="6620"/>
        <w:gridCol w:w="60"/>
        <w:gridCol w:w="125"/>
        <w:gridCol w:w="650"/>
        <w:gridCol w:w="80"/>
        <w:gridCol w:w="60"/>
        <w:gridCol w:w="125"/>
        <w:gridCol w:w="755"/>
        <w:gridCol w:w="80"/>
        <w:gridCol w:w="60"/>
        <w:gridCol w:w="125"/>
        <w:gridCol w:w="695"/>
        <w:gridCol w:w="80"/>
      </w:tblGrid>
      <w:tr>
        <w:trPr/>
        <w:tc>
          <w:tcPr>
            <w:tcW w:w="6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55"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14,091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15,770</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from discontinued operations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36,813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30,189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27,869</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2,217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4,244</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Amortization of deferred commissions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9,169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8,768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8,305</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4,295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2,167</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Loss on disposal of fixed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Loss (gain) on equity method investments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Non-cash paid time off expense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(1,011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Non-cash royalty expense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(3,440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Change in fair value of non-marketable equity investments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and unbilled receivables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10,344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(2,992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11,605</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Prepaid royalties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2,397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1,698</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Other prepaid expenses and other current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(2,985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4,862</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Deferred commissions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(13,274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(11,030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(9,479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(4,329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1,098</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Accrued royalties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(3,772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979</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(7,593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42,385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35,874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65,657</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Business combinations, net of cash acquired</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(4,705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(121,342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(27,018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Proceeds from sale of discontinued operations, net of tax</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6,070</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Proceeds from maturities of marketable securities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77,120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80,589</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Proceeds from sales of marketable securities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Purchases of marketable securities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(5,223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(61,179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(87,328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Proceeds from sale of property and equipment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Proceeds from sale of non-marketable equity investments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1,370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Payments to acquire non-marketable equity investments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(3,342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Payments associated with capitalized software development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(21,929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(16,815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(14,513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(3,417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(21,997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(25,723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(110,410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(67,524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Proceeds from exercise of stock options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Taxes paid related to net settlement of equity awards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Payment of earn-out related to prior acquisitions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Repurchases of common stock</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(20,019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Payment of cash dividends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(6,209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(20,494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Effect of exchange rate changes on cash and cash equivalents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increase (decrease) in cash and cash equivalents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10,339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(94,972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(2,783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36,566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131,538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134,321</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46,905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36,566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131,538</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SUPPLEMENTAL CASH FLOW INFORMATION: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Interest paid</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101</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Income taxes (refunded) paid</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630</w:t>
            </w:r>
          </w:p>
        </w:tc>
        <w:tc>
          <w:tcPr>
            <w:tcW w:w="80" w:type="dxa"/>
            <w:tcBorders/>
            <w:shd w:fill="CCEEFF" w:val="clear"/>
            <w:vAlign w:val="center"/>
          </w:tcPr>
          <w:p>
            <w:pPr>
              <w:pStyle w:val="TableContents"/>
              <w:spacing w:before="0" w:after="283"/>
              <w:rPr/>
            </w:pPr>
            <w:r>
              <w:rPr/>
              <w:t> </w:t>
            </w:r>
          </w:p>
        </w:tc>
      </w:tr>
      <w:tr>
        <w:trPr/>
        <w:tc>
          <w:tcPr>
            <w:tcW w:w="6620"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Non-cash additions to property and equipment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FFFFFF" w:val="clear"/>
            <w:vAlign w:val="center"/>
          </w:tcPr>
          <w:p>
            <w:pPr>
              <w:pStyle w:val="TableContents"/>
              <w:spacing w:before="0" w:after="283"/>
              <w:rPr/>
            </w:pPr>
            <w:r>
              <w:rPr/>
              <w:t> </w:t>
            </w:r>
          </w:p>
        </w:tc>
      </w:tr>
      <w:tr>
        <w:trPr/>
        <w:tc>
          <w:tcPr>
            <w:tcW w:w="6620"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Non-cash additions to non-marketable equity investments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bookmarkStart w:id="22" w:name="notes"/>
      <w:bookmarkEnd w:id="22"/>
      <w:r>
        <w:rPr>
          <w:rFonts w:ascii="Times New Roman;Times;serif" w:hAnsi="Times New Roman;Times;serif"/>
          <w:b/>
          <w:sz w:val="20"/>
        </w:rPr>
        <w:t>HEALTHSTREAM,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SUMMARY OF SIGNIFICANT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Description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HealthStream, Inc. (the Company) was incorporated in </w:t>
      </w:r>
      <w:r>
        <w:rPr>
          <w:rStyle w:val="Emphasis"/>
          <w:rFonts w:ascii="Times New Roman" w:hAnsi="Times New Roman"/>
          <w:caps w:val="false"/>
          <w:smallCaps w:val="false"/>
          <w:sz w:val="20"/>
        </w:rPr>
        <w:t>1990</w:t>
      </w:r>
      <w:r>
        <w:rPr>
          <w:rFonts w:ascii="Times New Roman" w:hAnsi="Times New Roman"/>
          <w:caps w:val="false"/>
          <w:smallCaps w:val="false"/>
          <w:sz w:val="20"/>
        </w:rPr>
        <w:t xml:space="preserve"> as a Tennessee corporation and is headquartered in Nashville, Tennessee. The Company reports financial results based on two reportable segments: Workforce Solutions and Provider Solutions. Workforce Solutions products help meet the ongoing training, certification, assessment, development, and scheduling needs of the healthcare workforce; they are primarily delivered via a software-as-a-service (SaaS) model and are sold on a subscription basis. Provider Solutions products offer healthcare organizations software applications for administering and tracking provider credentialing, privileging, and enrollment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12, 2018, </w:t>
      </w:r>
      <w:r>
        <w:rPr>
          <w:rFonts w:ascii="Times New Roman" w:hAnsi="Times New Roman"/>
          <w:caps w:val="false"/>
          <w:smallCaps w:val="false"/>
          <w:sz w:val="20"/>
        </w:rPr>
        <w:t>the Company divested its Patient Experience (PX) business to Press Ganey Associates (Press Ganey) for $65.2 million in cash (after giving effect to the post-closing working capital adjustment). This sale of the PX business resulted in the divestiture of the Company’s patient experience solutions business segment. The results of operations for PX are presented as discontinued operations within the Notes to Consolidated Financial Statements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Recognition of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accordance with Accounting Standards Codification (ASC) Topic </w:t>
      </w:r>
      <w:r>
        <w:rPr>
          <w:rStyle w:val="Emphasis"/>
          <w:rFonts w:ascii="Times New Roman" w:hAnsi="Times New Roman"/>
          <w:caps w:val="false"/>
          <w:smallCaps w:val="false"/>
          <w:sz w:val="20"/>
        </w:rPr>
        <w:t>606,</w:t>
      </w:r>
      <w:r>
        <w:rPr>
          <w:rFonts w:ascii="Times New Roman" w:hAnsi="Times New Roman"/>
          <w:caps w:val="false"/>
          <w:smallCaps w:val="false"/>
          <w:sz w:val="20"/>
        </w:rPr>
        <w:t> </w:t>
      </w:r>
      <w:r>
        <w:rPr>
          <w:rFonts w:ascii="Times New Roman" w:hAnsi="Times New Roman"/>
          <w:i/>
          <w:caps w:val="false"/>
          <w:smallCaps w:val="false"/>
          <w:sz w:val="20"/>
        </w:rPr>
        <w:t>Revenue from Contracts with Customer</w:t>
      </w:r>
      <w:r>
        <w:rPr>
          <w:rFonts w:ascii="Times New Roman" w:hAnsi="Times New Roman"/>
          <w:caps w:val="false"/>
          <w:smallCaps w:val="false"/>
          <w:sz w:val="20"/>
        </w:rPr>
        <w:t>, the Company's revenues are recognized when control of the promised goods or services is transferred to the customer in an amount that reflects the consideration the Company expects to be entitled in exchange for transferring those goods or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Revenue is recognized based on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 model:</w:t>
      </w:r>
    </w:p>
    <w:p>
      <w:pPr>
        <w:pStyle w:val="TextBody"/>
        <w:spacing w:before="0" w:after="0"/>
        <w:ind w:left="0" w:right="0" w:hanging="0"/>
        <w:rPr>
          <w:caps w:val="false"/>
          <w:smallCaps w:val="false"/>
        </w:rPr>
      </w:pPr>
      <w:r>
        <w:rPr>
          <w:caps w:val="false"/>
          <w:smallCaps w:val="false"/>
        </w:rPr>
        <w:t> </w:t>
      </w:r>
    </w:p>
    <w:tbl>
      <w:tblPr>
        <w:tblW w:w="3835" w:type="dxa"/>
        <w:jc w:val="left"/>
        <w:tblInd w:w="0" w:type="dxa"/>
        <w:tblCellMar>
          <w:top w:w="0" w:type="dxa"/>
          <w:left w:w="0" w:type="dxa"/>
          <w:bottom w:w="0" w:type="dxa"/>
          <w:right w:w="0" w:type="dxa"/>
        </w:tblCellMar>
      </w:tblPr>
      <w:tblGrid>
        <w:gridCol w:w="60"/>
        <w:gridCol w:w="110"/>
        <w:gridCol w:w="366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6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contract with a customer</w:t>
            </w:r>
          </w:p>
        </w:tc>
      </w:tr>
    </w:tbl>
    <w:p>
      <w:pPr>
        <w:pStyle w:val="TextBody"/>
        <w:spacing w:before="0" w:after="0"/>
        <w:ind w:left="0" w:right="0" w:hanging="0"/>
        <w:rPr>
          <w:caps w:val="false"/>
          <w:smallCaps w:val="false"/>
        </w:rPr>
      </w:pPr>
      <w:r>
        <w:rPr>
          <w:caps w:val="false"/>
          <w:smallCaps w:val="false"/>
        </w:rPr>
        <w:t> </w:t>
      </w:r>
    </w:p>
    <w:tbl>
      <w:tblPr>
        <w:tblW w:w="5050" w:type="dxa"/>
        <w:jc w:val="left"/>
        <w:tblInd w:w="0" w:type="dxa"/>
        <w:tblCellMar>
          <w:top w:w="0" w:type="dxa"/>
          <w:left w:w="0" w:type="dxa"/>
          <w:bottom w:w="0" w:type="dxa"/>
          <w:right w:w="0" w:type="dxa"/>
        </w:tblCellMar>
      </w:tblPr>
      <w:tblGrid>
        <w:gridCol w:w="60"/>
        <w:gridCol w:w="110"/>
        <w:gridCol w:w="488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88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performance obligations in the contract</w:t>
            </w:r>
          </w:p>
        </w:tc>
      </w:tr>
    </w:tbl>
    <w:p>
      <w:pPr>
        <w:pStyle w:val="TextBody"/>
        <w:spacing w:before="0" w:after="0"/>
        <w:ind w:left="0" w:right="0" w:hanging="0"/>
        <w:rPr>
          <w:caps w:val="false"/>
          <w:smallCaps w:val="false"/>
        </w:rPr>
      </w:pPr>
      <w:r>
        <w:rPr>
          <w:caps w:val="false"/>
          <w:smallCaps w:val="false"/>
        </w:rPr>
        <w:t> </w:t>
      </w:r>
    </w:p>
    <w:tbl>
      <w:tblPr>
        <w:tblW w:w="3265" w:type="dxa"/>
        <w:jc w:val="left"/>
        <w:tblInd w:w="0" w:type="dxa"/>
        <w:tblCellMar>
          <w:top w:w="0" w:type="dxa"/>
          <w:left w:w="0" w:type="dxa"/>
          <w:bottom w:w="0" w:type="dxa"/>
          <w:right w:w="0" w:type="dxa"/>
        </w:tblCellMar>
      </w:tblPr>
      <w:tblGrid>
        <w:gridCol w:w="60"/>
        <w:gridCol w:w="110"/>
        <w:gridCol w:w="309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0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Determination of the transaction price</w:t>
            </w:r>
          </w:p>
        </w:tc>
      </w:tr>
    </w:tbl>
    <w:p>
      <w:pPr>
        <w:pStyle w:val="TextBody"/>
        <w:spacing w:before="0" w:after="0"/>
        <w:ind w:left="0" w:right="0" w:hanging="0"/>
        <w:rPr>
          <w:caps w:val="false"/>
          <w:smallCaps w:val="false"/>
        </w:rPr>
      </w:pPr>
      <w:r>
        <w:rPr>
          <w:caps w:val="false"/>
          <w:smallCaps w:val="false"/>
        </w:rPr>
        <w:t> </w:t>
      </w:r>
    </w:p>
    <w:tbl>
      <w:tblPr>
        <w:tblW w:w="6715" w:type="dxa"/>
        <w:jc w:val="left"/>
        <w:tblInd w:w="0" w:type="dxa"/>
        <w:tblCellMar>
          <w:top w:w="0" w:type="dxa"/>
          <w:left w:w="0" w:type="dxa"/>
          <w:bottom w:w="0" w:type="dxa"/>
          <w:right w:w="0" w:type="dxa"/>
        </w:tblCellMar>
      </w:tblPr>
      <w:tblGrid>
        <w:gridCol w:w="60"/>
        <w:gridCol w:w="110"/>
        <w:gridCol w:w="654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5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Allocation of the transaction price to the performance obligations in the contract</w:t>
            </w:r>
          </w:p>
        </w:tc>
      </w:tr>
    </w:tbl>
    <w:p>
      <w:pPr>
        <w:pStyle w:val="TextBody"/>
        <w:spacing w:before="0" w:after="0"/>
        <w:ind w:left="0" w:right="0" w:hanging="0"/>
        <w:rPr>
          <w:caps w:val="false"/>
          <w:smallCaps w:val="false"/>
        </w:rPr>
      </w:pPr>
      <w:r>
        <w:rPr>
          <w:caps w:val="false"/>
          <w:smallCaps w:val="false"/>
        </w:rPr>
        <w:t> </w:t>
      </w:r>
    </w:p>
    <w:tbl>
      <w:tblPr>
        <w:tblW w:w="7015" w:type="dxa"/>
        <w:jc w:val="left"/>
        <w:tblInd w:w="0" w:type="dxa"/>
        <w:tblCellMar>
          <w:top w:w="0" w:type="dxa"/>
          <w:left w:w="0" w:type="dxa"/>
          <w:bottom w:w="0" w:type="dxa"/>
          <w:right w:w="0" w:type="dxa"/>
        </w:tblCellMar>
      </w:tblPr>
      <w:tblGrid>
        <w:gridCol w:w="60"/>
        <w:gridCol w:w="110"/>
        <w:gridCol w:w="684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Recognition of revenue when, or as, the Company satisfies a performance obligation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Subscription revenues primarily consist of fees in consideration of providing customers access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our SaaS-based solutions and/or courseware subscriptions, as well as fees related to licensing agreements, all of which include routine customer support and technology enhancements. Revenue is generally recognized over time during the contract term beginning when the service is made available to the customer. Subscription contracts are generally non-cancelable,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in length, and billed annually, semi-annually, quarterly, or monthly in advance.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Professional services revenues primarily consist of fees for implementation and onboarding services, consulting, and training. The majority of our professional services contracts are billed in advance based on a fixed price basis, and revenue is recognized over time as the services are performed. For both subscription services and professional services, the time between billing the customer and when performance obligations are satisfied is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48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 w:hAnsi="Times New Roman"/>
          <w:caps w:val="false"/>
          <w:smallCaps w:val="false"/>
          <w:sz w:val="20"/>
        </w:rPr>
        <w:t xml:space="preserve">Our contracts with customers often contain promises for multiple goods and services. For these contracts, the Company accounts for the promised goods and services in its contracts as separate performance obligations if they are distinct. The contract price, which represents transaction price when the contract reflects a fixed fee arrangement, or management’s estimate of variable consideration including application of the constraint when the contract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fixed fee,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subscriptions within the contract.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receive payments from customers based on billing schedules established in our contracts. Accounts receivable - unbilled represent contract assets related to our conditional right to consideration for subscription and professional services contracts where performance has occurred under the contract. Accounts receivable are primarily comprised of trade receivables that are recorded at the invoice amount, net of an allowance for credit losses, when the right to consideration becomes unconditional.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revenue represents contract liabilities that are recorded when cash payments are received or are due in advance of our satisfaction of performance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include the accounts of the Company and its wholly owned subsidiaries. All intercompany accounts and transactions have been eliminated in consolidation.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are prepared in accordance with United States generally accepted accounting principles. These accounting principles require management to make estimates and assumptions that affect the amounts reported in the financial statements and accompanying notes. Actual results could differ from those estimates and such differences could be material to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Equivalents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considers cash equivalents to be unrestricted, highly liquid investments with initial maturities of less than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Marketable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Marketable securities are classified as available for sale and are stated at fair market value, with the unrealized gains and losses, net of tax, reported in other accumulated comprehensive income (loss) on the accompanying Consolidated Balance Sheets. Realized gains and losses and declines in market value judged to be other than temporary on investments in marketable securities are included in other income, net on the accompanying Consolidated Statements of Income. The cost of securities sold is based on the specific identification method. Interest and dividends on securities classified as available for sale are included in other income, net on the accompanying Consolidated Statements of Income. Premiums and discounts are amortized over the life of the related available for sale security as an adjustment to the yield using the effective interest method.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Deferred Commissions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Deferred commissions represent incremental costs to acquire contracts with customers, such as the initial sales commission payment and associated payroll taxes, which are capitalized and amortized consistent with the transfer of the goods or services to the customer over the expected period of benefit. Capitalized contract costs are included under the caption deferred commissions in the accompanying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commensurate with initial commissions. Non-commensurate commissions are amortized over the greater of the contract term or technological obsolescence period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Prepaid Royalties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Prepaid royalties represent advance payments to business partners under revenue sharing arrangements for which the Company sells and delivers such partner products to its customers. Royalties are typically paid in advance at the commencement of the subscription period or periodically throughout the subscription period, such as in quarterly, bi-annual, or annual installments. Royalty payments are amortized over the term of the underlying subscription contracts, which generally range from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in order to match the direct royalty costs to the same period the subscription revenue is recognized. Amortization of prepaid royalties is included under the caption cost of revenues (excluding depreciation and amortization) in the accompanying Consolidated Statements of Income.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49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Allowance for Credit Losses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estimates its allowance for credit losses based on its historical collection experience, a review in each period of the status of the then-outstanding accounts receivable, and external market factors. Uncollectible receivables are written-off in the period management believes it has exhausted its ability to collect payment from the customer. Expected credit losses are recorded under the caption "Other general and administrative expenses" in the accompanying Consolidated Statements of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Changes in the allowance for credit losses and the amounts charged to bad debt expense for the years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were as follows (in thousands):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40"/>
        <w:gridCol w:w="60"/>
        <w:gridCol w:w="661"/>
        <w:gridCol w:w="2577"/>
        <w:gridCol w:w="60"/>
        <w:gridCol w:w="60"/>
        <w:gridCol w:w="650"/>
        <w:gridCol w:w="1749"/>
        <w:gridCol w:w="60"/>
        <w:gridCol w:w="60"/>
        <w:gridCol w:w="203"/>
        <w:gridCol w:w="642"/>
        <w:gridCol w:w="80"/>
        <w:gridCol w:w="60"/>
        <w:gridCol w:w="752"/>
        <w:gridCol w:w="2028"/>
        <w:gridCol w:w="63"/>
      </w:tblGrid>
      <w:tr>
        <w:trPr/>
        <w:tc>
          <w:tcPr>
            <w:tcW w:w="4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23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Allowance Balance at Beginning of Period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9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Charged to Costs and Expenses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Write-offs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Allowance Balance at End of Period</w:t>
            </w:r>
          </w:p>
        </w:tc>
        <w:tc>
          <w:tcPr>
            <w:tcW w:w="63" w:type="dxa"/>
            <w:tcBorders/>
            <w:shd w:fill="FFFFFF" w:val="clear"/>
            <w:vAlign w:val="center"/>
          </w:tcPr>
          <w:p>
            <w:pPr>
              <w:pStyle w:val="TableContents"/>
              <w:spacing w:before="0" w:after="283"/>
              <w:rPr/>
            </w:pPr>
            <w:r>
              <w:rPr/>
              <w:t> </w:t>
            </w:r>
          </w:p>
        </w:tc>
      </w:tr>
      <w:tr>
        <w:trPr/>
        <w:tc>
          <w:tcPr>
            <w:tcW w:w="44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shd w:fill="FFFFFF" w:val="clear"/>
            <w:vAlign w:val="center"/>
          </w:tcPr>
          <w:p>
            <w:pPr>
              <w:pStyle w:val="TableContents"/>
              <w:spacing w:before="0" w:after="283"/>
              <w:ind w:left="0" w:right="0" w:hanging="0"/>
              <w:rPr/>
            </w:pPr>
            <w:r>
              <w:rPr/>
              <w:t> </w:t>
            </w:r>
          </w:p>
        </w:tc>
        <w:tc>
          <w:tcPr>
            <w:tcW w:w="66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57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74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4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75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02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853</w:t>
            </w:r>
          </w:p>
        </w:tc>
        <w:tc>
          <w:tcPr>
            <w:tcW w:w="63" w:type="dxa"/>
            <w:tcBorders/>
            <w:shd w:fill="FFFFFF" w:val="clear"/>
            <w:vAlign w:val="center"/>
          </w:tcPr>
          <w:p>
            <w:pPr>
              <w:pStyle w:val="TableContents"/>
              <w:spacing w:before="0" w:after="283"/>
              <w:rPr/>
            </w:pPr>
            <w:r>
              <w:rPr/>
              <w:t> </w:t>
            </w:r>
          </w:p>
        </w:tc>
      </w:tr>
      <w:tr>
        <w:trPr/>
        <w:tc>
          <w:tcPr>
            <w:tcW w:w="44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2020</w:t>
            </w:r>
          </w:p>
        </w:tc>
        <w:tc>
          <w:tcPr>
            <w:tcW w:w="60"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ind w:left="0" w:right="0" w:hanging="0"/>
              <w:rPr/>
            </w:pPr>
            <w:r>
              <w:rPr/>
              <w:t> </w:t>
            </w:r>
          </w:p>
        </w:tc>
        <w:tc>
          <w:tcPr>
            <w:tcW w:w="257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ind w:left="0" w:right="0" w:hanging="0"/>
              <w:rPr/>
            </w:pPr>
            <w:r>
              <w:rPr/>
              <w:t> </w:t>
            </w:r>
          </w:p>
        </w:tc>
        <w:tc>
          <w:tcPr>
            <w:tcW w:w="174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ind w:left="0" w:right="0" w:hanging="0"/>
              <w:rPr/>
            </w:pPr>
            <w:r>
              <w:rPr/>
              <w:t> </w:t>
            </w:r>
          </w:p>
        </w:tc>
        <w:tc>
          <w:tcPr>
            <w:tcW w:w="64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752" w:type="dxa"/>
            <w:tcBorders/>
            <w:shd w:fill="CCEEFF" w:val="clear"/>
            <w:vAlign w:val="center"/>
          </w:tcPr>
          <w:p>
            <w:pPr>
              <w:pStyle w:val="TableContents"/>
              <w:spacing w:before="0" w:after="283"/>
              <w:ind w:left="0" w:right="0" w:hanging="0"/>
              <w:rPr/>
            </w:pPr>
            <w:r>
              <w:rPr/>
              <w:t> </w:t>
            </w:r>
          </w:p>
        </w:tc>
        <w:tc>
          <w:tcPr>
            <w:tcW w:w="202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549</w:t>
            </w:r>
          </w:p>
        </w:tc>
        <w:tc>
          <w:tcPr>
            <w:tcW w:w="63" w:type="dxa"/>
            <w:tcBorders/>
            <w:shd w:fill="CCEEFF" w:val="clear"/>
            <w:vAlign w:val="center"/>
          </w:tcPr>
          <w:p>
            <w:pPr>
              <w:pStyle w:val="TableContents"/>
              <w:spacing w:before="0" w:after="283"/>
              <w:rPr/>
            </w:pPr>
            <w:r>
              <w:rPr/>
              <w:t> </w:t>
            </w:r>
          </w:p>
        </w:tc>
      </w:tr>
      <w:tr>
        <w:trPr/>
        <w:tc>
          <w:tcPr>
            <w:tcW w:w="44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2019</w:t>
            </w:r>
          </w:p>
        </w:tc>
        <w:tc>
          <w:tcPr>
            <w:tcW w:w="60" w:type="dxa"/>
            <w:tcBorders/>
            <w:shd w:fill="FFFFFF" w:val="clear"/>
            <w:vAlign w:val="center"/>
          </w:tcPr>
          <w:p>
            <w:pPr>
              <w:pStyle w:val="TableContents"/>
              <w:spacing w:before="0" w:after="283"/>
              <w:rPr/>
            </w:pPr>
            <w:r>
              <w:rPr/>
              <w:t> </w:t>
            </w:r>
          </w:p>
        </w:tc>
        <w:tc>
          <w:tcPr>
            <w:tcW w:w="661" w:type="dxa"/>
            <w:tcBorders/>
            <w:shd w:fill="FFFFFF" w:val="clear"/>
            <w:vAlign w:val="center"/>
          </w:tcPr>
          <w:p>
            <w:pPr>
              <w:pStyle w:val="TableContents"/>
              <w:spacing w:before="0" w:after="283"/>
              <w:ind w:left="0" w:right="0" w:hanging="0"/>
              <w:rPr/>
            </w:pPr>
            <w:r>
              <w:rPr/>
              <w:t> </w:t>
            </w:r>
          </w:p>
        </w:tc>
        <w:tc>
          <w:tcPr>
            <w:tcW w:w="257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ind w:left="0" w:right="0" w:hanging="0"/>
              <w:rPr/>
            </w:pPr>
            <w:r>
              <w:rPr/>
              <w:t> </w:t>
            </w:r>
          </w:p>
        </w:tc>
        <w:tc>
          <w:tcPr>
            <w:tcW w:w="174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ind w:left="0" w:right="0" w:hanging="0"/>
              <w:rPr/>
            </w:pPr>
            <w:r>
              <w:rPr/>
              <w:t> </w:t>
            </w:r>
          </w:p>
        </w:tc>
        <w:tc>
          <w:tcPr>
            <w:tcW w:w="64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752" w:type="dxa"/>
            <w:tcBorders/>
            <w:shd w:fill="FFFFFF" w:val="clear"/>
            <w:vAlign w:val="center"/>
          </w:tcPr>
          <w:p>
            <w:pPr>
              <w:pStyle w:val="TableContents"/>
              <w:spacing w:before="0" w:after="283"/>
              <w:ind w:left="0" w:right="0" w:hanging="0"/>
              <w:rPr/>
            </w:pPr>
            <w:r>
              <w:rPr/>
              <w:t> </w:t>
            </w:r>
          </w:p>
        </w:tc>
        <w:tc>
          <w:tcPr>
            <w:tcW w:w="202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843</w:t>
            </w:r>
          </w:p>
        </w:tc>
        <w:tc>
          <w:tcPr>
            <w:tcW w:w="63"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Capitalized Software Development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Capitalized software development is stated on the basis of cost and is presented net of accumulated amortization. The Company capitalizes costs incurred during the software development phase for projects when such costs are material. These assets are generally amortized using the straight-line method over three years. The Company capitalized $21.4 million and $17.9 million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respectively. Amortization of capitalized software development was $15.6 million, $12.7 million, and $11.0 million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respectively. Maintenance and operating costs are expensed as incurred.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there were no capitalized software development costs for external computer software developed for resale.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Fair Value Measurements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to the fair value hierarchy based on the reliability of inputs,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Times New Roman" w:hAnsi="Times New Roman"/>
          <w:caps w:val="false"/>
          <w:smallCaps w:val="false"/>
          <w:sz w:val="20"/>
          <w:u w:val="single"/>
        </w:rPr>
        <w:t xml:space="preserve">Level </w:t>
      </w:r>
      <w:r>
        <w:rPr>
          <w:rStyle w:val="Emphasis"/>
          <w:rFonts w:ascii="Times New Roman" w:hAnsi="Times New Roman"/>
          <w:caps w:val="false"/>
          <w:smallCaps w:val="false"/>
          <w:sz w:val="20"/>
          <w:u w:val="single"/>
        </w:rPr>
        <w:t>1</w:t>
      </w:r>
      <w:r>
        <w:rPr>
          <w:rFonts w:ascii="Times New Roman" w:hAnsi="Times New Roman"/>
          <w:caps w:val="false"/>
          <w:smallCaps w:val="false"/>
          <w:sz w:val="20"/>
        </w:rPr>
        <w:t xml:space="preserve"> – Observable inputs that reflect quoted prices (unadjusted) for identical assets or liabilities in active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u w:val="single"/>
        </w:rPr>
        <w:t>Level </w:t>
      </w:r>
      <w:r>
        <w:rPr>
          <w:rStyle w:val="Emphasis"/>
          <w:rFonts w:ascii="Times New Roman" w:hAnsi="Times New Roman"/>
          <w:caps w:val="false"/>
          <w:smallCaps w:val="false"/>
          <w:sz w:val="20"/>
          <w:u w:val="single"/>
        </w:rPr>
        <w:t>2</w:t>
      </w:r>
      <w:r>
        <w:rPr>
          <w:rFonts w:ascii="Times New Roman" w:hAnsi="Times New Roman"/>
          <w:caps w:val="false"/>
          <w:smallCaps w:val="false"/>
          <w:sz w:val="20"/>
        </w:rPr>
        <w:t xml:space="preserve"> – Inputs other than quoted prices included 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that are observable for the asset or liability, either directly or indirectly.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u w:val="single"/>
        </w:rPr>
        <w:t>Level </w:t>
      </w:r>
      <w:r>
        <w:rPr>
          <w:rStyle w:val="Emphasis"/>
          <w:rFonts w:ascii="Times New Roman" w:hAnsi="Times New Roman"/>
          <w:caps w:val="false"/>
          <w:smallCaps w:val="false"/>
          <w:sz w:val="20"/>
          <w:u w:val="single"/>
        </w:rPr>
        <w:t>3</w:t>
      </w:r>
      <w:r>
        <w:rPr>
          <w:rFonts w:ascii="Times New Roman" w:hAnsi="Times New Roman"/>
          <w:caps w:val="false"/>
          <w:smallCaps w:val="false"/>
          <w:sz w:val="20"/>
        </w:rPr>
        <w:t xml:space="preserve"> – Unobservable inputs in which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exists, therefore requiring the Company to develop its own assumptions.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evaluates assets and liabilities subject to fair value measurements on a recurring basis to determine the appropriate level at which to classify them for each reporting period. This determination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require significant judgments to be made by the Company.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our assets measured at fair value on a recurring basis consisted of marketable securities, which are classified as available for sale (see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 Marketable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Property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are stated on the basis of cost. Depreciation is provided on the straight-line method over the following estimated useful lives, except for leasehold improvements, which are amortized over the shorter of the estimated useful life or their respective lease term.</w:t>
      </w:r>
    </w:p>
    <w:p>
      <w:pPr>
        <w:pStyle w:val="TextBody"/>
        <w:spacing w:before="0" w:after="0"/>
        <w:ind w:left="0" w:right="0" w:hanging="0"/>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1775"/>
        <w:gridCol w:w="60"/>
        <w:gridCol w:w="100"/>
        <w:gridCol w:w="385"/>
        <w:gridCol w:w="60"/>
      </w:tblGrid>
      <w:tr>
        <w:trPr/>
        <w:tc>
          <w:tcPr>
            <w:tcW w:w="17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Years</w:t>
            </w:r>
          </w:p>
        </w:tc>
        <w:tc>
          <w:tcPr>
            <w:tcW w:w="60" w:type="dxa"/>
            <w:tcBorders/>
            <w:shd w:fill="FFFFFF" w:val="clear"/>
            <w:vAlign w:val="center"/>
          </w:tcPr>
          <w:p>
            <w:pPr>
              <w:pStyle w:val="TableContents"/>
              <w:spacing w:before="0" w:after="283"/>
              <w:rPr/>
            </w:pPr>
            <w:r>
              <w:rPr/>
              <w:t> </w:t>
            </w:r>
          </w:p>
        </w:tc>
      </w:tr>
      <w:tr>
        <w:trPr/>
        <w:tc>
          <w:tcPr>
            <w:tcW w:w="177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ind w:left="0" w:right="0" w:hanging="0"/>
              <w:rPr/>
            </w:pPr>
            <w:r>
              <w:rPr/>
              <w:t> </w:t>
            </w:r>
          </w:p>
        </w:tc>
        <w:tc>
          <w:tcPr>
            <w:tcW w:w="3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5 - 7</w:t>
            </w:r>
          </w:p>
        </w:tc>
        <w:tc>
          <w:tcPr>
            <w:tcW w:w="60" w:type="dxa"/>
            <w:tcBorders/>
            <w:shd w:fill="CCEEFF" w:val="clear"/>
            <w:vAlign w:val="center"/>
          </w:tcPr>
          <w:p>
            <w:pPr>
              <w:pStyle w:val="TableContents"/>
              <w:spacing w:before="0" w:after="283"/>
              <w:rPr/>
            </w:pPr>
            <w:r>
              <w:rPr/>
              <w:t> </w:t>
            </w:r>
          </w:p>
        </w:tc>
      </w:tr>
      <w:tr>
        <w:trPr/>
        <w:tc>
          <w:tcPr>
            <w:tcW w:w="177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Equipment</w:t>
            </w:r>
          </w:p>
        </w:tc>
        <w:tc>
          <w:tcPr>
            <w:tcW w:w="60"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ind w:left="0" w:right="0" w:hanging="0"/>
              <w:rPr/>
            </w:pPr>
            <w:r>
              <w:rPr/>
              <w:t> </w:t>
            </w:r>
          </w:p>
        </w:tc>
        <w:tc>
          <w:tcPr>
            <w:tcW w:w="3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Goodwill and Intangible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Goodwill represents the excess of purchase price in a business combination over the fair value of the net identifiable assets acquired, including intangible assets. The Company estimates fair values of intangible assets using the income and cost methods, which are based on management’s estimates and assumptions. The carrying amount of our goodwill is evaluated for impairment at least annually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and whenever events or changes in facts or circumstances indicate that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exist. In accordance with ASC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Intangibles </w:t>
      </w:r>
      <w:r>
        <w:rPr>
          <w:rFonts w:ascii="Times New Roman" w:hAnsi="Times New Roman"/>
          <w:caps w:val="false"/>
          <w:smallCaps w:val="false"/>
          <w:sz w:val="20"/>
        </w:rPr>
        <w:t xml:space="preserve">– </w:t>
      </w:r>
      <w:r>
        <w:rPr>
          <w:rFonts w:ascii="Times New Roman" w:hAnsi="Times New Roman"/>
          <w:i/>
          <w:caps w:val="false"/>
          <w:smallCaps w:val="false"/>
          <w:sz w:val="20"/>
        </w:rPr>
        <w:t>Goodwill and Other</w:t>
      </w:r>
      <w:r>
        <w:rPr>
          <w:rFonts w:ascii="Times New Roman" w:hAnsi="Times New Roman"/>
          <w:caps w:val="false"/>
          <w:smallCaps w:val="false"/>
          <w:sz w:val="20"/>
        </w:rPr>
        <w:t xml:space="preserve">, companies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opt to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assess qualitative factors to determine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A qualitative assessment includes factors such as financial performance, industry and market metrics, and other factors affecting the reporting unit. If this assessment concludes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exceeds its carrying value, then 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impaired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impairment testing is required. Conversely, if the qualitative assessment concludes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value, we must then compare the fair value of the reporting unit to its carrying value. The Company determines fair value of the reporting units using both income and market-based models. These models require the use of various assumptions relating to cash flow projections, growth rates, discount rates, and terminal value calculations.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goodwill impairments identified or recorded for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2019</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intangible assets include customer relationships, internally developed technology, non-competition agreements, and trade names. Intangible assets that are considered to have definite useful lives are being amortized on a straight-line basis over periods ranging between one and eighteen years. The weighted average amortization period for definite lived intangible assets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was 11.3 years. Intangible assets considered to have indefinite useful lives are evaluated for impairment at least annually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and all intangible assets are reviewed for impairment whenever events or changes in facts or circumstances indicate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There were no intangible asset impairments identified or recorded for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2019</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Long-Lived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Long-lived assets to be held for use are reviewed for events or changes in facts and circumstances, both internally and externally,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indicate that an impairment of long-lived assets held for use is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intangible assets, property and equipment, capitalized software development, deferred commissions, and other assets will be recoverable. There were no long-lived asset impairments identified or recorded for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2019</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Non-Marketable Equity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Non-marketable equity investments in limited liability companies with specific ownership accounts for each investor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resulting in a controlling financial interest are accounted for using the equity method of accounting. Non-marketable equity investments of preferred stock in corporations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a controlling financial interest are accounted for using the measurement alternative for equity investments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readily determinable fair values.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Financial Instruments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Overall (Subtopic </w:t>
      </w:r>
      <w:r>
        <w:rPr>
          <w:rStyle w:val="Emphasis"/>
          <w:rFonts w:ascii="Times New Roman" w:hAnsi="Times New Roman"/>
          <w:i/>
          <w:caps w:val="false"/>
          <w:smallCaps w:val="false"/>
          <w:sz w:val="20"/>
        </w:rPr>
        <w:t>825</w:t>
      </w:r>
      <w:r>
        <w:rPr>
          <w:rFonts w:ascii="Times New Roman" w:hAnsi="Times New Roman"/>
          <w:i/>
          <w:caps w:val="false"/>
          <w:smallCaps w:val="false"/>
          <w:sz w:val="20"/>
        </w:rPr>
        <w:t>-</w:t>
      </w:r>
      <w:r>
        <w:rPr>
          <w:rStyle w:val="Emphasis"/>
          <w:rFonts w:ascii="Times New Roman" w:hAnsi="Times New Roman"/>
          <w:i/>
          <w:caps w:val="false"/>
          <w:smallCaps w:val="false"/>
          <w:sz w:val="20"/>
        </w:rPr>
        <w:t>10</w:t>
      </w:r>
      <w:r>
        <w:rPr>
          <w:rFonts w:ascii="Times New Roman" w:hAnsi="Times New Roman"/>
          <w:i/>
          <w:caps w:val="false"/>
          <w:smallCaps w:val="false"/>
          <w:sz w:val="20"/>
        </w:rPr>
        <w:t>)</w:t>
      </w:r>
      <w:r>
        <w:rPr>
          <w:rFonts w:ascii="Times New Roman" w:hAnsi="Times New Roman"/>
          <w:caps w:val="false"/>
          <w:smallCaps w:val="false"/>
          <w:sz w:val="20"/>
        </w:rPr>
        <w:t xml:space="preserve"> requires equity investments (except those accounted for under the equity method of accounting or those that result in consolidation of the investee) to be measured at fair value with changes in fair value recognized in net income. The fair value of non-marketable equity investments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estimated if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identified events or changes in circumstances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a significant adverse effect on the fair value of the investment. The proportionate share of income or loss from equity method investments and any changes in fair value of investments accounted for using the measurement alternative are recorded under the caption other income, net in the accompanying Consolidated Statements of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Financial Instruments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has various financial instruments, including cash and cash equivalents, accounts receivable, accounts receivable-unbilled, accounts payable, and accrued liabilities. The carrying amounts of these financial instruments approximate fair value because of the short-term maturity or short-term nature of such instruments. The Company also has marketable securities, which are recorded at approximate fair value based on quoted market prices or alternative pricing sources (see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 Marketable Securities) and non-marketable equity investments, which are recorded under the equity method or under the measurement alternative (see Note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 Non-Marketable Equity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Advertising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expenses the costs of advertising as incurred. Advertising expense for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was $1.9 million, $1.1 million, and $0.8 million, respectively, and is included under the caption sales and marketing expense in the accompanying Consolidated Statements of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Shipping and Handling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Shipping and handling costs that are associated with our products and services are included under the caption cost of revenues (excluding depreciation and amortization) in the accompanying Consolidated Statements of Income.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available under the tax law to realize a tax benefit for deductible temporary differences and carryforwards: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future reversals of existing taxable temporary differences,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future taxable income exclusive of reversing temporary differences and carryforwards,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taxable income in prior carryback year(s) if carryback is permitted under the tax law, and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 Company had established a valuation allowance of $2.0 million for the portion of its net deferred tax assets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realized. The Company accounts for income tax uncertainties using a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recognition threshold based on the technical merits of the tax position taken. Tax positions that meet the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recognition threshold are measured in order to determine the tax benefit to be recognized in the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Earnings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Common equivalent shares that have an anti-dilutive effect on diluted net income per share were excluded from the calculation of diluted weighted average shares outstanding for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Concentrations of Credit Risk and Significant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Company’s credit risks relate primarily to cash and cash equivalents, marketable securities, and accounts receivable. The Company places its temporary excess cash in high quality, short-term money market instruments. At times, such investments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in excess of the FDIC insurance limits. Marketable securities consist primarily of investment grade corporate debt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sells its products and services to various companies in the healthcare industry that are primarily located in the United States. Customer credit worthiness evaluations are performed on an as-needed basis, and the Company generally requires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collateral from customers. An allowance for doubtful accounts is maintained for potentially uncollectible accounts receivable.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single customer representing over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net revenues or accounts receivable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2019</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 Company maintained one stock-based compensation plan under which awards are outstanding, as described in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The Company accounts for stock-based compensation using the fair-value based method for costs related to share-based payments, including stock options and restricted share units. The Company uses the Black Scholes option pricing model for calculating the fair value of option awards issued under its stock-based compensation plan. The Company measures compensation cost of restricted share units based on the closing fair market value of the Company’s stock on the date of grant. Stock-based compensation cost is measured at the grant date, based on the fair value of the award that is ultimately expected to vest, and is recognized as an expense over the requisite service period. The Company recognizes tax benefits or deficiencies from stock-based compensation if an excess tax benefit or deficiency is realized. Excess tax benefits and deficiencies are reflected in the Consolidated Statements of Income as a component of the provision for income taxes when realized.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has several non-cancelable agreements to lease office space. For leases with a lease term greater than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the Company recognizes a right-of-use (ROU) asset and a lease liability on the balance sheet at the lease commencement date. Lease liabilities and their corresponding right-of-use assets are recorded based on the present value of the future lease payments over the expected lease term.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lease contracts that contain: (</w:t>
      </w:r>
      <w:r>
        <w:rPr>
          <w:rStyle w:val="Emphasis"/>
          <w:rFonts w:ascii="Times New Roman" w:hAnsi="Times New Roman"/>
          <w:caps w:val="false"/>
          <w:smallCaps w:val="false"/>
          <w:sz w:val="20"/>
        </w:rPr>
        <w:t>1</w:t>
      </w:r>
      <w:r>
        <w:rPr>
          <w:rFonts w:ascii="Times New Roman" w:hAnsi="Times New Roman"/>
          <w:caps w:val="false"/>
          <w:smallCaps w:val="false"/>
          <w:sz w:val="20"/>
        </w:rPr>
        <w:t>) an option to extend that the Company is reasonably certain to exercise,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 option to terminate that the Company is reasonably certain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exercise, or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an option to extend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terminate) in which exercise of the option is controlled by the lessor. Additionally,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leases with residual value guarantees or material restrictive covenants. Most of the Company’s lease agreements contain provisions for escalating rent payments over the terms of the leases, which escalations are either fixed within the contract or are variable based on the consumer price index.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Company’s leases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readily determinable implicit discount rates, and as such the Company must use its incremental borrowing rate to discount the future lease payments based on information available at lease commencement. The incremental borrowing rate was estimated by determining the rate of interest that the Company would have to pay to borrow on a collateralized basis over a similar term an amount equal to the lease payments in a similar economic environment.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Foreign Currency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functional currency for the Company’s subsidiaries is determined based on the primary economic environment in which the subsidiary operates. The Company translates the assets and liabilities of its non-U.S. dollar functional currency subsidiaries into U.S. dollars using exchange rates in effect at the end of each period. Revenues and expenses for these subsidiaries are translated using rates that approximate those in effect during the period. Gains and losses from these translations are recognized as cumulative translation adjustment included in accumulated other comprehensive income in the Consolidated Balance Sheets.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b/>
          <w:caps w:val="false"/>
          <w:smallCaps w:val="false"/>
          <w:sz w:val="20"/>
        </w:rPr>
        <w:t xml:space="preserve">Recently Issued Accounting Pronouncements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Adopted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2021, </w:t>
      </w:r>
      <w:r>
        <w:rPr>
          <w:rFonts w:ascii="Times New Roman" w:hAnsi="Times New Roman"/>
          <w:caps w:val="false"/>
          <w:smallCaps w:val="false"/>
          <w:sz w:val="20"/>
        </w:rPr>
        <w:t>the Financial Accounting Standards Board issued Accounting Standards Update ("ASU") </w:t>
      </w:r>
      <w:r>
        <w:rPr>
          <w:rStyle w:val="Emphasis"/>
          <w:rFonts w:ascii="Times New Roman" w:hAnsi="Times New Roman"/>
          <w:caps w:val="false"/>
          <w:smallCaps w:val="false"/>
          <w:sz w:val="20"/>
        </w:rPr>
        <w:t>2021</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Business Combinations (Topic </w:t>
      </w:r>
      <w:r>
        <w:rPr>
          <w:rStyle w:val="Emphasis"/>
          <w:rFonts w:ascii="Times New Roman" w:hAnsi="Times New Roman"/>
          <w:i/>
          <w:caps w:val="false"/>
          <w:smallCaps w:val="false"/>
          <w:sz w:val="20"/>
        </w:rPr>
        <w:t>805</w:t>
      </w:r>
      <w:r>
        <w:rPr>
          <w:rFonts w:ascii="Times New Roman" w:hAnsi="Times New Roman"/>
          <w:i/>
          <w:caps w:val="false"/>
          <w:smallCaps w:val="false"/>
          <w:sz w:val="20"/>
        </w:rPr>
        <w:t>): Accounting for Contract Assets and Contract Liabilities from Contracts with Customers. </w:t>
      </w:r>
      <w:r>
        <w:rPr>
          <w:rFonts w:ascii="Times New Roman" w:hAnsi="Times New Roman"/>
          <w:caps w:val="false"/>
          <w:smallCaps w:val="false"/>
          <w:sz w:val="20"/>
        </w:rPr>
        <w:t xml:space="preserve">The new guidance requires contract assets and contract liabilities acquired in a business combination to be recognized and measured by the acquirer on the acquisition date in accordance with Accounting Standards Codification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 if it had originated the contracts. This approach differs from the current requirement to measure contract assets and contract liabilities acquired in a business combination at fair value. The standard will be effective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interim period within annual reporting periods beginning after </w:t>
      </w:r>
      <w:r>
        <w:rPr>
          <w:rStyle w:val="Emphasis"/>
          <w:rFonts w:ascii="Times New Roman" w:hAnsi="Times New Roman"/>
          <w:caps w:val="false"/>
          <w:smallCaps w:val="false"/>
          <w:sz w:val="20"/>
        </w:rPr>
        <w:t xml:space="preserve">December 15, 2022 </w:t>
      </w:r>
      <w:r>
        <w:rPr>
          <w:rFonts w:ascii="Times New Roman" w:hAnsi="Times New Roman"/>
          <w:caps w:val="false"/>
          <w:smallCaps w:val="false"/>
          <w:sz w:val="20"/>
        </w:rPr>
        <w:t>and early adoption is permitted. The Company will early adopt this ASU on </w:t>
      </w:r>
      <w:r>
        <w:rPr>
          <w:rStyle w:val="Emphasis"/>
          <w:rFonts w:ascii="Times New Roman" w:hAnsi="Times New Roman"/>
          <w:caps w:val="false"/>
          <w:smallCaps w:val="false"/>
          <w:sz w:val="20"/>
        </w:rPr>
        <w:t xml:space="preserve"> January 1, 2022 </w:t>
      </w:r>
      <w:r>
        <w:rPr>
          <w:rFonts w:ascii="Times New Roman" w:hAnsi="Times New Roman"/>
          <w:caps w:val="false"/>
          <w:smallCaps w:val="false"/>
          <w:sz w:val="20"/>
        </w:rPr>
        <w:t xml:space="preserve">and the adoption impact of the new standard will depend on the magnitude of future acquisitions. The standard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contract assets or liabilities from business combinations occurring prior to the adoption date.</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is authorized to issue up to 75 million shares of common stock. The number of common shares issued and outstanding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was 31.3 million and 31.5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is authorized to issue up to 10 million shares of preferred stock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series, having the relative voting powers, designations, preferences, rights and qualifications, limitations or restrictions, and other terms as the Board of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fix in providing for the issuance of such series, without any vote or action of the shareholders.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Share Repurchase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13,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Company’s Board of Directors authorized a share repurchase program to repurchase up to $30.0 million of outstanding shares of common stock. The share repurchase program terminated on </w:t>
      </w:r>
      <w:r>
        <w:rPr>
          <w:rStyle w:val="Emphasis"/>
          <w:rFonts w:ascii="Times New Roman" w:hAnsi="Times New Roman"/>
          <w:caps w:val="false"/>
          <w:smallCaps w:val="false"/>
          <w:sz w:val="20"/>
        </w:rPr>
        <w:t xml:space="preserve"> March 12,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During the year ended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the Company repurchased 957,367 shares pursuant to this share repurchase program at an aggregate fair value of $20.0 million, based on an average price per share of $20.89 (excluding the cost of broker commissions). No repurchases occurred under this share repurchase program during the year ended </w:t>
      </w:r>
      <w:r>
        <w:rPr>
          <w:rStyle w:val="Emphasis"/>
          <w:rFonts w:ascii="Times New Roman" w:hAnsi="Times New Roman"/>
          <w:caps w:val="false"/>
          <w:smallCaps w:val="false"/>
          <w:sz w:val="20"/>
        </w:rPr>
        <w:t>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November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Company’s Board of Directors authorized a share repurchase program to repurchase up to $20.0 million of outstanding shares of common stock. The share repurchase program will terminate on the earlier of </w:t>
      </w:r>
      <w:r>
        <w:rPr>
          <w:rStyle w:val="Emphasis"/>
          <w:rFonts w:ascii="Times New Roman" w:hAnsi="Times New Roman"/>
          <w:caps w:val="false"/>
          <w:smallCaps w:val="false"/>
          <w:sz w:val="20"/>
        </w:rPr>
        <w:t>November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or when the maximum dollar amount has been expended. During the year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the Company repurchased 203,284 shares pursuant to this share repurchase program at an aggregate fair value of $5.1 million, based on an average price per share of $25.14 (excluding the cost of broker commissions).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EARNINGS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following table sets forth the computation of basic and diluted earnings per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(in thousands, except per share amounts): </w:t>
      </w:r>
    </w:p>
    <w:p>
      <w:pPr>
        <w:pStyle w:val="TextBody"/>
        <w:spacing w:before="0" w:after="0"/>
        <w:ind w:left="0" w:right="0" w:hanging="0"/>
        <w:rPr>
          <w:caps w:val="false"/>
          <w:smallCaps w:val="false"/>
        </w:rPr>
      </w:pPr>
      <w:r>
        <w:rPr>
          <w:caps w:val="false"/>
          <w:smallCaps w:val="false"/>
        </w:rPr>
        <w:t> </w:t>
      </w:r>
    </w:p>
    <w:tbl>
      <w:tblPr>
        <w:tblW w:w="5570" w:type="dxa"/>
        <w:jc w:val="left"/>
        <w:tblInd w:w="0" w:type="dxa"/>
        <w:tblCellMar>
          <w:top w:w="0" w:type="dxa"/>
          <w:left w:w="0" w:type="dxa"/>
          <w:bottom w:w="0" w:type="dxa"/>
          <w:right w:w="0" w:type="dxa"/>
        </w:tblCellMar>
      </w:tblPr>
      <w:tblGrid>
        <w:gridCol w:w="3065"/>
        <w:gridCol w:w="60"/>
        <w:gridCol w:w="125"/>
        <w:gridCol w:w="590"/>
        <w:gridCol w:w="60"/>
        <w:gridCol w:w="60"/>
        <w:gridCol w:w="125"/>
        <w:gridCol w:w="590"/>
        <w:gridCol w:w="60"/>
        <w:gridCol w:w="60"/>
        <w:gridCol w:w="125"/>
        <w:gridCol w:w="590"/>
        <w:gridCol w:w="60"/>
      </w:tblGrid>
      <w:tr>
        <w:trPr/>
        <w:tc>
          <w:tcPr>
            <w:tcW w:w="30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85"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Income from continuing operations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14,196</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Income from discontinued operations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1,574</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15,770</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Weighted-average shares outstanding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31,534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31,960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32,372</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Effect of dilutive shares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Weighted-average diluted shares</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31,618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31,989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32,428</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basic:</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Continuing operations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Discontinued operations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0.05</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basic</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0.49</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diluted:</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Continuing operations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Discontinued operations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0.05</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diluted</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0.49</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Potentially dilutive shares representing 78,000, 122,000, and 93,000 shares of common stock for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respectively, were excluded from the calculation of diluted earnings per share because their effect would have been anti-dilutive.</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MARKETABLE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the fair value of marketable securities, which were all classified as available for sale, included the following (in thousands):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26"/>
        <w:gridCol w:w="60"/>
        <w:gridCol w:w="172"/>
        <w:gridCol w:w="822"/>
        <w:gridCol w:w="60"/>
        <w:gridCol w:w="60"/>
        <w:gridCol w:w="395"/>
        <w:gridCol w:w="824"/>
        <w:gridCol w:w="60"/>
        <w:gridCol w:w="60"/>
        <w:gridCol w:w="406"/>
        <w:gridCol w:w="848"/>
        <w:gridCol w:w="80"/>
        <w:gridCol w:w="60"/>
        <w:gridCol w:w="146"/>
        <w:gridCol w:w="693"/>
        <w:gridCol w:w="60"/>
        <w:gridCol w:w="60"/>
        <w:gridCol w:w="304"/>
        <w:gridCol w:w="1444"/>
        <w:gridCol w:w="60"/>
        <w:gridCol w:w="60"/>
        <w:gridCol w:w="383"/>
        <w:gridCol w:w="1496"/>
        <w:gridCol w:w="66"/>
      </w:tblGrid>
      <w:tr>
        <w:trPr/>
        <w:tc>
          <w:tcPr>
            <w:tcW w:w="152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553" w:type="dxa"/>
            <w:gridSpan w:val="2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 2021</w:t>
            </w:r>
          </w:p>
        </w:tc>
        <w:tc>
          <w:tcPr>
            <w:tcW w:w="66" w:type="dxa"/>
            <w:tcBorders/>
            <w:shd w:fill="FFFFFF" w:val="clear"/>
            <w:vAlign w:val="center"/>
          </w:tcPr>
          <w:p>
            <w:pPr>
              <w:pStyle w:val="TableContents"/>
              <w:spacing w:before="0" w:after="283"/>
              <w:rPr/>
            </w:pPr>
            <w:r>
              <w:rPr/>
              <w:t> </w:t>
            </w:r>
          </w:p>
        </w:tc>
      </w:tr>
      <w:tr>
        <w:trPr/>
        <w:tc>
          <w:tcPr>
            <w:tcW w:w="152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9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4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Cash and Cash Equivalents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7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Current Marketable Securities</w:t>
            </w:r>
          </w:p>
        </w:tc>
        <w:tc>
          <w:tcPr>
            <w:tcW w:w="66" w:type="dxa"/>
            <w:tcBorders/>
            <w:shd w:fill="FFFFFF" w:val="clear"/>
            <w:vAlign w:val="center"/>
          </w:tcPr>
          <w:p>
            <w:pPr>
              <w:pStyle w:val="TableContents"/>
              <w:spacing w:before="0" w:after="283"/>
              <w:rPr/>
            </w:pPr>
            <w:r>
              <w:rPr/>
              <w:t> </w:t>
            </w:r>
          </w:p>
        </w:tc>
      </w:tr>
      <w:tr>
        <w:trPr/>
        <w:tc>
          <w:tcPr>
            <w:tcW w:w="1526"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FFFFFF" w:val="clear"/>
            <w:vAlign w:val="center"/>
          </w:tcPr>
          <w:p>
            <w:pPr>
              <w:pStyle w:val="TableContents"/>
              <w:spacing w:before="0" w:after="283"/>
              <w:ind w:left="0" w:right="0" w:hanging="0"/>
              <w:rPr/>
            </w:pPr>
            <w:r>
              <w:rPr/>
              <w:t> </w:t>
            </w:r>
          </w:p>
        </w:tc>
        <w:tc>
          <w:tcPr>
            <w:tcW w:w="17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46,905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0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8"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46,905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4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46,905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8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96" w:type="dxa"/>
            <w:tcBorders/>
            <w:shd w:fill="FFFFFF" w:val="clear"/>
            <w:vAlign w:val="center"/>
          </w:tcPr>
          <w:p>
            <w:pPr>
              <w:pStyle w:val="TableContents"/>
              <w:spacing w:before="0" w:after="283"/>
              <w:ind w:left="0" w:right="0" w:hanging="0"/>
              <w:jc w:val="right"/>
              <w:rPr/>
            </w:pPr>
            <w:r>
              <w:rPr/>
              <w:t>—</w:t>
            </w:r>
          </w:p>
        </w:tc>
        <w:tc>
          <w:tcPr>
            <w:tcW w:w="66" w:type="dxa"/>
            <w:tcBorders/>
            <w:shd w:fill="FFFFFF" w:val="clear"/>
            <w:vAlign w:val="center"/>
          </w:tcPr>
          <w:p>
            <w:pPr>
              <w:pStyle w:val="TableContents"/>
              <w:spacing w:before="0" w:after="283"/>
              <w:rPr/>
            </w:pPr>
            <w:r>
              <w:rPr/>
              <w:t> </w:t>
            </w:r>
          </w:p>
        </w:tc>
      </w:tr>
      <w:tr>
        <w:trPr/>
        <w:tc>
          <w:tcPr>
            <w:tcW w:w="1526"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2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5" w:type="dxa"/>
            <w:tcBorders/>
            <w:shd w:fill="CCEEFF" w:val="clear"/>
            <w:vAlign w:val="center"/>
          </w:tcPr>
          <w:p>
            <w:pPr>
              <w:pStyle w:val="TableContents"/>
              <w:spacing w:before="0" w:after="283"/>
              <w:rPr/>
            </w:pPr>
            <w:r>
              <w:rPr/>
              <w:t> </w:t>
            </w:r>
          </w:p>
        </w:tc>
        <w:tc>
          <w:tcPr>
            <w:tcW w:w="8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06" w:type="dxa"/>
            <w:tcBorders/>
            <w:shd w:fill="CCEEFF" w:val="clear"/>
            <w:vAlign w:val="center"/>
          </w:tcPr>
          <w:p>
            <w:pPr>
              <w:pStyle w:val="TableContents"/>
              <w:spacing w:before="0" w:after="283"/>
              <w:rPr/>
            </w:pPr>
            <w:r>
              <w:rPr/>
              <w:t> </w:t>
            </w:r>
          </w:p>
        </w:tc>
        <w:tc>
          <w:tcPr>
            <w:tcW w:w="84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9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3" w:type="dxa"/>
            <w:tcBorders/>
            <w:shd w:fill="CCEEFF" w:val="clear"/>
            <w:vAlign w:val="center"/>
          </w:tcPr>
          <w:p>
            <w:pPr>
              <w:pStyle w:val="TableContents"/>
              <w:spacing w:before="0" w:after="283"/>
              <w:rPr/>
            </w:pPr>
            <w:r>
              <w:rPr/>
              <w:t> </w:t>
            </w:r>
          </w:p>
        </w:tc>
        <w:tc>
          <w:tcPr>
            <w:tcW w:w="149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r>
      <w:tr>
        <w:trPr/>
        <w:tc>
          <w:tcPr>
            <w:tcW w:w="1526"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Corporate debt securities</w:t>
            </w:r>
          </w:p>
        </w:tc>
        <w:tc>
          <w:tcPr>
            <w:tcW w:w="60" w:type="dxa"/>
            <w:tcBorders/>
            <w:shd w:fill="FFFFFF" w:val="clear"/>
            <w:vAlign w:val="center"/>
          </w:tcPr>
          <w:p>
            <w:pPr>
              <w:pStyle w:val="TableContents"/>
              <w:spacing w:before="0" w:after="283"/>
              <w:rPr/>
            </w:pPr>
            <w:r>
              <w:rPr/>
              <w:t> </w:t>
            </w:r>
          </w:p>
        </w:tc>
        <w:tc>
          <w:tcPr>
            <w:tcW w:w="17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2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5,043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24"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0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5,041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444"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8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49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5,041</w:t>
            </w:r>
          </w:p>
        </w:tc>
        <w:tc>
          <w:tcPr>
            <w:tcW w:w="66" w:type="dxa"/>
            <w:tcBorders/>
            <w:shd w:fill="FFFFFF" w:val="clear"/>
            <w:vAlign w:val="center"/>
          </w:tcPr>
          <w:p>
            <w:pPr>
              <w:pStyle w:val="TableContents"/>
              <w:spacing w:before="0" w:after="283"/>
              <w:rPr/>
            </w:pPr>
            <w:r>
              <w:rPr/>
              <w:t> </w:t>
            </w:r>
          </w:p>
        </w:tc>
      </w:tr>
      <w:tr>
        <w:trPr/>
        <w:tc>
          <w:tcPr>
            <w:tcW w:w="1526"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7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51,948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0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4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51,946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0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4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46,905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8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9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5,041</w:t>
            </w:r>
          </w:p>
        </w:tc>
        <w:tc>
          <w:tcPr>
            <w:tcW w:w="66"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26"/>
        <w:gridCol w:w="60"/>
        <w:gridCol w:w="172"/>
        <w:gridCol w:w="822"/>
        <w:gridCol w:w="60"/>
        <w:gridCol w:w="60"/>
        <w:gridCol w:w="395"/>
        <w:gridCol w:w="824"/>
        <w:gridCol w:w="60"/>
        <w:gridCol w:w="60"/>
        <w:gridCol w:w="406"/>
        <w:gridCol w:w="848"/>
        <w:gridCol w:w="80"/>
        <w:gridCol w:w="60"/>
        <w:gridCol w:w="146"/>
        <w:gridCol w:w="693"/>
        <w:gridCol w:w="60"/>
        <w:gridCol w:w="60"/>
        <w:gridCol w:w="304"/>
        <w:gridCol w:w="1444"/>
        <w:gridCol w:w="60"/>
        <w:gridCol w:w="60"/>
        <w:gridCol w:w="383"/>
        <w:gridCol w:w="1496"/>
        <w:gridCol w:w="66"/>
      </w:tblGrid>
      <w:tr>
        <w:trPr/>
        <w:tc>
          <w:tcPr>
            <w:tcW w:w="152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553" w:type="dxa"/>
            <w:gridSpan w:val="2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 2020</w:t>
            </w:r>
          </w:p>
        </w:tc>
        <w:tc>
          <w:tcPr>
            <w:tcW w:w="66" w:type="dxa"/>
            <w:tcBorders/>
            <w:shd w:fill="FFFFFF" w:val="clear"/>
            <w:vAlign w:val="center"/>
          </w:tcPr>
          <w:p>
            <w:pPr>
              <w:pStyle w:val="TableContents"/>
              <w:spacing w:before="0" w:after="283"/>
              <w:rPr/>
            </w:pPr>
            <w:r>
              <w:rPr/>
              <w:t> </w:t>
            </w:r>
          </w:p>
        </w:tc>
      </w:tr>
      <w:tr>
        <w:trPr/>
        <w:tc>
          <w:tcPr>
            <w:tcW w:w="152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9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4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Cash and Cash Equivalents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7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Current Marketable Securities</w:t>
            </w:r>
          </w:p>
        </w:tc>
        <w:tc>
          <w:tcPr>
            <w:tcW w:w="66" w:type="dxa"/>
            <w:tcBorders/>
            <w:shd w:fill="FFFFFF" w:val="clear"/>
            <w:vAlign w:val="center"/>
          </w:tcPr>
          <w:p>
            <w:pPr>
              <w:pStyle w:val="TableContents"/>
              <w:spacing w:before="0" w:after="283"/>
              <w:rPr/>
            </w:pPr>
            <w:r>
              <w:rPr/>
              <w:t> </w:t>
            </w:r>
          </w:p>
        </w:tc>
      </w:tr>
      <w:tr>
        <w:trPr/>
        <w:tc>
          <w:tcPr>
            <w:tcW w:w="1526"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FFFFFF" w:val="clear"/>
            <w:vAlign w:val="center"/>
          </w:tcPr>
          <w:p>
            <w:pPr>
              <w:pStyle w:val="TableContents"/>
              <w:spacing w:before="0" w:after="283"/>
              <w:ind w:left="0" w:right="0" w:hanging="0"/>
              <w:rPr/>
            </w:pPr>
            <w:r>
              <w:rPr/>
              <w:t> </w:t>
            </w:r>
          </w:p>
        </w:tc>
        <w:tc>
          <w:tcPr>
            <w:tcW w:w="17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31,558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0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8"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31,558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4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31,558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8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96" w:type="dxa"/>
            <w:tcBorders/>
            <w:shd w:fill="FFFFFF" w:val="clear"/>
            <w:vAlign w:val="center"/>
          </w:tcPr>
          <w:p>
            <w:pPr>
              <w:pStyle w:val="TableContents"/>
              <w:spacing w:before="0" w:after="283"/>
              <w:ind w:left="0" w:right="0" w:hanging="0"/>
              <w:jc w:val="right"/>
              <w:rPr/>
            </w:pPr>
            <w:r>
              <w:rPr/>
              <w:t>—</w:t>
            </w:r>
          </w:p>
        </w:tc>
        <w:tc>
          <w:tcPr>
            <w:tcW w:w="66" w:type="dxa"/>
            <w:tcBorders/>
            <w:shd w:fill="FFFFFF" w:val="clear"/>
            <w:vAlign w:val="center"/>
          </w:tcPr>
          <w:p>
            <w:pPr>
              <w:pStyle w:val="TableContents"/>
              <w:spacing w:before="0" w:after="283"/>
              <w:rPr/>
            </w:pPr>
            <w:r>
              <w:rPr/>
              <w:t> </w:t>
            </w:r>
          </w:p>
        </w:tc>
      </w:tr>
      <w:tr>
        <w:trPr/>
        <w:tc>
          <w:tcPr>
            <w:tcW w:w="1526"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82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5" w:type="dxa"/>
            <w:tcBorders/>
            <w:shd w:fill="CCEEFF" w:val="clear"/>
            <w:vAlign w:val="center"/>
          </w:tcPr>
          <w:p>
            <w:pPr>
              <w:pStyle w:val="TableContents"/>
              <w:spacing w:before="0" w:after="283"/>
              <w:rPr/>
            </w:pPr>
            <w:r>
              <w:rPr/>
              <w:t> </w:t>
            </w:r>
          </w:p>
        </w:tc>
        <w:tc>
          <w:tcPr>
            <w:tcW w:w="8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06" w:type="dxa"/>
            <w:tcBorders/>
            <w:shd w:fill="CCEEFF" w:val="clear"/>
            <w:vAlign w:val="center"/>
          </w:tcPr>
          <w:p>
            <w:pPr>
              <w:pStyle w:val="TableContents"/>
              <w:spacing w:before="0" w:after="283"/>
              <w:rPr/>
            </w:pPr>
            <w:r>
              <w:rPr/>
              <w:t> </w:t>
            </w:r>
          </w:p>
        </w:tc>
        <w:tc>
          <w:tcPr>
            <w:tcW w:w="84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9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3" w:type="dxa"/>
            <w:tcBorders/>
            <w:shd w:fill="CCEEFF" w:val="clear"/>
            <w:vAlign w:val="center"/>
          </w:tcPr>
          <w:p>
            <w:pPr>
              <w:pStyle w:val="TableContents"/>
              <w:spacing w:before="0" w:after="283"/>
              <w:rPr/>
            </w:pPr>
            <w:r>
              <w:rPr/>
              <w:t> </w:t>
            </w:r>
          </w:p>
        </w:tc>
        <w:tc>
          <w:tcPr>
            <w:tcW w:w="149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r>
      <w:tr>
        <w:trPr/>
        <w:tc>
          <w:tcPr>
            <w:tcW w:w="1526"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Time deposits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82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ind w:left="0" w:right="0" w:hanging="0"/>
              <w:rPr/>
            </w:pPr>
            <w:r>
              <w:rPr/>
              <w:t> </w:t>
            </w:r>
          </w:p>
        </w:tc>
        <w:tc>
          <w:tcPr>
            <w:tcW w:w="824"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06" w:type="dxa"/>
            <w:tcBorders/>
            <w:shd w:fill="FFFFFF" w:val="clear"/>
            <w:vAlign w:val="center"/>
          </w:tcPr>
          <w:p>
            <w:pPr>
              <w:pStyle w:val="TableContents"/>
              <w:spacing w:before="0" w:after="283"/>
              <w:ind w:left="0" w:right="0" w:hanging="0"/>
              <w:rPr/>
            </w:pPr>
            <w:r>
              <w:rPr/>
              <w:t> </w:t>
            </w:r>
          </w:p>
        </w:tc>
        <w:tc>
          <w:tcPr>
            <w:tcW w:w="848"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ind w:left="0" w:right="0" w:hanging="0"/>
              <w:rPr/>
            </w:pPr>
            <w:r>
              <w:rPr/>
              <w:t> </w:t>
            </w:r>
          </w:p>
        </w:tc>
        <w:tc>
          <w:tcPr>
            <w:tcW w:w="69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4" w:type="dxa"/>
            <w:tcBorders/>
            <w:shd w:fill="FFFFFF" w:val="clear"/>
            <w:vAlign w:val="center"/>
          </w:tcPr>
          <w:p>
            <w:pPr>
              <w:pStyle w:val="TableContents"/>
              <w:spacing w:before="0" w:after="283"/>
              <w:ind w:left="0" w:right="0" w:hanging="0"/>
              <w:rPr/>
            </w:pPr>
            <w:r>
              <w:rPr/>
              <w:t> </w:t>
            </w:r>
          </w:p>
        </w:tc>
        <w:tc>
          <w:tcPr>
            <w:tcW w:w="144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83" w:type="dxa"/>
            <w:tcBorders/>
            <w:shd w:fill="FFFFFF" w:val="clear"/>
            <w:vAlign w:val="center"/>
          </w:tcPr>
          <w:p>
            <w:pPr>
              <w:pStyle w:val="TableContents"/>
              <w:spacing w:before="0" w:after="283"/>
              <w:ind w:left="0" w:right="0" w:hanging="0"/>
              <w:rPr/>
            </w:pPr>
            <w:r>
              <w:rPr/>
              <w:t> </w:t>
            </w:r>
          </w:p>
        </w:tc>
        <w:tc>
          <w:tcPr>
            <w:tcW w:w="14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5,013</w:t>
            </w:r>
          </w:p>
        </w:tc>
        <w:tc>
          <w:tcPr>
            <w:tcW w:w="66" w:type="dxa"/>
            <w:tcBorders/>
            <w:shd w:fill="FFFFFF" w:val="clear"/>
            <w:vAlign w:val="center"/>
          </w:tcPr>
          <w:p>
            <w:pPr>
              <w:pStyle w:val="TableContents"/>
              <w:spacing w:before="0" w:after="283"/>
              <w:rPr/>
            </w:pPr>
            <w:r>
              <w:rPr/>
              <w:t> </w:t>
            </w:r>
          </w:p>
        </w:tc>
      </w:tr>
      <w:tr>
        <w:trPr/>
        <w:tc>
          <w:tcPr>
            <w:tcW w:w="1526"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Corporate debt securities</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2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24"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0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4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444"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49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4,915</w:t>
            </w:r>
          </w:p>
        </w:tc>
        <w:tc>
          <w:tcPr>
            <w:tcW w:w="66" w:type="dxa"/>
            <w:tcBorders/>
            <w:shd w:fill="CCEEFF" w:val="clear"/>
            <w:vAlign w:val="center"/>
          </w:tcPr>
          <w:p>
            <w:pPr>
              <w:pStyle w:val="TableContents"/>
              <w:spacing w:before="0" w:after="283"/>
              <w:rPr/>
            </w:pPr>
            <w:r>
              <w:rPr/>
              <w:t> </w:t>
            </w:r>
          </w:p>
        </w:tc>
      </w:tr>
      <w:tr>
        <w:trPr/>
        <w:tc>
          <w:tcPr>
            <w:tcW w:w="1526"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46,502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0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4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46,494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4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36,566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8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9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9,928</w:t>
            </w:r>
          </w:p>
        </w:tc>
        <w:tc>
          <w:tcPr>
            <w:tcW w:w="66"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Times;serif" w:hAnsi="Times New Roman;Times;serif"/>
          <w:sz w:val="20"/>
        </w:rPr>
        <w:t xml:space="preserve">The carrying amounts of the marketable securities reported in the Consolidated Balance Sheets approximate fair value based on quoted market prices or alternative pricing sources and models utilizing market observable inputs. As of </w:t>
      </w:r>
      <w:r>
        <w:rPr>
          <w:rStyle w:val="Emphasis"/>
          <w:rFonts w:ascii="Times New Roman;Times;serif" w:hAnsi="Times New Roman;Times;serif"/>
          <w:sz w:val="20"/>
        </w:rPr>
        <w:t>December 31, 2021</w:t>
      </w:r>
      <w:r>
        <w:rPr>
          <w:rFonts w:ascii="Times New Roman;Times;serif" w:hAnsi="Times New Roman;Times;serif"/>
          <w:sz w:val="20"/>
        </w:rPr>
        <w:t xml:space="preserve">, the Company does </w:t>
      </w:r>
      <w:r>
        <w:rPr>
          <w:rStyle w:val="Emphasis"/>
          <w:rFonts w:ascii="Times New Roman;Times;serif" w:hAnsi="Times New Roman;Times;serif"/>
          <w:sz w:val="20"/>
        </w:rPr>
        <w:t>not</w:t>
      </w:r>
      <w:r>
        <w:rPr>
          <w:rFonts w:ascii="Times New Roman;Times;serif" w:hAnsi="Times New Roman;Times;serif"/>
          <w:sz w:val="20"/>
        </w:rPr>
        <w:t xml:space="preserve"> consider any of its marketable securities to be other than temporarily impaired. During the years ended </w:t>
      </w:r>
      <w:r>
        <w:rPr>
          <w:rStyle w:val="Emphasis"/>
          <w:rFonts w:ascii="Times New Roman;Times;serif" w:hAnsi="Times New Roman;Times;serif"/>
          <w:sz w:val="20"/>
        </w:rPr>
        <w:t xml:space="preserve">December 31, 2021 </w:t>
      </w:r>
      <w:r>
        <w:rPr>
          <w:rFonts w:ascii="Times New Roman;Times;serif" w:hAnsi="Times New Roman;Times;serif"/>
          <w:sz w:val="20"/>
        </w:rPr>
        <w:t xml:space="preserve">and </w:t>
      </w:r>
      <w:r>
        <w:rPr>
          <w:rStyle w:val="Emphasis"/>
          <w:rFonts w:ascii="Times New Roman;Times;serif" w:hAnsi="Times New Roman;Times;serif"/>
          <w:sz w:val="20"/>
        </w:rPr>
        <w:t>2020</w:t>
      </w:r>
      <w:r>
        <w:rPr>
          <w:rFonts w:ascii="Times New Roman;Times;serif" w:hAnsi="Times New Roman;Times;serif"/>
          <w:sz w:val="20"/>
        </w:rPr>
        <w:t xml:space="preserve">, the Company did </w:t>
      </w:r>
      <w:r>
        <w:rPr>
          <w:rStyle w:val="Emphasis"/>
          <w:rFonts w:ascii="Times New Roman;Times;serif" w:hAnsi="Times New Roman;Times;serif"/>
          <w:sz w:val="20"/>
        </w:rPr>
        <w:t>not</w:t>
      </w:r>
      <w:r>
        <w:rPr>
          <w:rFonts w:ascii="Times New Roman;Times;serif" w:hAnsi="Times New Roman;Times;serif"/>
          <w:sz w:val="20"/>
        </w:rPr>
        <w:t xml:space="preserve"> reclassify any items out of accumulated other comprehensive income to net income. All investments in marketable securities are classified as a current asset on the Consolidated Balance Sheet because the underlying securities mature within </w:t>
      </w:r>
      <w:r>
        <w:rPr>
          <w:rStyle w:val="Emphasis"/>
          <w:rFonts w:ascii="Times New Roman;Times;serif" w:hAnsi="Times New Roman;Times;serif"/>
          <w:sz w:val="20"/>
        </w:rPr>
        <w:t>one</w:t>
      </w:r>
      <w:r>
        <w:rPr>
          <w:rFonts w:ascii="Times New Roman;Times;serif" w:hAnsi="Times New Roman;Times;serif"/>
          <w:sz w:val="20"/>
        </w:rPr>
        <w:t xml:space="preserve"> year from the balance sheet date.</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REVENUE RECOGNITION AND SALES COMMISSIONS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are recognized when control of the promised goods or services is transferred to the customer in an amount that reflects the consideration the Company expects to be entitled in exchange for transferring those goods or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following table represents revenues included in continuing operations disaggregated by revenue source for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(in thousands). Sales taxes are excluded from revenues.</w:t>
      </w:r>
    </w:p>
    <w:p>
      <w:pPr>
        <w:pStyle w:val="TextBody"/>
        <w:spacing w:before="0" w:after="0"/>
        <w:ind w:left="0" w:right="0" w:hanging="0"/>
        <w:rPr>
          <w:caps w:val="false"/>
          <w:smallCaps w:val="false"/>
        </w:rPr>
      </w:pPr>
      <w:r>
        <w:rPr>
          <w:caps w:val="false"/>
          <w:smallCaps w:val="false"/>
        </w:rPr>
        <w:t> </w:t>
      </w:r>
    </w:p>
    <w:tbl>
      <w:tblPr>
        <w:tblW w:w="6528" w:type="dxa"/>
        <w:jc w:val="left"/>
        <w:tblInd w:w="0" w:type="dxa"/>
        <w:tblCellMar>
          <w:top w:w="0" w:type="dxa"/>
          <w:left w:w="0" w:type="dxa"/>
          <w:bottom w:w="0" w:type="dxa"/>
          <w:right w:w="0" w:type="dxa"/>
        </w:tblCellMar>
      </w:tblPr>
      <w:tblGrid>
        <w:gridCol w:w="1745"/>
        <w:gridCol w:w="60"/>
        <w:gridCol w:w="261"/>
        <w:gridCol w:w="1468"/>
        <w:gridCol w:w="60"/>
        <w:gridCol w:w="60"/>
        <w:gridCol w:w="271"/>
        <w:gridCol w:w="1293"/>
        <w:gridCol w:w="60"/>
        <w:gridCol w:w="60"/>
        <w:gridCol w:w="172"/>
        <w:gridCol w:w="958"/>
        <w:gridCol w:w="60"/>
      </w:tblGrid>
      <w:tr>
        <w:trPr/>
        <w:tc>
          <w:tcPr>
            <w:tcW w:w="17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63"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 2021</w:t>
            </w:r>
          </w:p>
        </w:tc>
        <w:tc>
          <w:tcPr>
            <w:tcW w:w="60" w:type="dxa"/>
            <w:tcBorders/>
            <w:shd w:fill="FFFFFF" w:val="clear"/>
            <w:vAlign w:val="center"/>
          </w:tcPr>
          <w:p>
            <w:pPr>
              <w:pStyle w:val="TableContents"/>
              <w:spacing w:before="0" w:after="283"/>
              <w:rPr/>
            </w:pPr>
            <w:r>
              <w:rPr/>
              <w:t> </w:t>
            </w:r>
          </w:p>
        </w:tc>
      </w:tr>
      <w:tr>
        <w:trPr/>
        <w:tc>
          <w:tcPr>
            <w:tcW w:w="1745" w:type="dxa"/>
            <w:tcBorders>
              <w:bottom w:val="single" w:sz="2" w:space="0" w:color="000000"/>
            </w:tcBorders>
            <w:shd w:fill="FFFFFF" w:val="clear"/>
            <w:tcMar>
              <w:bottom w:w="28" w:type="dxa"/>
            </w:tcM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Business Segments</w:t>
            </w:r>
          </w:p>
        </w:tc>
        <w:tc>
          <w:tcPr>
            <w:tcW w:w="60" w:type="dxa"/>
            <w:tcBorders/>
            <w:shd w:fill="FFFFFF" w:val="clear"/>
            <w:vAlign w:val="center"/>
          </w:tcPr>
          <w:p>
            <w:pPr>
              <w:pStyle w:val="TableContents"/>
              <w:spacing w:before="0" w:after="283"/>
              <w:ind w:left="0" w:right="0" w:hanging="0"/>
              <w:rPr/>
            </w:pPr>
            <w:r>
              <w:rPr/>
              <w:t> </w:t>
            </w:r>
          </w:p>
        </w:tc>
        <w:tc>
          <w:tcPr>
            <w:tcW w:w="17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Workforce Solutions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Provider Solutions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Consolidated</w:t>
            </w:r>
          </w:p>
        </w:tc>
        <w:tc>
          <w:tcPr>
            <w:tcW w:w="60" w:type="dxa"/>
            <w:tcBorders/>
            <w:shd w:fill="FFFFFF" w:val="clear"/>
            <w:vAlign w:val="center"/>
          </w:tcPr>
          <w:p>
            <w:pPr>
              <w:pStyle w:val="TableContents"/>
              <w:spacing w:before="0" w:after="283"/>
              <w:rPr/>
            </w:pPr>
            <w:r>
              <w:rPr/>
              <w:t> </w:t>
            </w:r>
          </w:p>
        </w:tc>
      </w:tr>
      <w:tr>
        <w:trPr/>
        <w:tc>
          <w:tcPr>
            <w:tcW w:w="17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FFFFFF" w:val="clear"/>
            <w:vAlign w:val="center"/>
          </w:tcPr>
          <w:p>
            <w:pPr>
              <w:pStyle w:val="TableContents"/>
              <w:spacing w:before="0" w:after="283"/>
              <w:ind w:left="0" w:right="0" w:hanging="0"/>
              <w:rPr/>
            </w:pPr>
            <w:r>
              <w:rPr/>
              <w:t> </w:t>
            </w:r>
          </w:p>
        </w:tc>
        <w:tc>
          <w:tcPr>
            <w:tcW w:w="26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199,676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9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43,941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243,617</w:t>
            </w:r>
          </w:p>
        </w:tc>
        <w:tc>
          <w:tcPr>
            <w:tcW w:w="60" w:type="dxa"/>
            <w:tcBorders/>
            <w:shd w:fill="FFFFFF"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vAlign w:val="center"/>
          </w:tcPr>
          <w:p>
            <w:pPr>
              <w:pStyle w:val="TableContents"/>
              <w:spacing w:before="0" w:after="283"/>
              <w:rPr/>
            </w:pPr>
            <w:r>
              <w:rPr/>
              <w:t> </w:t>
            </w:r>
          </w:p>
        </w:tc>
        <w:tc>
          <w:tcPr>
            <w:tcW w:w="26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46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9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13,095</w:t>
            </w:r>
          </w:p>
        </w:tc>
        <w:tc>
          <w:tcPr>
            <w:tcW w:w="60" w:type="dxa"/>
            <w:tcBorders/>
            <w:shd w:fill="CCEEFF" w:val="clear"/>
            <w:vAlign w:val="center"/>
          </w:tcPr>
          <w:p>
            <w:pPr>
              <w:pStyle w:val="TableContents"/>
              <w:spacing w:before="0" w:after="283"/>
              <w:rPr/>
            </w:pPr>
            <w:r>
              <w:rPr/>
              <w:t> </w:t>
            </w:r>
          </w:p>
        </w:tc>
      </w:tr>
      <w:tr>
        <w:trPr/>
        <w:tc>
          <w:tcPr>
            <w:tcW w:w="174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FFFFFF" w:val="clear"/>
            <w:vAlign w:val="center"/>
          </w:tcPr>
          <w:p>
            <w:pPr>
              <w:pStyle w:val="TableContents"/>
              <w:spacing w:before="0" w:after="283"/>
              <w:ind w:left="0" w:right="0" w:hanging="0"/>
              <w:rPr/>
            </w:pPr>
            <w:r>
              <w:rPr/>
              <w:t> </w:t>
            </w:r>
          </w:p>
        </w:tc>
        <w:tc>
          <w:tcPr>
            <w:tcW w:w="26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6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205,443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9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51,269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256,712</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tbl>
      <w:tblPr>
        <w:tblW w:w="6528" w:type="dxa"/>
        <w:jc w:val="left"/>
        <w:tblInd w:w="0" w:type="dxa"/>
        <w:tblCellMar>
          <w:top w:w="0" w:type="dxa"/>
          <w:left w:w="0" w:type="dxa"/>
          <w:bottom w:w="0" w:type="dxa"/>
          <w:right w:w="0" w:type="dxa"/>
        </w:tblCellMar>
      </w:tblPr>
      <w:tblGrid>
        <w:gridCol w:w="1745"/>
        <w:gridCol w:w="60"/>
        <w:gridCol w:w="261"/>
        <w:gridCol w:w="1468"/>
        <w:gridCol w:w="60"/>
        <w:gridCol w:w="60"/>
        <w:gridCol w:w="271"/>
        <w:gridCol w:w="1293"/>
        <w:gridCol w:w="60"/>
        <w:gridCol w:w="60"/>
        <w:gridCol w:w="172"/>
        <w:gridCol w:w="958"/>
        <w:gridCol w:w="60"/>
      </w:tblGrid>
      <w:tr>
        <w:trPr/>
        <w:tc>
          <w:tcPr>
            <w:tcW w:w="17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63"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 2020</w:t>
            </w:r>
          </w:p>
        </w:tc>
        <w:tc>
          <w:tcPr>
            <w:tcW w:w="60" w:type="dxa"/>
            <w:tcBorders/>
            <w:shd w:fill="FFFFFF" w:val="clear"/>
            <w:vAlign w:val="center"/>
          </w:tcPr>
          <w:p>
            <w:pPr>
              <w:pStyle w:val="TableContents"/>
              <w:spacing w:before="0" w:after="283"/>
              <w:rPr/>
            </w:pPr>
            <w:r>
              <w:rPr/>
              <w:t> </w:t>
            </w:r>
          </w:p>
        </w:tc>
      </w:tr>
      <w:tr>
        <w:trPr/>
        <w:tc>
          <w:tcPr>
            <w:tcW w:w="1745" w:type="dxa"/>
            <w:tcBorders>
              <w:bottom w:val="single" w:sz="2" w:space="0" w:color="000000"/>
            </w:tcBorders>
            <w:shd w:fill="FFFFFF" w:val="clear"/>
            <w:tcMar>
              <w:bottom w:w="28" w:type="dxa"/>
            </w:tcM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Business Segments</w:t>
            </w:r>
          </w:p>
        </w:tc>
        <w:tc>
          <w:tcPr>
            <w:tcW w:w="60" w:type="dxa"/>
            <w:tcBorders/>
            <w:shd w:fill="FFFFFF" w:val="clear"/>
            <w:vAlign w:val="center"/>
          </w:tcPr>
          <w:p>
            <w:pPr>
              <w:pStyle w:val="TableContents"/>
              <w:spacing w:before="0" w:after="283"/>
              <w:ind w:left="0" w:right="0" w:hanging="0"/>
              <w:rPr/>
            </w:pPr>
            <w:r>
              <w:rPr/>
              <w:t> </w:t>
            </w:r>
          </w:p>
        </w:tc>
        <w:tc>
          <w:tcPr>
            <w:tcW w:w="17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Workforce Solutions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Provider Solutions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Consolidated</w:t>
            </w:r>
          </w:p>
        </w:tc>
        <w:tc>
          <w:tcPr>
            <w:tcW w:w="60" w:type="dxa"/>
            <w:tcBorders/>
            <w:shd w:fill="FFFFFF" w:val="clear"/>
            <w:vAlign w:val="center"/>
          </w:tcPr>
          <w:p>
            <w:pPr>
              <w:pStyle w:val="TableContents"/>
              <w:spacing w:before="0" w:after="283"/>
              <w:rPr/>
            </w:pPr>
            <w:r>
              <w:rPr/>
              <w:t> </w:t>
            </w:r>
          </w:p>
        </w:tc>
      </w:tr>
      <w:tr>
        <w:trPr/>
        <w:tc>
          <w:tcPr>
            <w:tcW w:w="17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FFFFFF" w:val="clear"/>
            <w:vAlign w:val="center"/>
          </w:tcPr>
          <w:p>
            <w:pPr>
              <w:pStyle w:val="TableContents"/>
              <w:spacing w:before="0" w:after="283"/>
              <w:ind w:left="0" w:right="0" w:hanging="0"/>
              <w:rPr/>
            </w:pPr>
            <w:r>
              <w:rPr/>
              <w:t> </w:t>
            </w:r>
          </w:p>
        </w:tc>
        <w:tc>
          <w:tcPr>
            <w:tcW w:w="26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193,673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9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40,237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233,910</w:t>
            </w:r>
          </w:p>
        </w:tc>
        <w:tc>
          <w:tcPr>
            <w:tcW w:w="60" w:type="dxa"/>
            <w:tcBorders/>
            <w:shd w:fill="FFFFFF"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vAlign w:val="center"/>
          </w:tcPr>
          <w:p>
            <w:pPr>
              <w:pStyle w:val="TableContents"/>
              <w:spacing w:before="0" w:after="283"/>
              <w:rPr/>
            </w:pPr>
            <w:r>
              <w:rPr/>
              <w:t> </w:t>
            </w:r>
          </w:p>
        </w:tc>
        <w:tc>
          <w:tcPr>
            <w:tcW w:w="26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46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3,914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9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10,916</w:t>
            </w:r>
          </w:p>
        </w:tc>
        <w:tc>
          <w:tcPr>
            <w:tcW w:w="60" w:type="dxa"/>
            <w:tcBorders/>
            <w:shd w:fill="CCEEFF" w:val="clear"/>
            <w:vAlign w:val="center"/>
          </w:tcPr>
          <w:p>
            <w:pPr>
              <w:pStyle w:val="TableContents"/>
              <w:spacing w:before="0" w:after="283"/>
              <w:rPr/>
            </w:pPr>
            <w:r>
              <w:rPr/>
              <w:t> </w:t>
            </w:r>
          </w:p>
        </w:tc>
      </w:tr>
      <w:tr>
        <w:trPr/>
        <w:tc>
          <w:tcPr>
            <w:tcW w:w="174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FFFFFF" w:val="clear"/>
            <w:vAlign w:val="center"/>
          </w:tcPr>
          <w:p>
            <w:pPr>
              <w:pStyle w:val="TableContents"/>
              <w:spacing w:before="0" w:after="283"/>
              <w:ind w:left="0" w:right="0" w:hanging="0"/>
              <w:rPr/>
            </w:pPr>
            <w:r>
              <w:rPr/>
              <w:t> </w:t>
            </w:r>
          </w:p>
        </w:tc>
        <w:tc>
          <w:tcPr>
            <w:tcW w:w="26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6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197,587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9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47,239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244,826</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tbl>
      <w:tblPr>
        <w:tblW w:w="6528" w:type="dxa"/>
        <w:jc w:val="left"/>
        <w:tblInd w:w="0" w:type="dxa"/>
        <w:tblCellMar>
          <w:top w:w="0" w:type="dxa"/>
          <w:left w:w="0" w:type="dxa"/>
          <w:bottom w:w="0" w:type="dxa"/>
          <w:right w:w="0" w:type="dxa"/>
        </w:tblCellMar>
      </w:tblPr>
      <w:tblGrid>
        <w:gridCol w:w="1745"/>
        <w:gridCol w:w="60"/>
        <w:gridCol w:w="261"/>
        <w:gridCol w:w="1468"/>
        <w:gridCol w:w="60"/>
        <w:gridCol w:w="60"/>
        <w:gridCol w:w="271"/>
        <w:gridCol w:w="1293"/>
        <w:gridCol w:w="60"/>
        <w:gridCol w:w="60"/>
        <w:gridCol w:w="172"/>
        <w:gridCol w:w="958"/>
        <w:gridCol w:w="60"/>
      </w:tblGrid>
      <w:tr>
        <w:trPr/>
        <w:tc>
          <w:tcPr>
            <w:tcW w:w="17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63"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 2019</w:t>
            </w:r>
          </w:p>
        </w:tc>
        <w:tc>
          <w:tcPr>
            <w:tcW w:w="60" w:type="dxa"/>
            <w:tcBorders/>
            <w:shd w:fill="FFFFFF" w:val="clear"/>
            <w:vAlign w:val="center"/>
          </w:tcPr>
          <w:p>
            <w:pPr>
              <w:pStyle w:val="TableContents"/>
              <w:spacing w:before="0" w:after="283"/>
              <w:rPr/>
            </w:pPr>
            <w:r>
              <w:rPr/>
              <w:t> </w:t>
            </w:r>
          </w:p>
        </w:tc>
      </w:tr>
      <w:tr>
        <w:trPr/>
        <w:tc>
          <w:tcPr>
            <w:tcW w:w="1745" w:type="dxa"/>
            <w:tcBorders>
              <w:bottom w:val="single" w:sz="2" w:space="0" w:color="000000"/>
            </w:tcBorders>
            <w:shd w:fill="FFFFFF" w:val="clear"/>
            <w:tcMar>
              <w:bottom w:w="28" w:type="dxa"/>
            </w:tcM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Business Segments</w:t>
            </w:r>
          </w:p>
        </w:tc>
        <w:tc>
          <w:tcPr>
            <w:tcW w:w="60" w:type="dxa"/>
            <w:tcBorders/>
            <w:shd w:fill="FFFFFF" w:val="clear"/>
            <w:vAlign w:val="center"/>
          </w:tcPr>
          <w:p>
            <w:pPr>
              <w:pStyle w:val="TableContents"/>
              <w:spacing w:before="0" w:after="283"/>
              <w:ind w:left="0" w:right="0" w:hanging="0"/>
              <w:rPr/>
            </w:pPr>
            <w:r>
              <w:rPr/>
              <w:t> </w:t>
            </w:r>
          </w:p>
        </w:tc>
        <w:tc>
          <w:tcPr>
            <w:tcW w:w="17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Workforce Solutions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Provider Solutions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Consolidated</w:t>
            </w:r>
          </w:p>
        </w:tc>
        <w:tc>
          <w:tcPr>
            <w:tcW w:w="60" w:type="dxa"/>
            <w:tcBorders/>
            <w:shd w:fill="FFFFFF" w:val="clear"/>
            <w:vAlign w:val="center"/>
          </w:tcPr>
          <w:p>
            <w:pPr>
              <w:pStyle w:val="TableContents"/>
              <w:spacing w:before="0" w:after="283"/>
              <w:rPr/>
            </w:pPr>
            <w:r>
              <w:rPr/>
              <w:t> </w:t>
            </w:r>
          </w:p>
        </w:tc>
      </w:tr>
      <w:tr>
        <w:trPr/>
        <w:tc>
          <w:tcPr>
            <w:tcW w:w="17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FFFFFF" w:val="clear"/>
            <w:vAlign w:val="center"/>
          </w:tcPr>
          <w:p>
            <w:pPr>
              <w:pStyle w:val="TableContents"/>
              <w:spacing w:before="0" w:after="283"/>
              <w:ind w:left="0" w:right="0" w:hanging="0"/>
              <w:rPr/>
            </w:pPr>
            <w:r>
              <w:rPr/>
              <w:t> </w:t>
            </w:r>
          </w:p>
        </w:tc>
        <w:tc>
          <w:tcPr>
            <w:tcW w:w="26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202,479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9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240,501</w:t>
            </w:r>
          </w:p>
        </w:tc>
        <w:tc>
          <w:tcPr>
            <w:tcW w:w="60" w:type="dxa"/>
            <w:tcBorders/>
            <w:shd w:fill="FFFFFF"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vAlign w:val="center"/>
          </w:tcPr>
          <w:p>
            <w:pPr>
              <w:pStyle w:val="TableContents"/>
              <w:spacing w:before="0" w:after="283"/>
              <w:rPr/>
            </w:pPr>
            <w:r>
              <w:rPr/>
              <w:t> </w:t>
            </w:r>
          </w:p>
        </w:tc>
        <w:tc>
          <w:tcPr>
            <w:tcW w:w="26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46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29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13,611</w:t>
            </w:r>
          </w:p>
        </w:tc>
        <w:tc>
          <w:tcPr>
            <w:tcW w:w="60" w:type="dxa"/>
            <w:tcBorders/>
            <w:shd w:fill="CCEEFF" w:val="clear"/>
            <w:vAlign w:val="center"/>
          </w:tcPr>
          <w:p>
            <w:pPr>
              <w:pStyle w:val="TableContents"/>
              <w:spacing w:before="0" w:after="283"/>
              <w:rPr/>
            </w:pPr>
            <w:r>
              <w:rPr/>
              <w:t> </w:t>
            </w:r>
          </w:p>
        </w:tc>
      </w:tr>
      <w:tr>
        <w:trPr/>
        <w:tc>
          <w:tcPr>
            <w:tcW w:w="174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FFFFFF" w:val="clear"/>
            <w:vAlign w:val="center"/>
          </w:tcPr>
          <w:p>
            <w:pPr>
              <w:pStyle w:val="TableContents"/>
              <w:spacing w:before="0" w:after="283"/>
              <w:ind w:left="0" w:right="0" w:hanging="0"/>
              <w:rPr/>
            </w:pPr>
            <w:r>
              <w:rPr/>
              <w:t> </w:t>
            </w:r>
          </w:p>
        </w:tc>
        <w:tc>
          <w:tcPr>
            <w:tcW w:w="26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6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208,599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9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45,513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254,112</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For the years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we recognized $0.7 million and $0.3 million, respectively, in impairment losses on receivables and contract assets arising from the Company’s contracts with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During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we recognized revenues of $62.3 million, $64.5 million, and $64.7 million from amounts included in deferred revenue at the beginning of the respective period.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$451 million of revenue is expected to be recognized from remaining performance obligations under contracts with customers. We expect to recognize revenue on approximately 47% of these remaining performance obligations over the 12 months ending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with the remaining amounts recognized thereafter.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Commissions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Sales commissions earned by our sales employees are considered incremental and recoverable costs of obtaining a contract with a customer.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costs to acquire contracts with customers, such as the initial sales commission payment and associated payroll taxes, are capitalized in the period a customer contract is entered into and are amortized consistent with the transfer of the goods or services to the customer over the expected period of benefit, whereas subsequent sales commission payments which require a substantive performance condition of the employee are expensed ratably through the payment date. Capitalized contract costs are included in deferred commissions in the accompanying Condensed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commensurate with initial commissions. Non-commensurate commissions are amortized over the greater of the contract term or technological obsolescence period of approximately three years. The Company recorded amortization of deferred commissions of $9.2 million, $8.8 million, and $8.3 million for the years ended </w:t>
      </w:r>
      <w:r>
        <w:rPr>
          <w:rStyle w:val="Emphasis"/>
          <w:rFonts w:ascii="Times New Roman" w:hAnsi="Times New Roman"/>
          <w:caps w:val="false"/>
          <w:smallCaps w:val="false"/>
          <w:sz w:val="20"/>
        </w:rPr>
        <w:t>December 31, 2021, 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which is included in sales and marketing expenses in the accompanying Consolidated Statements of Income.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jc w:val="left"/>
        <w:rPr/>
      </w:pPr>
      <w:r>
        <w:rPr/>
        <w:t xml:space="preserve">  </w:t>
      </w:r>
    </w:p>
    <w:p>
      <w:pPr>
        <w:pStyle w:val="TextBody"/>
        <w:jc w:val="left"/>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PROPERTY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consist of the following (in thousands): </w:t>
      </w:r>
    </w:p>
    <w:p>
      <w:pPr>
        <w:pStyle w:val="TextBody"/>
        <w:spacing w:before="0" w:after="0"/>
        <w:ind w:left="0" w:right="0" w:hanging="0"/>
        <w:rPr>
          <w:caps w:val="false"/>
          <w:smallCaps w:val="false"/>
        </w:rPr>
      </w:pPr>
      <w:r>
        <w:rPr>
          <w:caps w:val="false"/>
          <w:smallCaps w:val="false"/>
        </w:rPr>
        <w:t> </w:t>
      </w:r>
    </w:p>
    <w:tbl>
      <w:tblPr>
        <w:tblW w:w="5420" w:type="dxa"/>
        <w:jc w:val="left"/>
        <w:tblInd w:w="0" w:type="dxa"/>
        <w:tblCellMar>
          <w:top w:w="0" w:type="dxa"/>
          <w:left w:w="0" w:type="dxa"/>
          <w:bottom w:w="0" w:type="dxa"/>
          <w:right w:w="0" w:type="dxa"/>
        </w:tblCellMar>
      </w:tblPr>
      <w:tblGrid>
        <w:gridCol w:w="3590"/>
        <w:gridCol w:w="60"/>
        <w:gridCol w:w="125"/>
        <w:gridCol w:w="650"/>
        <w:gridCol w:w="80"/>
        <w:gridCol w:w="60"/>
        <w:gridCol w:w="125"/>
        <w:gridCol w:w="650"/>
        <w:gridCol w:w="80"/>
      </w:tblGrid>
      <w:tr>
        <w:trPr/>
        <w:tc>
          <w:tcPr>
            <w:tcW w:w="3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90"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r>
      <w:tr>
        <w:trPr/>
        <w:tc>
          <w:tcPr>
            <w:tcW w:w="3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r>
      <w:tr>
        <w:trPr/>
        <w:tc>
          <w:tcPr>
            <w:tcW w:w="35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Equipment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15,987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21,401</w:t>
            </w:r>
          </w:p>
        </w:tc>
        <w:tc>
          <w:tcPr>
            <w:tcW w:w="80" w:type="dxa"/>
            <w:tcBorders/>
            <w:shd w:fill="CCEEFF" w:val="clear"/>
            <w:vAlign w:val="center"/>
          </w:tcPr>
          <w:p>
            <w:pPr>
              <w:pStyle w:val="TableContents"/>
              <w:spacing w:before="0" w:after="283"/>
              <w:rPr/>
            </w:pPr>
            <w:r>
              <w:rPr/>
              <w:t> </w:t>
            </w:r>
          </w:p>
        </w:tc>
      </w:tr>
      <w:tr>
        <w:trPr/>
        <w:tc>
          <w:tcPr>
            <w:tcW w:w="359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14,937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14,980</w:t>
            </w:r>
          </w:p>
        </w:tc>
        <w:tc>
          <w:tcPr>
            <w:tcW w:w="80" w:type="dxa"/>
            <w:tcBorders/>
            <w:shd w:fill="FFFFFF" w:val="clear"/>
            <w:vAlign w:val="center"/>
          </w:tcPr>
          <w:p>
            <w:pPr>
              <w:pStyle w:val="TableContents"/>
              <w:spacing w:before="0" w:after="283"/>
              <w:rPr/>
            </w:pPr>
            <w:r>
              <w:rPr/>
              <w:t> </w:t>
            </w:r>
          </w:p>
        </w:tc>
      </w:tr>
      <w:tr>
        <w:trPr/>
        <w:tc>
          <w:tcPr>
            <w:tcW w:w="35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5,025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5,074</w:t>
            </w:r>
          </w:p>
        </w:tc>
        <w:tc>
          <w:tcPr>
            <w:tcW w:w="80" w:type="dxa"/>
            <w:tcBorders/>
            <w:shd w:fill="CCEEFF" w:val="clear"/>
            <w:vAlign w:val="center"/>
          </w:tcPr>
          <w:p>
            <w:pPr>
              <w:pStyle w:val="TableContents"/>
              <w:spacing w:before="0" w:after="283"/>
              <w:rPr/>
            </w:pPr>
            <w:r>
              <w:rPr/>
              <w:t> </w:t>
            </w:r>
          </w:p>
        </w:tc>
      </w:tr>
      <w:tr>
        <w:trPr/>
        <w:tc>
          <w:tcPr>
            <w:tcW w:w="359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Gross property and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35,949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41,455</w:t>
            </w:r>
          </w:p>
        </w:tc>
        <w:tc>
          <w:tcPr>
            <w:tcW w:w="80" w:type="dxa"/>
            <w:tcBorders/>
            <w:shd w:fill="FFFFFF" w:val="clear"/>
            <w:vAlign w:val="center"/>
          </w:tcPr>
          <w:p>
            <w:pPr>
              <w:pStyle w:val="TableContents"/>
              <w:spacing w:before="0" w:after="283"/>
              <w:rPr/>
            </w:pPr>
            <w:r>
              <w:rPr/>
              <w:t> </w:t>
            </w:r>
          </w:p>
        </w:tc>
      </w:tr>
      <w:tr>
        <w:trPr/>
        <w:tc>
          <w:tcPr>
            <w:tcW w:w="35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Accumulated depreciation and amortization</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(17,999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(19,237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59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17,950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22,218</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Depreciation of property and equipment totaled $6.3 million, $6.9 million, and $7.3 million for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respectively.</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GOODWILL AND INTANGIBLE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changes in the carrying amount of goodwill for the years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are as follows (in thousands):</w:t>
      </w:r>
    </w:p>
    <w:p>
      <w:pPr>
        <w:pStyle w:val="TextBody"/>
        <w:spacing w:before="0" w:after="0"/>
        <w:ind w:left="0" w:right="0" w:hanging="0"/>
        <w:rPr>
          <w:caps w:val="false"/>
          <w:smallCaps w:val="false"/>
        </w:rPr>
      </w:pPr>
      <w:r>
        <w:rPr>
          <w:caps w:val="false"/>
          <w:smallCaps w:val="false"/>
        </w:rPr>
        <w:t> </w:t>
      </w:r>
    </w:p>
    <w:tbl>
      <w:tblPr>
        <w:tblW w:w="7373" w:type="dxa"/>
        <w:jc w:val="left"/>
        <w:tblInd w:w="0" w:type="dxa"/>
        <w:tblCellMar>
          <w:top w:w="0" w:type="dxa"/>
          <w:left w:w="0" w:type="dxa"/>
          <w:bottom w:w="0" w:type="dxa"/>
          <w:right w:w="0" w:type="dxa"/>
        </w:tblCellMar>
      </w:tblPr>
      <w:tblGrid>
        <w:gridCol w:w="2900"/>
        <w:gridCol w:w="60"/>
        <w:gridCol w:w="261"/>
        <w:gridCol w:w="1468"/>
        <w:gridCol w:w="60"/>
        <w:gridCol w:w="60"/>
        <w:gridCol w:w="271"/>
        <w:gridCol w:w="1293"/>
        <w:gridCol w:w="60"/>
        <w:gridCol w:w="60"/>
        <w:gridCol w:w="125"/>
        <w:gridCol w:w="695"/>
        <w:gridCol w:w="60"/>
      </w:tblGrid>
      <w:tr>
        <w:trPr/>
        <w:tc>
          <w:tcPr>
            <w:tcW w:w="29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Workforce Solutions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Provider Solutions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spacing w:before="0" w:after="283"/>
              <w:rPr/>
            </w:pPr>
            <w:r>
              <w:rPr/>
              <w:t> </w:t>
            </w:r>
          </w:p>
        </w:tc>
      </w:tr>
      <w:tr>
        <w:trPr/>
        <w:tc>
          <w:tcPr>
            <w:tcW w:w="290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January 1, 2021</w:t>
            </w:r>
          </w:p>
        </w:tc>
        <w:tc>
          <w:tcPr>
            <w:tcW w:w="60" w:type="dxa"/>
            <w:tcBorders/>
            <w:shd w:fill="CCEEFF" w:val="clear"/>
            <w:vAlign w:val="center"/>
          </w:tcPr>
          <w:p>
            <w:pPr>
              <w:pStyle w:val="TableContents"/>
              <w:spacing w:before="0" w:after="283"/>
              <w:ind w:left="0" w:right="0" w:hanging="0"/>
              <w:rPr/>
            </w:pPr>
            <w:r>
              <w:rPr/>
              <w:t> </w:t>
            </w:r>
          </w:p>
        </w:tc>
        <w:tc>
          <w:tcPr>
            <w:tcW w:w="26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6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104,016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9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74,424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178,440</w:t>
            </w:r>
          </w:p>
        </w:tc>
        <w:tc>
          <w:tcPr>
            <w:tcW w:w="60" w:type="dxa"/>
            <w:tcBorders/>
            <w:shd w:fill="CCEEFF" w:val="clear"/>
            <w:vAlign w:val="center"/>
          </w:tcPr>
          <w:p>
            <w:pPr>
              <w:pStyle w:val="TableContents"/>
              <w:spacing w:before="0" w:after="283"/>
              <w:rPr/>
            </w:pPr>
            <w:r>
              <w:rPr/>
              <w:t> </w:t>
            </w:r>
          </w:p>
        </w:tc>
      </w:tr>
      <w:tr>
        <w:trPr/>
        <w:tc>
          <w:tcPr>
            <w:tcW w:w="290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Acquisition of ComplyALIGN</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ind w:left="0" w:right="0" w:hanging="0"/>
              <w:rPr/>
            </w:pPr>
            <w:r>
              <w:rPr/>
              <w:t> </w:t>
            </w:r>
          </w:p>
        </w:tc>
        <w:tc>
          <w:tcPr>
            <w:tcW w:w="14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ind w:left="0" w:right="0" w:hanging="0"/>
              <w:rPr/>
            </w:pPr>
            <w:r>
              <w:rPr/>
              <w:t> </w:t>
            </w:r>
          </w:p>
        </w:tc>
        <w:tc>
          <w:tcPr>
            <w:tcW w:w="1293"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945</w:t>
            </w:r>
          </w:p>
        </w:tc>
        <w:tc>
          <w:tcPr>
            <w:tcW w:w="60" w:type="dxa"/>
            <w:tcBorders/>
            <w:shd w:fill="FFFFFF" w:val="clear"/>
            <w:vAlign w:val="center"/>
          </w:tcPr>
          <w:p>
            <w:pPr>
              <w:pStyle w:val="TableContents"/>
              <w:spacing w:before="0" w:after="283"/>
              <w:rPr/>
            </w:pPr>
            <w:r>
              <w:rPr/>
              <w:t> </w:t>
            </w:r>
          </w:p>
        </w:tc>
      </w:tr>
      <w:tr>
        <w:trPr/>
        <w:tc>
          <w:tcPr>
            <w:tcW w:w="290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Acquisition of Rievent</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ind w:left="0" w:right="0" w:hanging="0"/>
              <w:rPr/>
            </w:pPr>
            <w:r>
              <w:rPr/>
              <w:t> </w:t>
            </w:r>
          </w:p>
        </w:tc>
        <w:tc>
          <w:tcPr>
            <w:tcW w:w="146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1,707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ind w:left="0" w:right="0" w:hanging="0"/>
              <w:rPr/>
            </w:pPr>
            <w:r>
              <w:rPr/>
              <w:t> </w:t>
            </w:r>
          </w:p>
        </w:tc>
        <w:tc>
          <w:tcPr>
            <w:tcW w:w="1293"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1,707</w:t>
            </w:r>
          </w:p>
        </w:tc>
        <w:tc>
          <w:tcPr>
            <w:tcW w:w="60" w:type="dxa"/>
            <w:tcBorders/>
            <w:shd w:fill="CCEEFF" w:val="clear"/>
            <w:vAlign w:val="center"/>
          </w:tcPr>
          <w:p>
            <w:pPr>
              <w:pStyle w:val="TableContents"/>
              <w:spacing w:before="0" w:after="283"/>
              <w:rPr/>
            </w:pPr>
            <w:r>
              <w:rPr/>
              <w:t> </w:t>
            </w:r>
          </w:p>
        </w:tc>
      </w:tr>
      <w:tr>
        <w:trPr/>
        <w:tc>
          <w:tcPr>
            <w:tcW w:w="290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Post-closing adjustment for ANSOS</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ind w:left="0" w:right="0" w:hanging="0"/>
              <w:rPr/>
            </w:pPr>
            <w:r>
              <w:rPr/>
              <w:t> </w:t>
            </w:r>
          </w:p>
        </w:tc>
        <w:tc>
          <w:tcPr>
            <w:tcW w:w="14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ind w:left="0" w:right="0" w:hanging="0"/>
              <w:rPr/>
            </w:pPr>
            <w:r>
              <w:rPr/>
              <w:t> </w:t>
            </w:r>
          </w:p>
        </w:tc>
        <w:tc>
          <w:tcPr>
            <w:tcW w:w="1293"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1,183</w:t>
            </w:r>
          </w:p>
        </w:tc>
        <w:tc>
          <w:tcPr>
            <w:tcW w:w="60" w:type="dxa"/>
            <w:tcBorders/>
            <w:shd w:fill="FFFFFF" w:val="clear"/>
            <w:vAlign w:val="center"/>
          </w:tcPr>
          <w:p>
            <w:pPr>
              <w:pStyle w:val="TableContents"/>
              <w:spacing w:before="0" w:after="283"/>
              <w:rPr/>
            </w:pPr>
            <w:r>
              <w:rPr/>
              <w:t> </w:t>
            </w:r>
          </w:p>
        </w:tc>
      </w:tr>
      <w:tr>
        <w:trPr/>
        <w:tc>
          <w:tcPr>
            <w:tcW w:w="29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exchange rate changes</w:t>
            </w:r>
          </w:p>
        </w:tc>
        <w:tc>
          <w:tcPr>
            <w:tcW w:w="60" w:type="dxa"/>
            <w:tcBorders/>
            <w:shd w:fill="CCEEFF" w:val="clear"/>
            <w:vAlign w:val="center"/>
          </w:tcPr>
          <w:p>
            <w:pPr>
              <w:pStyle w:val="TableContents"/>
              <w:spacing w:before="0" w:after="283"/>
              <w:ind w:left="0" w:right="0" w:hanging="0"/>
              <w:rPr/>
            </w:pPr>
            <w:r>
              <w:rPr/>
              <w:t> </w:t>
            </w:r>
          </w:p>
        </w:tc>
        <w:tc>
          <w:tcPr>
            <w:tcW w:w="26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468"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93" w:type="dxa"/>
            <w:tcBorders>
              <w:bottom w:val="single" w:sz="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226</w:t>
            </w:r>
          </w:p>
        </w:tc>
        <w:tc>
          <w:tcPr>
            <w:tcW w:w="60" w:type="dxa"/>
            <w:tcBorders/>
            <w:shd w:fill="CCEEFF" w:val="clear"/>
            <w:vAlign w:val="center"/>
          </w:tcPr>
          <w:p>
            <w:pPr>
              <w:pStyle w:val="TableContents"/>
              <w:spacing w:before="0" w:after="283"/>
              <w:rPr/>
            </w:pPr>
            <w:r>
              <w:rPr/>
              <w:t> </w:t>
            </w:r>
          </w:p>
        </w:tc>
      </w:tr>
      <w:tr>
        <w:trPr/>
        <w:tc>
          <w:tcPr>
            <w:tcW w:w="290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December 31, 2021</w:t>
            </w:r>
          </w:p>
        </w:tc>
        <w:tc>
          <w:tcPr>
            <w:tcW w:w="60" w:type="dxa"/>
            <w:tcBorders/>
            <w:shd w:fill="FFFFFF" w:val="clear"/>
            <w:vAlign w:val="center"/>
          </w:tcPr>
          <w:p>
            <w:pPr>
              <w:pStyle w:val="TableContents"/>
              <w:spacing w:before="0" w:after="283"/>
              <w:ind w:left="0" w:right="0" w:hanging="0"/>
              <w:rPr/>
            </w:pPr>
            <w:r>
              <w:rPr/>
              <w:t> </w:t>
            </w:r>
          </w:p>
        </w:tc>
        <w:tc>
          <w:tcPr>
            <w:tcW w:w="26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6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108,077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9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74,424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182,501</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8228" w:type="dxa"/>
        <w:jc w:val="left"/>
        <w:tblInd w:w="0" w:type="dxa"/>
        <w:tblCellMar>
          <w:top w:w="0" w:type="dxa"/>
          <w:left w:w="0" w:type="dxa"/>
          <w:bottom w:w="0" w:type="dxa"/>
          <w:right w:w="0" w:type="dxa"/>
        </w:tblCellMar>
      </w:tblPr>
      <w:tblGrid>
        <w:gridCol w:w="3755"/>
        <w:gridCol w:w="60"/>
        <w:gridCol w:w="261"/>
        <w:gridCol w:w="1468"/>
        <w:gridCol w:w="60"/>
        <w:gridCol w:w="60"/>
        <w:gridCol w:w="271"/>
        <w:gridCol w:w="1293"/>
        <w:gridCol w:w="60"/>
        <w:gridCol w:w="60"/>
        <w:gridCol w:w="125"/>
        <w:gridCol w:w="695"/>
        <w:gridCol w:w="60"/>
      </w:tblGrid>
      <w:tr>
        <w:trPr/>
        <w:tc>
          <w:tcPr>
            <w:tcW w:w="3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Workforce Solutions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Provider Solutions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spacing w:before="0" w:after="283"/>
              <w:rPr/>
            </w:pPr>
            <w:r>
              <w:rPr/>
              <w:t> </w:t>
            </w:r>
          </w:p>
        </w:tc>
      </w:tr>
      <w:tr>
        <w:trPr/>
        <w:tc>
          <w:tcPr>
            <w:tcW w:w="375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January 1, 2020</w:t>
            </w:r>
          </w:p>
        </w:tc>
        <w:tc>
          <w:tcPr>
            <w:tcW w:w="60" w:type="dxa"/>
            <w:tcBorders/>
            <w:shd w:fill="CCEEFF" w:val="clear"/>
            <w:vAlign w:val="center"/>
          </w:tcPr>
          <w:p>
            <w:pPr>
              <w:pStyle w:val="TableContents"/>
              <w:spacing w:before="0" w:after="283"/>
              <w:ind w:left="0" w:right="0" w:hanging="0"/>
              <w:rPr/>
            </w:pPr>
            <w:r>
              <w:rPr/>
              <w:t> </w:t>
            </w:r>
          </w:p>
        </w:tc>
        <w:tc>
          <w:tcPr>
            <w:tcW w:w="26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6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27,776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9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74,420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102,196</w:t>
            </w:r>
          </w:p>
        </w:tc>
        <w:tc>
          <w:tcPr>
            <w:tcW w:w="60" w:type="dxa"/>
            <w:tcBorders/>
            <w:shd w:fill="CCEEFF" w:val="clear"/>
            <w:vAlign w:val="center"/>
          </w:tcPr>
          <w:p>
            <w:pPr>
              <w:pStyle w:val="TableContents"/>
              <w:spacing w:before="0" w:after="283"/>
              <w:rPr/>
            </w:pPr>
            <w:r>
              <w:rPr/>
              <w:t> </w:t>
            </w:r>
          </w:p>
        </w:tc>
      </w:tr>
      <w:tr>
        <w:trPr/>
        <w:tc>
          <w:tcPr>
            <w:tcW w:w="375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Acquisition of NurseGrid</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ind w:left="0" w:right="0" w:hanging="0"/>
              <w:rPr/>
            </w:pPr>
            <w:r>
              <w:rPr/>
              <w:t> </w:t>
            </w:r>
          </w:p>
        </w:tc>
        <w:tc>
          <w:tcPr>
            <w:tcW w:w="146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21,085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ind w:left="0" w:right="0" w:hanging="0"/>
              <w:rPr/>
            </w:pPr>
            <w:r>
              <w:rPr/>
              <w:t> </w:t>
            </w:r>
          </w:p>
        </w:tc>
        <w:tc>
          <w:tcPr>
            <w:tcW w:w="1293"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21,085</w:t>
            </w:r>
          </w:p>
        </w:tc>
        <w:tc>
          <w:tcPr>
            <w:tcW w:w="60" w:type="dxa"/>
            <w:tcBorders/>
            <w:shd w:fill="FFFFFF" w:val="clear"/>
            <w:vAlign w:val="center"/>
          </w:tcPr>
          <w:p>
            <w:pPr>
              <w:pStyle w:val="TableContents"/>
              <w:spacing w:before="0" w:after="283"/>
              <w:rPr/>
            </w:pPr>
            <w:r>
              <w:rPr/>
              <w:t> </w:t>
            </w:r>
          </w:p>
        </w:tc>
      </w:tr>
      <w:tr>
        <w:trPr/>
        <w:tc>
          <w:tcPr>
            <w:tcW w:w="37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Acquisition of ShiftWizard</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 </w:t>
            </w:r>
          </w:p>
        </w:tc>
        <w:tc>
          <w:tcPr>
            <w:tcW w:w="146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19,307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 </w:t>
            </w:r>
          </w:p>
        </w:tc>
        <w:tc>
          <w:tcPr>
            <w:tcW w:w="1293"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19,307</w:t>
            </w:r>
          </w:p>
        </w:tc>
        <w:tc>
          <w:tcPr>
            <w:tcW w:w="60" w:type="dxa"/>
            <w:tcBorders/>
            <w:shd w:fill="CCEEFF" w:val="clear"/>
            <w:vAlign w:val="center"/>
          </w:tcPr>
          <w:p>
            <w:pPr>
              <w:pStyle w:val="TableContents"/>
              <w:spacing w:before="0" w:after="283"/>
              <w:rPr/>
            </w:pPr>
            <w:r>
              <w:rPr/>
              <w:t> </w:t>
            </w:r>
          </w:p>
        </w:tc>
      </w:tr>
      <w:tr>
        <w:trPr/>
        <w:tc>
          <w:tcPr>
            <w:tcW w:w="375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Acquisition of ANSOS</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rPr/>
            </w:pPr>
            <w:r>
              <w:rPr/>
              <w:t> </w:t>
            </w:r>
          </w:p>
        </w:tc>
        <w:tc>
          <w:tcPr>
            <w:tcW w:w="1468"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35,258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rPr/>
            </w:pPr>
            <w:r>
              <w:rPr/>
              <w:t> </w:t>
            </w:r>
          </w:p>
        </w:tc>
        <w:tc>
          <w:tcPr>
            <w:tcW w:w="1293"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35,258</w:t>
            </w:r>
          </w:p>
        </w:tc>
        <w:tc>
          <w:tcPr>
            <w:tcW w:w="60" w:type="dxa"/>
            <w:tcBorders/>
            <w:shd w:fill="FFFFFF" w:val="clear"/>
            <w:vAlign w:val="center"/>
          </w:tcPr>
          <w:p>
            <w:pPr>
              <w:pStyle w:val="TableContents"/>
              <w:spacing w:before="0" w:after="283"/>
              <w:rPr/>
            </w:pPr>
            <w:r>
              <w:rPr/>
              <w:t> </w:t>
            </w:r>
          </w:p>
        </w:tc>
      </w:tr>
      <w:tr>
        <w:trPr/>
        <w:tc>
          <w:tcPr>
            <w:tcW w:w="375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Acquisition of myClinicalExchange</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ind w:left="0" w:right="0" w:hanging="0"/>
              <w:rPr/>
            </w:pPr>
            <w:r>
              <w:rPr/>
              <w:t> </w:t>
            </w:r>
          </w:p>
        </w:tc>
        <w:tc>
          <w:tcPr>
            <w:tcW w:w="146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ind w:left="0" w:right="0" w:hanging="0"/>
              <w:rPr/>
            </w:pPr>
            <w:r>
              <w:rPr/>
              <w:t> </w:t>
            </w:r>
          </w:p>
        </w:tc>
        <w:tc>
          <w:tcPr>
            <w:tcW w:w="1293"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590</w:t>
            </w:r>
          </w:p>
        </w:tc>
        <w:tc>
          <w:tcPr>
            <w:tcW w:w="60" w:type="dxa"/>
            <w:tcBorders/>
            <w:shd w:fill="CCEEFF" w:val="clear"/>
            <w:vAlign w:val="center"/>
          </w:tcPr>
          <w:p>
            <w:pPr>
              <w:pStyle w:val="TableContents"/>
              <w:spacing w:before="0" w:after="283"/>
              <w:rPr/>
            </w:pPr>
            <w:r>
              <w:rPr/>
              <w:t> </w:t>
            </w:r>
          </w:p>
        </w:tc>
      </w:tr>
      <w:tr>
        <w:trPr/>
        <w:tc>
          <w:tcPr>
            <w:tcW w:w="375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Post-closing adjustment for CredentialMyDoc</w:t>
            </w:r>
          </w:p>
        </w:tc>
        <w:tc>
          <w:tcPr>
            <w:tcW w:w="60" w:type="dxa"/>
            <w:tcBorders/>
            <w:shd w:fill="FFFFFF" w:val="clear"/>
            <w:vAlign w:val="center"/>
          </w:tcPr>
          <w:p>
            <w:pPr>
              <w:pStyle w:val="TableContents"/>
              <w:spacing w:before="0" w:after="283"/>
              <w:ind w:left="0" w:right="0" w:hanging="0"/>
              <w:rPr/>
            </w:pPr>
            <w:r>
              <w:rPr/>
              <w:t> </w:t>
            </w:r>
          </w:p>
        </w:tc>
        <w:tc>
          <w:tcPr>
            <w:tcW w:w="26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468" w:type="dxa"/>
            <w:tcBorders>
              <w:bottom w:val="single" w:sz="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93"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4</w:t>
            </w:r>
          </w:p>
        </w:tc>
        <w:tc>
          <w:tcPr>
            <w:tcW w:w="60" w:type="dxa"/>
            <w:tcBorders/>
            <w:shd w:fill="FFFFFF" w:val="clear"/>
            <w:vAlign w:val="center"/>
          </w:tcPr>
          <w:p>
            <w:pPr>
              <w:pStyle w:val="TableContents"/>
              <w:spacing w:before="0" w:after="283"/>
              <w:rPr/>
            </w:pPr>
            <w:r>
              <w:rPr/>
              <w:t> </w:t>
            </w:r>
          </w:p>
        </w:tc>
      </w:tr>
      <w:tr>
        <w:trPr/>
        <w:tc>
          <w:tcPr>
            <w:tcW w:w="375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December 31, 2020</w:t>
            </w:r>
          </w:p>
        </w:tc>
        <w:tc>
          <w:tcPr>
            <w:tcW w:w="60" w:type="dxa"/>
            <w:tcBorders/>
            <w:shd w:fill="CCEEFF" w:val="clear"/>
            <w:vAlign w:val="center"/>
          </w:tcPr>
          <w:p>
            <w:pPr>
              <w:pStyle w:val="TableContents"/>
              <w:spacing w:before="0" w:after="283"/>
              <w:ind w:left="0" w:right="0" w:hanging="0"/>
              <w:rPr/>
            </w:pPr>
            <w:r>
              <w:rPr/>
              <w:t> </w:t>
            </w:r>
          </w:p>
        </w:tc>
        <w:tc>
          <w:tcPr>
            <w:tcW w:w="26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6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104,016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7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9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74,424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178,440</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Intangible assets other than goodwill that are considered to have finite useful lives include customer-related intangibles consisting of customer relationships, which are amortized over their estimated useful lives ranging from five to eighteen years, and other intangible assets consisting of developed technology, non-competition agreements, and trade names, which are amortized over their estimated useful lives ranging from one to ten years. The Company also recorded an indefinite lived intangible for a trade name valued at $0.7 million. Amortization of intangible assets was $14.9 million, $10.5 million, and $9.6 million for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Identifiable intangible assets are comprised of the following (in thousands):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337"/>
        <w:gridCol w:w="60"/>
        <w:gridCol w:w="175"/>
        <w:gridCol w:w="975"/>
        <w:gridCol w:w="60"/>
        <w:gridCol w:w="60"/>
        <w:gridCol w:w="342"/>
        <w:gridCol w:w="1792"/>
        <w:gridCol w:w="80"/>
        <w:gridCol w:w="60"/>
        <w:gridCol w:w="125"/>
        <w:gridCol w:w="590"/>
        <w:gridCol w:w="60"/>
        <w:gridCol w:w="60"/>
        <w:gridCol w:w="175"/>
        <w:gridCol w:w="975"/>
        <w:gridCol w:w="60"/>
        <w:gridCol w:w="60"/>
        <w:gridCol w:w="342"/>
        <w:gridCol w:w="1792"/>
        <w:gridCol w:w="80"/>
        <w:gridCol w:w="60"/>
        <w:gridCol w:w="125"/>
        <w:gridCol w:w="695"/>
        <w:gridCol w:w="65"/>
      </w:tblGrid>
      <w:tr>
        <w:trPr/>
        <w:tc>
          <w:tcPr>
            <w:tcW w:w="133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59"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As of December 31, 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364"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As of December 31, 2020</w:t>
            </w:r>
          </w:p>
        </w:tc>
        <w:tc>
          <w:tcPr>
            <w:tcW w:w="65" w:type="dxa"/>
            <w:tcBorders/>
            <w:shd w:fill="FFFFFF" w:val="clear"/>
            <w:vAlign w:val="center"/>
          </w:tcPr>
          <w:p>
            <w:pPr>
              <w:pStyle w:val="TableContents"/>
              <w:spacing w:before="0" w:after="283"/>
              <w:rPr/>
            </w:pPr>
            <w:r>
              <w:rPr/>
              <w:t> </w:t>
            </w:r>
          </w:p>
        </w:tc>
      </w:tr>
      <w:tr>
        <w:trPr/>
        <w:tc>
          <w:tcPr>
            <w:tcW w:w="133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5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5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Gross 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Net</w:t>
            </w:r>
          </w:p>
        </w:tc>
        <w:tc>
          <w:tcPr>
            <w:tcW w:w="65" w:type="dxa"/>
            <w:tcBorders/>
            <w:shd w:fill="FFFFFF" w:val="clear"/>
            <w:vAlign w:val="center"/>
          </w:tcPr>
          <w:p>
            <w:pPr>
              <w:pStyle w:val="TableContents"/>
              <w:spacing w:before="0" w:after="283"/>
              <w:rPr/>
            </w:pPr>
            <w:r>
              <w:rPr/>
              <w:t> </w:t>
            </w:r>
          </w:p>
        </w:tc>
      </w:tr>
      <w:tr>
        <w:trPr/>
        <w:tc>
          <w:tcPr>
            <w:tcW w:w="1337"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Customer related</w:t>
            </w:r>
          </w:p>
        </w:tc>
        <w:tc>
          <w:tcPr>
            <w:tcW w:w="60" w:type="dxa"/>
            <w:tcBorders/>
            <w:shd w:fill="FFFFFF" w:val="clear"/>
            <w:vAlign w:val="center"/>
          </w:tcPr>
          <w:p>
            <w:pPr>
              <w:pStyle w:val="TableContents"/>
              <w:spacing w:before="0" w:after="283"/>
              <w:ind w:left="0" w:right="0" w:hanging="0"/>
              <w:rPr/>
            </w:pPr>
            <w:r>
              <w:rPr/>
              <w:t> </w:t>
            </w:r>
          </w:p>
        </w:tc>
        <w:tc>
          <w:tcPr>
            <w:tcW w:w="17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114,418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4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(45,615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68,803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113,650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4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7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(36,723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76,927</w:t>
            </w:r>
          </w:p>
        </w:tc>
        <w:tc>
          <w:tcPr>
            <w:tcW w:w="65" w:type="dxa"/>
            <w:tcBorders/>
            <w:shd w:fill="FFFFFF" w:val="clear"/>
            <w:vAlign w:val="center"/>
          </w:tcPr>
          <w:p>
            <w:pPr>
              <w:pStyle w:val="TableContents"/>
              <w:spacing w:before="0" w:after="283"/>
              <w:rPr/>
            </w:pPr>
            <w:r>
              <w:rPr/>
              <w:t> </w:t>
            </w:r>
          </w:p>
        </w:tc>
      </w:tr>
      <w:tr>
        <w:trPr/>
        <w:tc>
          <w:tcPr>
            <w:tcW w:w="1337"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spacing w:before="0" w:after="283"/>
              <w:rPr/>
            </w:pPr>
            <w:r>
              <w:rPr/>
              <w:t> </w:t>
            </w:r>
          </w:p>
        </w:tc>
        <w:tc>
          <w:tcPr>
            <w:tcW w:w="17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37,154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79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(16,752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20,402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34,536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79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(10,748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23,788</w:t>
            </w:r>
          </w:p>
        </w:tc>
        <w:tc>
          <w:tcPr>
            <w:tcW w:w="65" w:type="dxa"/>
            <w:tcBorders/>
            <w:shd w:fill="CCEEFF" w:val="clear"/>
            <w:vAlign w:val="center"/>
          </w:tcPr>
          <w:p>
            <w:pPr>
              <w:pStyle w:val="TableContents"/>
              <w:spacing w:before="0" w:after="283"/>
              <w:rPr/>
            </w:pPr>
            <w:r>
              <w:rPr/>
              <w:t> </w:t>
            </w:r>
          </w:p>
        </w:tc>
      </w:tr>
      <w:tr>
        <w:trPr/>
        <w:tc>
          <w:tcPr>
            <w:tcW w:w="1337"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17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151,572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4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79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(62,367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89,205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148,186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4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79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(47,471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100,715</w:t>
            </w:r>
          </w:p>
        </w:tc>
        <w:tc>
          <w:tcPr>
            <w:tcW w:w="6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 w:hAnsi="Times New Roman"/>
          <w:caps w:val="false"/>
          <w:smallCaps w:val="false"/>
          <w:sz w:val="20"/>
        </w:rPr>
        <w:t xml:space="preserve">The expected future annual amortization expense for the years ending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is as follows (in thousands):</w:t>
      </w:r>
    </w:p>
    <w:p>
      <w:pPr>
        <w:pStyle w:val="TextBody"/>
        <w:spacing w:before="0" w:after="0"/>
        <w:ind w:left="0" w:right="0" w:hanging="0"/>
        <w:rPr>
          <w:caps w:val="false"/>
          <w:smallCaps w:val="false"/>
        </w:rPr>
      </w:pPr>
      <w:r>
        <w:rPr>
          <w:caps w:val="false"/>
          <w:smallCaps w:val="false"/>
        </w:rPr>
        <w:t> </w:t>
      </w:r>
    </w:p>
    <w:tbl>
      <w:tblPr>
        <w:tblW w:w="1680" w:type="dxa"/>
        <w:jc w:val="left"/>
        <w:tblInd w:w="0" w:type="dxa"/>
        <w:tblCellMar>
          <w:top w:w="0" w:type="dxa"/>
          <w:left w:w="0" w:type="dxa"/>
          <w:bottom w:w="0" w:type="dxa"/>
          <w:right w:w="0" w:type="dxa"/>
        </w:tblCellMar>
      </w:tblPr>
      <w:tblGrid>
        <w:gridCol w:w="845"/>
        <w:gridCol w:w="60"/>
        <w:gridCol w:w="125"/>
        <w:gridCol w:w="590"/>
        <w:gridCol w:w="60"/>
      </w:tblGrid>
      <w:tr>
        <w:trPr/>
        <w:tc>
          <w:tcPr>
            <w:tcW w:w="8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14,181</w:t>
            </w:r>
          </w:p>
        </w:tc>
        <w:tc>
          <w:tcPr>
            <w:tcW w:w="60" w:type="dxa"/>
            <w:tcBorders/>
            <w:shd w:fill="CCEEFF" w:val="clear"/>
            <w:vAlign w:val="center"/>
          </w:tcPr>
          <w:p>
            <w:pPr>
              <w:pStyle w:val="TableContents"/>
              <w:spacing w:before="0" w:after="283"/>
              <w:rPr/>
            </w:pPr>
            <w:r>
              <w:rPr/>
              <w:t> </w:t>
            </w:r>
          </w:p>
        </w:tc>
      </w:tr>
      <w:tr>
        <w:trPr/>
        <w:tc>
          <w:tcPr>
            <w:tcW w:w="8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13,519</w:t>
            </w:r>
          </w:p>
        </w:tc>
        <w:tc>
          <w:tcPr>
            <w:tcW w:w="60" w:type="dxa"/>
            <w:tcBorders/>
            <w:shd w:fill="FFFFFF" w:val="clear"/>
            <w:vAlign w:val="center"/>
          </w:tcPr>
          <w:p>
            <w:pPr>
              <w:pStyle w:val="TableContents"/>
              <w:spacing w:before="0" w:after="283"/>
              <w:rPr/>
            </w:pPr>
            <w:r>
              <w:rPr/>
              <w:t> </w:t>
            </w:r>
          </w:p>
        </w:tc>
      </w:tr>
      <w:tr>
        <w:trPr/>
        <w:tc>
          <w:tcPr>
            <w:tcW w:w="8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12,021</w:t>
            </w:r>
          </w:p>
        </w:tc>
        <w:tc>
          <w:tcPr>
            <w:tcW w:w="60" w:type="dxa"/>
            <w:tcBorders/>
            <w:shd w:fill="CCEEFF" w:val="clear"/>
            <w:vAlign w:val="center"/>
          </w:tcPr>
          <w:p>
            <w:pPr>
              <w:pStyle w:val="TableContents"/>
              <w:spacing w:before="0" w:after="283"/>
              <w:rPr/>
            </w:pPr>
            <w:r>
              <w:rPr/>
              <w:t> </w:t>
            </w:r>
          </w:p>
        </w:tc>
      </w:tr>
      <w:tr>
        <w:trPr/>
        <w:tc>
          <w:tcPr>
            <w:tcW w:w="8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11,300</w:t>
            </w:r>
          </w:p>
        </w:tc>
        <w:tc>
          <w:tcPr>
            <w:tcW w:w="60" w:type="dxa"/>
            <w:tcBorders/>
            <w:shd w:fill="FFFFFF" w:val="clear"/>
            <w:vAlign w:val="center"/>
          </w:tcPr>
          <w:p>
            <w:pPr>
              <w:pStyle w:val="TableContents"/>
              <w:spacing w:before="0" w:after="283"/>
              <w:rPr/>
            </w:pPr>
            <w:r>
              <w:rPr/>
              <w:t> </w:t>
            </w:r>
          </w:p>
        </w:tc>
      </w:tr>
      <w:tr>
        <w:trPr/>
        <w:tc>
          <w:tcPr>
            <w:tcW w:w="84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8,215</w:t>
            </w:r>
          </w:p>
        </w:tc>
        <w:tc>
          <w:tcPr>
            <w:tcW w:w="60" w:type="dxa"/>
            <w:tcBorders/>
            <w:shd w:fill="CCEEFF" w:val="clear"/>
            <w:vAlign w:val="center"/>
          </w:tcPr>
          <w:p>
            <w:pPr>
              <w:pStyle w:val="TableContents"/>
              <w:spacing w:before="0" w:after="283"/>
              <w:rPr/>
            </w:pPr>
            <w:r>
              <w:rPr/>
              <w:t> </w:t>
            </w:r>
          </w:p>
        </w:tc>
      </w:tr>
      <w:tr>
        <w:trPr/>
        <w:tc>
          <w:tcPr>
            <w:tcW w:w="84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29,269</w:t>
            </w:r>
          </w:p>
        </w:tc>
        <w:tc>
          <w:tcPr>
            <w:tcW w:w="60" w:type="dxa"/>
            <w:tcBorders/>
            <w:shd w:fill="FFFFFF" w:val="clear"/>
            <w:vAlign w:val="center"/>
          </w:tcPr>
          <w:p>
            <w:pPr>
              <w:pStyle w:val="TableContents"/>
              <w:spacing w:before="0" w:after="283"/>
              <w:rPr/>
            </w:pPr>
            <w:r>
              <w:rPr/>
              <w:t> </w:t>
            </w:r>
          </w:p>
        </w:tc>
      </w:tr>
      <w:tr>
        <w:trPr/>
        <w:tc>
          <w:tcPr>
            <w:tcW w:w="84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88,505</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BUSINESS COMBINATIONS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NurseGrid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9, 2020, </w:t>
      </w:r>
      <w:r>
        <w:rPr>
          <w:rFonts w:ascii="Times New Roman" w:hAnsi="Times New Roman"/>
          <w:caps w:val="false"/>
          <w:smallCaps w:val="false"/>
          <w:sz w:val="20"/>
        </w:rPr>
        <w:t xml:space="preserve">the Company acquired all of the outstanding stock of </w:t>
      </w:r>
      <w:r>
        <w:rPr>
          <w:rStyle w:val="Emphasis"/>
          <w:rFonts w:ascii="Times New Roman" w:hAnsi="Times New Roman"/>
          <w:caps w:val="false"/>
          <w:smallCaps w:val="false"/>
          <w:sz w:val="20"/>
        </w:rPr>
        <w:t>HcT2</w:t>
      </w:r>
      <w:r>
        <w:rPr>
          <w:rFonts w:ascii="Times New Roman" w:hAnsi="Times New Roman"/>
          <w:caps w:val="false"/>
          <w:smallCaps w:val="false"/>
          <w:sz w:val="20"/>
        </w:rPr>
        <w:t xml:space="preserve"> Co. dba NurseGrid (NurseGrid), a Portland, Oregon-based healthcare technology company offering NurseGrid Mobile and its corollary application for nurse managers, NurseGrid Enterprise, for net cash consideration of approximately $21.5 million, after giving effect to the post-closing working capital adjustment. The Company accounted for this transaction as a business combination achieved in stages which required the Company to remeasure its previously existing minority ownership interest held in NurseGrid, which was accounted for as a non-marketable equity investment measured using the fair value alternative, to fair value at the acquisition date based on the total enterprise value, adjusting for a control premium. The fair value of the Company’s interest in NurseGrid was $3.6 million at closing, resulting in a gain of $1.2 million, recorded as a change in fair value of non-marketable equity investments in the Company’s Condensed Consolidated Statements of Income. Additionally, the Company’s previously recorded non-marketable equity investment in NurseGrid was de-recognized from the Company’s Condensed Consolidated Balance Sheet during the same period. Acquisition-related transaction costs were $0.2 million. The financial results of NurseGrid have been included in the Workforce Solutions segment from </w:t>
      </w:r>
      <w:r>
        <w:rPr>
          <w:rStyle w:val="Emphasis"/>
          <w:rFonts w:ascii="Times New Roman" w:hAnsi="Times New Roman"/>
          <w:caps w:val="false"/>
          <w:smallCaps w:val="false"/>
          <w:sz w:val="20"/>
        </w:rPr>
        <w:t>March 9,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summary of the purchase price is as follows (in thousands):</w:t>
      </w:r>
    </w:p>
    <w:p>
      <w:pPr>
        <w:pStyle w:val="TextBody"/>
        <w:spacing w:before="0" w:after="0"/>
        <w:ind w:left="0" w:right="0" w:hanging="0"/>
        <w:jc w:val="both"/>
        <w:rPr>
          <w:caps w:val="false"/>
          <w:smallCaps w:val="false"/>
        </w:rPr>
      </w:pPr>
      <w:r>
        <w:rPr>
          <w:caps w:val="false"/>
          <w:smallCaps w:val="false"/>
        </w:rPr>
        <w:t> </w:t>
      </w:r>
    </w:p>
    <w:tbl>
      <w:tblPr>
        <w:tblW w:w="4895" w:type="dxa"/>
        <w:jc w:val="left"/>
        <w:tblInd w:w="0" w:type="dxa"/>
        <w:tblCellMar>
          <w:top w:w="0" w:type="dxa"/>
          <w:left w:w="0" w:type="dxa"/>
          <w:bottom w:w="0" w:type="dxa"/>
          <w:right w:w="0" w:type="dxa"/>
        </w:tblCellMar>
      </w:tblPr>
      <w:tblGrid>
        <w:gridCol w:w="4040"/>
        <w:gridCol w:w="60"/>
        <w:gridCol w:w="125"/>
        <w:gridCol w:w="590"/>
        <w:gridCol w:w="80"/>
      </w:tblGrid>
      <w:tr>
        <w:trPr/>
        <w:tc>
          <w:tcPr>
            <w:tcW w:w="404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paid at closing</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25,485</w:t>
            </w:r>
          </w:p>
        </w:tc>
        <w:tc>
          <w:tcPr>
            <w:tcW w:w="80" w:type="dxa"/>
            <w:tcBorders/>
            <w:shd w:fill="CCEE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Post-closing adjustment, net of cash received</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FFFFFF"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acquired</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(4,064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0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consideration paid</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21,454</w:t>
            </w:r>
          </w:p>
        </w:tc>
        <w:tc>
          <w:tcPr>
            <w:tcW w:w="80" w:type="dxa"/>
            <w:tcBorders/>
            <w:shd w:fill="FFFFFF"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Fair value of existing equity interest in NurseGrid</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3,623</w:t>
            </w:r>
          </w:p>
        </w:tc>
        <w:tc>
          <w:tcPr>
            <w:tcW w:w="80" w:type="dxa"/>
            <w:tcBorders/>
            <w:shd w:fill="CCEE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consideration paid</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25,077</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fair value of the assets acquired and liabilities assumed as of the date of acquisition (in thousands):</w:t>
      </w:r>
    </w:p>
    <w:p>
      <w:pPr>
        <w:pStyle w:val="TextBody"/>
        <w:spacing w:before="0" w:after="0"/>
        <w:ind w:left="0" w:right="0" w:hanging="0"/>
        <w:rPr>
          <w:caps w:val="false"/>
          <w:smallCaps w:val="false"/>
        </w:rPr>
      </w:pPr>
      <w:r>
        <w:rPr>
          <w:caps w:val="false"/>
          <w:smallCaps w:val="false"/>
        </w:rPr>
        <w:t> </w:t>
      </w:r>
    </w:p>
    <w:tbl>
      <w:tblPr>
        <w:tblW w:w="4175" w:type="dxa"/>
        <w:jc w:val="left"/>
        <w:tblInd w:w="0" w:type="dxa"/>
        <w:tblCellMar>
          <w:top w:w="0" w:type="dxa"/>
          <w:left w:w="0" w:type="dxa"/>
          <w:bottom w:w="0" w:type="dxa"/>
          <w:right w:w="0" w:type="dxa"/>
        </w:tblCellMar>
      </w:tblPr>
      <w:tblGrid>
        <w:gridCol w:w="3320"/>
        <w:gridCol w:w="60"/>
        <w:gridCol w:w="125"/>
        <w:gridCol w:w="590"/>
        <w:gridCol w:w="80"/>
      </w:tblGrid>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Accounts and unbilled receivable, net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w:t>
            </w:r>
          </w:p>
        </w:tc>
        <w:tc>
          <w:tcPr>
            <w:tcW w:w="8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Prepaid and other 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w:t>
            </w:r>
          </w:p>
        </w:tc>
        <w:tc>
          <w:tcPr>
            <w:tcW w:w="80"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2,121</w:t>
            </w:r>
          </w:p>
        </w:tc>
        <w:tc>
          <w:tcPr>
            <w:tcW w:w="80"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21,085</w:t>
            </w:r>
          </w:p>
        </w:tc>
        <w:tc>
          <w:tcPr>
            <w:tcW w:w="8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1,845</w:t>
            </w:r>
          </w:p>
        </w:tc>
        <w:tc>
          <w:tcPr>
            <w:tcW w:w="80"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assets acquired</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25,077</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excess of purchase price over the fair values of net tangible and intangible assets is recorded as goodwill. The fair values of tangible and identifiable intangible assets and liabilities are based on management’s estimates and assumptions. The primary intangible assets acquired were developed technology and trade name. The fair value estimate for developed technology intangible asset included significant assumptions, including the estimate of employee hours that would be needed to recreate the technology. The fair value estimate for trade name intangible asset included significant assumptions in the prospective financial information, such as projected revenues, royalty rate, and the discount rate. Additionally, these assumptions are forward looking and could be affected by future economic and market conditions. The goodwill balance is primarily attributed to the assembled workforce, future market opportunities to engage and support the NurseGrid Mobile user community, and expected synergies from integrating NurseGrid with other combined functional areas within the Company. The goodwill balance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U.S. income tax purposes. The net tangible assets include deferred revenue, which was adjusted down from a book value at the acquisition date of $157,000 to an estimated fair value of $78,000. The $79,000 write-down of deferred revenue will result in lower revenues than would have otherwise been recognized for such services.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identifiable intangible assets and their estimated useful lives as of the acquisition date (in thousands):</w:t>
      </w:r>
    </w:p>
    <w:p>
      <w:pPr>
        <w:pStyle w:val="TextBody"/>
        <w:spacing w:before="0" w:after="0"/>
        <w:ind w:left="0" w:right="0" w:hanging="0"/>
        <w:rPr>
          <w:caps w:val="false"/>
          <w:smallCaps w:val="false"/>
        </w:rPr>
      </w:pPr>
      <w:r>
        <w:rPr>
          <w:caps w:val="false"/>
          <w:smallCaps w:val="false"/>
        </w:rPr>
        <w:t> </w:t>
      </w:r>
    </w:p>
    <w:tbl>
      <w:tblPr>
        <w:tblW w:w="4693" w:type="dxa"/>
        <w:jc w:val="left"/>
        <w:tblInd w:w="0" w:type="dxa"/>
        <w:tblCellMar>
          <w:top w:w="0" w:type="dxa"/>
          <w:left w:w="0" w:type="dxa"/>
          <w:bottom w:w="0" w:type="dxa"/>
          <w:right w:w="0" w:type="dxa"/>
        </w:tblCellMar>
      </w:tblPr>
      <w:tblGrid>
        <w:gridCol w:w="1895"/>
        <w:gridCol w:w="60"/>
        <w:gridCol w:w="182"/>
        <w:gridCol w:w="707"/>
        <w:gridCol w:w="60"/>
        <w:gridCol w:w="60"/>
        <w:gridCol w:w="539"/>
        <w:gridCol w:w="1130"/>
        <w:gridCol w:w="60"/>
      </w:tblGrid>
      <w:tr>
        <w:trPr/>
        <w:tc>
          <w:tcPr>
            <w:tcW w:w="18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Useful life (in years)</w:t>
            </w:r>
          </w:p>
        </w:tc>
        <w:tc>
          <w:tcPr>
            <w:tcW w:w="60" w:type="dxa"/>
            <w:tcBorders/>
            <w:shd w:fill="FFFFFF" w:val="clear"/>
            <w:vAlign w:val="center"/>
          </w:tcPr>
          <w:p>
            <w:pPr>
              <w:pStyle w:val="TableContents"/>
              <w:spacing w:before="0" w:after="283"/>
              <w:rPr/>
            </w:pPr>
            <w:r>
              <w:rPr/>
              <w:t> </w:t>
            </w:r>
          </w:p>
        </w:tc>
      </w:tr>
      <w:tr>
        <w:trPr/>
        <w:tc>
          <w:tcPr>
            <w:tcW w:w="1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spacing w:before="0" w:after="283"/>
              <w:ind w:left="0" w:right="0" w:hanging="0"/>
              <w:rPr/>
            </w:pPr>
            <w:r>
              <w:rPr/>
              <w:t> </w:t>
            </w:r>
          </w:p>
        </w:tc>
        <w:tc>
          <w:tcPr>
            <w:tcW w:w="18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39" w:type="dxa"/>
            <w:tcBorders/>
            <w:shd w:fill="CCEEFF" w:val="clear"/>
            <w:vAlign w:val="center"/>
          </w:tcPr>
          <w:p>
            <w:pPr>
              <w:pStyle w:val="TableContents"/>
              <w:spacing w:before="0" w:after="283"/>
              <w:ind w:left="0" w:right="0" w:hanging="0"/>
              <w:rPr/>
            </w:pPr>
            <w:r>
              <w:rPr/>
              <w:t> </w:t>
            </w:r>
          </w:p>
        </w:tc>
        <w:tc>
          <w:tcPr>
            <w:tcW w:w="11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spacing w:before="0" w:after="283"/>
              <w:rPr/>
            </w:pPr>
            <w:r>
              <w:rPr/>
              <w:t> </w:t>
            </w:r>
          </w:p>
        </w:tc>
      </w:tr>
      <w:tr>
        <w:trPr/>
        <w:tc>
          <w:tcPr>
            <w:tcW w:w="189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Developed technology</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39" w:type="dxa"/>
            <w:tcBorders/>
            <w:shd w:fill="FFFFFF" w:val="clear"/>
            <w:vAlign w:val="center"/>
          </w:tcPr>
          <w:p>
            <w:pPr>
              <w:pStyle w:val="TableContents"/>
              <w:spacing w:before="0" w:after="283"/>
              <w:ind w:left="0" w:right="0" w:hanging="0"/>
              <w:rPr/>
            </w:pPr>
            <w:r>
              <w:rPr/>
              <w:t> </w:t>
            </w:r>
          </w:p>
        </w:tc>
        <w:tc>
          <w:tcPr>
            <w:tcW w:w="11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spacing w:before="0" w:after="283"/>
              <w:rPr/>
            </w:pPr>
            <w:r>
              <w:rPr/>
              <w:t> </w:t>
            </w:r>
          </w:p>
        </w:tc>
      </w:tr>
      <w:tr>
        <w:trPr/>
        <w:tc>
          <w:tcPr>
            <w:tcW w:w="189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Trade name</w:t>
            </w:r>
          </w:p>
        </w:tc>
        <w:tc>
          <w:tcPr>
            <w:tcW w:w="60" w:type="dxa"/>
            <w:tcBorders/>
            <w:shd w:fill="CCEEFF" w:val="clear"/>
            <w:vAlign w:val="center"/>
          </w:tcPr>
          <w:p>
            <w:pPr>
              <w:pStyle w:val="TableContents"/>
              <w:spacing w:before="0" w:after="283"/>
              <w:rPr/>
            </w:pPr>
            <w:r>
              <w:rPr/>
              <w:t> </w:t>
            </w:r>
          </w:p>
        </w:tc>
        <w:tc>
          <w:tcPr>
            <w:tcW w:w="18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0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69" w:type="dxa"/>
            <w:gridSpan w:val="2"/>
            <w:tcBorders/>
            <w:shd w:fill="CCEEFF" w:val="clear"/>
            <w:vAlign w:val="center"/>
          </w:tcPr>
          <w:p>
            <w:pPr>
              <w:pStyle w:val="TableContents"/>
              <w:spacing w:before="0" w:after="0"/>
              <w:ind w:left="0" w:right="0" w:hanging="0"/>
              <w:jc w:val="right"/>
              <w:rPr/>
            </w:pPr>
            <w:r>
              <w:rPr>
                <w:rStyle w:val="Emphasis"/>
                <w:rFonts w:ascii="Times New Roman" w:hAnsi="Times New Roman"/>
                <w:caps w:val="false"/>
                <w:smallCaps w:val="false"/>
                <w:sz w:val="20"/>
              </w:rPr>
              <w:t>Indefinite</w:t>
            </w:r>
          </w:p>
        </w:tc>
        <w:tc>
          <w:tcPr>
            <w:tcW w:w="60" w:type="dxa"/>
            <w:tcBorders/>
            <w:shd w:fill="CCEEFF" w:val="clear"/>
            <w:vAlign w:val="center"/>
          </w:tcPr>
          <w:p>
            <w:pPr>
              <w:pStyle w:val="TableContents"/>
              <w:spacing w:before="0" w:after="283"/>
              <w:rPr/>
            </w:pPr>
            <w:r>
              <w:rPr/>
              <w:t> </w:t>
            </w:r>
          </w:p>
        </w:tc>
      </w:tr>
      <w:tr>
        <w:trPr/>
        <w:tc>
          <w:tcPr>
            <w:tcW w:w="189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FFFFFF" w:val="clear"/>
            <w:vAlign w:val="center"/>
          </w:tcPr>
          <w:p>
            <w:pPr>
              <w:pStyle w:val="TableContents"/>
              <w:spacing w:before="0" w:after="283"/>
              <w:ind w:left="0" w:right="0" w:hanging="0"/>
              <w:rPr/>
            </w:pPr>
            <w:r>
              <w:rPr/>
              <w:t> </w:t>
            </w:r>
          </w:p>
        </w:tc>
        <w:tc>
          <w:tcPr>
            <w:tcW w:w="18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39" w:type="dxa"/>
            <w:tcBorders/>
            <w:shd w:fill="FFFFFF" w:val="clear"/>
            <w:vAlign w:val="center"/>
          </w:tcPr>
          <w:p>
            <w:pPr>
              <w:pStyle w:val="TableContents"/>
              <w:spacing w:before="0" w:after="283"/>
              <w:rPr/>
            </w:pPr>
            <w:r>
              <w:rPr/>
              <w:t> </w:t>
            </w:r>
          </w:p>
        </w:tc>
        <w:tc>
          <w:tcPr>
            <w:tcW w:w="1130"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Pro forma results of operations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presented as the impact of the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to the Company's financial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ShiftWizard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12, 2020, </w:t>
      </w:r>
      <w:r>
        <w:rPr>
          <w:rFonts w:ascii="Times New Roman" w:hAnsi="Times New Roman"/>
          <w:caps w:val="false"/>
          <w:smallCaps w:val="false"/>
          <w:sz w:val="20"/>
        </w:rPr>
        <w:t xml:space="preserve">the Company acquired all of the outstanding stock of ShiftWizard, Inc. (ShiftWizard) a Raleigh, North Carolina-based healthcare technology company offering a SaaS-based solution that integrates key workforce management capabilities, including scheduling, productivity, and forecasting. The consideration paid for ShiftWizard consisted of $30.5 million in cash after giving effect to the post-closing working capital adjustment. Acquisition-related transaction costs were $0.3 million. The financial results of ShiftWizard have been included in the Workforce Solutions segment from </w:t>
      </w:r>
      <w:r>
        <w:rPr>
          <w:rStyle w:val="Emphasis"/>
          <w:rFonts w:ascii="Times New Roman" w:hAnsi="Times New Roman"/>
          <w:caps w:val="false"/>
          <w:smallCaps w:val="false"/>
          <w:sz w:val="20"/>
        </w:rPr>
        <w:t>October 12, 2020.</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fair value of the assets acquired and liabilities assumed as of the date of acquisition (in thousands):</w:t>
      </w:r>
    </w:p>
    <w:p>
      <w:pPr>
        <w:pStyle w:val="TextBody"/>
        <w:spacing w:before="0" w:after="0"/>
        <w:ind w:left="0" w:right="0" w:hanging="0"/>
        <w:rPr>
          <w:caps w:val="false"/>
          <w:smallCaps w:val="false"/>
        </w:rPr>
      </w:pPr>
      <w:r>
        <w:rPr>
          <w:caps w:val="false"/>
          <w:smallCaps w:val="false"/>
        </w:rPr>
        <w:t> </w:t>
      </w:r>
    </w:p>
    <w:tbl>
      <w:tblPr>
        <w:tblW w:w="4175" w:type="dxa"/>
        <w:jc w:val="left"/>
        <w:tblInd w:w="0" w:type="dxa"/>
        <w:tblCellMar>
          <w:top w:w="0" w:type="dxa"/>
          <w:left w:w="0" w:type="dxa"/>
          <w:bottom w:w="0" w:type="dxa"/>
          <w:right w:w="0" w:type="dxa"/>
        </w:tblCellMar>
      </w:tblPr>
      <w:tblGrid>
        <w:gridCol w:w="3320"/>
        <w:gridCol w:w="60"/>
        <w:gridCol w:w="125"/>
        <w:gridCol w:w="590"/>
        <w:gridCol w:w="80"/>
      </w:tblGrid>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1,091</w:t>
            </w:r>
          </w:p>
        </w:tc>
        <w:tc>
          <w:tcPr>
            <w:tcW w:w="8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Accounts and unbilled receivable,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1,038</w:t>
            </w:r>
          </w:p>
        </w:tc>
        <w:tc>
          <w:tcPr>
            <w:tcW w:w="80"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Prepaid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w:t>
            </w:r>
          </w:p>
        </w:tc>
        <w:tc>
          <w:tcPr>
            <w:tcW w:w="8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183</w:t>
            </w:r>
          </w:p>
        </w:tc>
        <w:tc>
          <w:tcPr>
            <w:tcW w:w="80"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Property and equipment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w:t>
            </w:r>
          </w:p>
        </w:tc>
        <w:tc>
          <w:tcPr>
            <w:tcW w:w="8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Indemnification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464</w:t>
            </w:r>
          </w:p>
        </w:tc>
        <w:tc>
          <w:tcPr>
            <w:tcW w:w="80"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19,307</w:t>
            </w:r>
          </w:p>
        </w:tc>
        <w:tc>
          <w:tcPr>
            <w:tcW w:w="8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Intangible asset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12,660</w:t>
            </w:r>
          </w:p>
        </w:tc>
        <w:tc>
          <w:tcPr>
            <w:tcW w:w="80"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tax liability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Indemnification liability</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assets acquired</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30,492</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excess of purchase price over the fair values of net tangible and intangible assets is recorded as goodwill. The fair values of tangible and identifiable intangible assets and liabilities are based on management’s estimates and assumptions. Included in the assets and liabilities is an indemnification asset and liability of $0.5 million associated with a Paycheck Protection Program loan pending forgiveness as of the acquisition date that was subsequently forgiven. The primary intangible assets acquired were customer relationships and developed technology. The fair value estimate for customer relationships intangible asset included significant assumptions in the prospective financial information, such as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ShiftWizard products, and expected synergies from integrating ShiftWizard with other products or other combined functional areas within the Company. The goodwill balance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U.S. income tax purposes. The net tangible assets include deferred revenue, which was adjusted down from a book value at the acquisition date of $2.7 million to an estimated fair value of $1.6 million. The $1.1 million write-down of deferred revenue will result in lower revenues than would have otherwise been recognized for such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identifiable intangible assets and their estimated useful lives as of the acquisition date (in thousands):</w:t>
      </w:r>
    </w:p>
    <w:p>
      <w:pPr>
        <w:pStyle w:val="TextBody"/>
        <w:spacing w:before="0" w:after="0"/>
        <w:ind w:left="0" w:right="0" w:hanging="0"/>
        <w:rPr>
          <w:caps w:val="false"/>
          <w:smallCaps w:val="false"/>
        </w:rPr>
      </w:pPr>
      <w:r>
        <w:rPr>
          <w:caps w:val="false"/>
          <w:smallCaps w:val="false"/>
        </w:rPr>
        <w:t> </w:t>
      </w:r>
    </w:p>
    <w:tbl>
      <w:tblPr>
        <w:tblW w:w="6613" w:type="dxa"/>
        <w:jc w:val="left"/>
        <w:tblInd w:w="0" w:type="dxa"/>
        <w:tblCellMar>
          <w:top w:w="0" w:type="dxa"/>
          <w:left w:w="0" w:type="dxa"/>
          <w:bottom w:w="0" w:type="dxa"/>
          <w:right w:w="0" w:type="dxa"/>
        </w:tblCellMar>
      </w:tblPr>
      <w:tblGrid>
        <w:gridCol w:w="3770"/>
        <w:gridCol w:w="60"/>
        <w:gridCol w:w="163"/>
        <w:gridCol w:w="771"/>
        <w:gridCol w:w="60"/>
        <w:gridCol w:w="60"/>
        <w:gridCol w:w="343"/>
        <w:gridCol w:w="1326"/>
        <w:gridCol w:w="60"/>
      </w:tblGrid>
      <w:tr>
        <w:trPr/>
        <w:tc>
          <w:tcPr>
            <w:tcW w:w="37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Useful life (in years)</w:t>
            </w:r>
          </w:p>
        </w:tc>
        <w:tc>
          <w:tcPr>
            <w:tcW w:w="6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spacing w:before="0" w:after="283"/>
              <w:ind w:left="0" w:right="0" w:hanging="0"/>
              <w:rPr/>
            </w:pPr>
            <w:r>
              <w:rPr/>
              <w:t> </w:t>
            </w:r>
          </w:p>
        </w:tc>
        <w:tc>
          <w:tcPr>
            <w:tcW w:w="16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3" w:type="dxa"/>
            <w:tcBorders/>
            <w:shd w:fill="CCEEFF" w:val="clear"/>
            <w:vAlign w:val="center"/>
          </w:tcPr>
          <w:p>
            <w:pPr>
              <w:pStyle w:val="TableContents"/>
              <w:spacing w:before="0" w:after="283"/>
              <w:ind w:left="0" w:right="0" w:hanging="0"/>
              <w:rPr/>
            </w:pPr>
            <w:r>
              <w:rPr/>
              <w:t> </w:t>
            </w:r>
          </w:p>
        </w:tc>
        <w:tc>
          <w:tcPr>
            <w:tcW w:w="13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w:t>
            </w:r>
          </w:p>
        </w:tc>
        <w:tc>
          <w:tcPr>
            <w:tcW w:w="6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Developed technology</w:t>
            </w:r>
          </w:p>
        </w:tc>
        <w:tc>
          <w:tcPr>
            <w:tcW w:w="60" w:type="dxa"/>
            <w:tcBorders/>
            <w:shd w:fill="FFFFFF" w:val="clear"/>
            <w:vAlign w:val="center"/>
          </w:tcPr>
          <w:p>
            <w:pPr>
              <w:pStyle w:val="TableContents"/>
              <w:spacing w:before="0" w:after="283"/>
              <w:rPr/>
            </w:pPr>
            <w:r>
              <w:rPr/>
              <w:t> </w:t>
            </w:r>
          </w:p>
        </w:tc>
        <w:tc>
          <w:tcPr>
            <w:tcW w:w="163" w:type="dxa"/>
            <w:tcBorders/>
            <w:shd w:fill="FFFFFF" w:val="clear"/>
            <w:vAlign w:val="center"/>
          </w:tcPr>
          <w:p>
            <w:pPr>
              <w:pStyle w:val="TableContents"/>
              <w:spacing w:before="0" w:after="283"/>
              <w:ind w:left="0" w:right="0" w:hanging="0"/>
              <w:rPr/>
            </w:pPr>
            <w:r>
              <w:rPr/>
              <w:t> </w:t>
            </w:r>
          </w:p>
        </w:tc>
        <w:tc>
          <w:tcPr>
            <w:tcW w:w="77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4,050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43" w:type="dxa"/>
            <w:tcBorders/>
            <w:shd w:fill="FFFFFF" w:val="clear"/>
            <w:vAlign w:val="center"/>
          </w:tcPr>
          <w:p>
            <w:pPr>
              <w:pStyle w:val="TableContents"/>
              <w:spacing w:before="0" w:after="283"/>
              <w:ind w:left="0" w:right="0" w:hanging="0"/>
              <w:rPr/>
            </w:pPr>
            <w:r>
              <w:rPr/>
              <w:t> </w:t>
            </w:r>
          </w:p>
        </w:tc>
        <w:tc>
          <w:tcPr>
            <w:tcW w:w="132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Non-compete</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ind w:left="0" w:right="0" w:hanging="0"/>
              <w:rPr/>
            </w:pPr>
            <w:r>
              <w:rPr/>
              <w:t> </w:t>
            </w:r>
          </w:p>
        </w:tc>
        <w:tc>
          <w:tcPr>
            <w:tcW w:w="77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3" w:type="dxa"/>
            <w:tcBorders/>
            <w:shd w:fill="CCEEFF" w:val="clear"/>
            <w:vAlign w:val="center"/>
          </w:tcPr>
          <w:p>
            <w:pPr>
              <w:pStyle w:val="TableContents"/>
              <w:spacing w:before="0" w:after="283"/>
              <w:ind w:left="0" w:right="0" w:hanging="0"/>
              <w:rPr/>
            </w:pPr>
            <w:r>
              <w:rPr/>
              <w:t> </w:t>
            </w:r>
          </w:p>
        </w:tc>
        <w:tc>
          <w:tcPr>
            <w:tcW w:w="13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1 - 5</w:t>
            </w:r>
          </w:p>
        </w:tc>
        <w:tc>
          <w:tcPr>
            <w:tcW w:w="6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Trade name</w:t>
            </w:r>
          </w:p>
        </w:tc>
        <w:tc>
          <w:tcPr>
            <w:tcW w:w="60" w:type="dxa"/>
            <w:tcBorders/>
            <w:shd w:fill="FFFFFF" w:val="clear"/>
            <w:vAlign w:val="center"/>
          </w:tcPr>
          <w:p>
            <w:pPr>
              <w:pStyle w:val="TableContents"/>
              <w:spacing w:before="0" w:after="283"/>
              <w:rPr/>
            </w:pPr>
            <w:r>
              <w:rPr/>
              <w:t> </w:t>
            </w:r>
          </w:p>
        </w:tc>
        <w:tc>
          <w:tcPr>
            <w:tcW w:w="16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7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43" w:type="dxa"/>
            <w:tcBorders/>
            <w:shd w:fill="FFFFFF" w:val="clear"/>
            <w:vAlign w:val="center"/>
          </w:tcPr>
          <w:p>
            <w:pPr>
              <w:pStyle w:val="TableContents"/>
              <w:spacing w:before="0" w:after="283"/>
              <w:ind w:left="0" w:right="0" w:hanging="0"/>
              <w:rPr/>
            </w:pPr>
            <w:r>
              <w:rPr/>
              <w:t> </w:t>
            </w:r>
          </w:p>
        </w:tc>
        <w:tc>
          <w:tcPr>
            <w:tcW w:w="132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intangible assets subject to amortization</w:t>
            </w:r>
          </w:p>
        </w:tc>
        <w:tc>
          <w:tcPr>
            <w:tcW w:w="60" w:type="dxa"/>
            <w:tcBorders/>
            <w:shd w:fill="CCEEFF" w:val="clear"/>
            <w:vAlign w:val="center"/>
          </w:tcPr>
          <w:p>
            <w:pPr>
              <w:pStyle w:val="TableContents"/>
              <w:spacing w:before="0" w:after="283"/>
              <w:ind w:left="0" w:right="0" w:hanging="0"/>
              <w:rPr/>
            </w:pPr>
            <w:r>
              <w:rPr/>
              <w:t> </w:t>
            </w:r>
          </w:p>
        </w:tc>
        <w:tc>
          <w:tcPr>
            <w:tcW w:w="16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12,660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3" w:type="dxa"/>
            <w:tcBorders/>
            <w:shd w:fill="CCEEFF" w:val="clear"/>
            <w:vAlign w:val="center"/>
          </w:tcPr>
          <w:p>
            <w:pPr>
              <w:pStyle w:val="TableContents"/>
              <w:spacing w:before="0" w:after="283"/>
              <w:rPr/>
            </w:pPr>
            <w:r>
              <w:rPr/>
              <w:t> </w:t>
            </w:r>
          </w:p>
        </w:tc>
        <w:tc>
          <w:tcPr>
            <w:tcW w:w="1326"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Fonts w:ascii="Times New Roman" w:hAnsi="Times New Roman"/>
          <w:caps w:val="false"/>
          <w:smallCaps w:val="false"/>
          <w:sz w:val="20"/>
        </w:rPr>
        <w:t xml:space="preserve">The following unaudited pro forma financial information summarizes the results of operations of the Company and ShiftWizard as though the companies were combined as of </w:t>
      </w:r>
      <w:r>
        <w:rPr>
          <w:rStyle w:val="Emphasis"/>
          <w:rFonts w:ascii="Times New Roman" w:hAnsi="Times New Roman"/>
          <w:caps w:val="false"/>
          <w:smallCaps w:val="false"/>
          <w:sz w:val="20"/>
        </w:rPr>
        <w:t>January 1, 2019 (</w:t>
      </w:r>
      <w:r>
        <w:rPr>
          <w:rFonts w:ascii="Times New Roman" w:hAnsi="Times New Roman"/>
          <w:caps w:val="false"/>
          <w:smallCaps w:val="false"/>
          <w:sz w:val="20"/>
        </w:rPr>
        <w:t>in thousands, except per share data):</w:t>
      </w:r>
    </w:p>
    <w:p>
      <w:pPr>
        <w:pStyle w:val="TextBody"/>
        <w:spacing w:before="0" w:after="0"/>
        <w:ind w:left="0" w:right="0" w:hanging="0"/>
        <w:rPr>
          <w:caps w:val="false"/>
          <w:smallCaps w:val="false"/>
        </w:rPr>
      </w:pPr>
      <w:r>
        <w:rPr>
          <w:caps w:val="false"/>
          <w:smallCaps w:val="false"/>
        </w:rPr>
        <w:t> </w:t>
      </w:r>
    </w:p>
    <w:tbl>
      <w:tblPr>
        <w:tblW w:w="5705" w:type="dxa"/>
        <w:jc w:val="left"/>
        <w:tblInd w:w="0" w:type="dxa"/>
        <w:tblCellMar>
          <w:top w:w="0" w:type="dxa"/>
          <w:left w:w="0" w:type="dxa"/>
          <w:bottom w:w="0" w:type="dxa"/>
          <w:right w:w="0" w:type="dxa"/>
        </w:tblCellMar>
      </w:tblPr>
      <w:tblGrid>
        <w:gridCol w:w="2885"/>
        <w:gridCol w:w="60"/>
        <w:gridCol w:w="125"/>
        <w:gridCol w:w="695"/>
        <w:gridCol w:w="60"/>
        <w:gridCol w:w="60"/>
        <w:gridCol w:w="125"/>
        <w:gridCol w:w="695"/>
        <w:gridCol w:w="60"/>
        <w:gridCol w:w="60"/>
        <w:gridCol w:w="125"/>
        <w:gridCol w:w="695"/>
        <w:gridCol w:w="60"/>
      </w:tblGrid>
      <w:tr>
        <w:trPr/>
        <w:tc>
          <w:tcPr>
            <w:tcW w:w="28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257,291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248,306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257,042</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from continuing operations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6,352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13,056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11,604</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6,352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13,178</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basic</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0.41</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diluted</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0.41</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indicative of what the Company’s results of operations would have been had the transaction occurred at the beginning of the earliest period presented or to project the Company’s results of operations in any future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ANSOS</w:t>
      </w:r>
      <w:r>
        <w:rPr>
          <w:rFonts w:ascii="Times New Roman" w:hAnsi="Times New Roman"/>
          <w:caps w:val="false"/>
          <w:smallCaps w:val="false"/>
          <w:sz w:val="20"/>
        </w:rPr>
        <w:t> </w:t>
      </w:r>
      <w:r>
        <w:rPr>
          <w:rFonts w:ascii="Times New Roman" w:hAnsi="Times New Roman"/>
          <w:b/>
          <w:i/>
          <w:caps w:val="false"/>
          <w:smallCaps w:val="false"/>
          <w:sz w:val="20"/>
        </w:rPr>
        <w:t>Staff Scheduling application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 2020, </w:t>
      </w:r>
      <w:r>
        <w:rPr>
          <w:rFonts w:ascii="Times New Roman" w:hAnsi="Times New Roman"/>
          <w:caps w:val="false"/>
          <w:smallCaps w:val="false"/>
          <w:sz w:val="20"/>
        </w:rPr>
        <w:t xml:space="preserve">the Company acquired all of the equity interests of Change Healthcare’s staff scheduling business, consisting of the ANSOS Staff Scheduling application and related products (ANSOS). The consideration paid for ANSOS was $66.4 million in cash, after giving effect to the post-closing working capital adjustment. Acquisition-related transaction costs were $1.2 million. The financial results of ANSOS have been included in the Workforce Solutions segment from </w:t>
      </w:r>
      <w:r>
        <w:rPr>
          <w:rStyle w:val="Emphasis"/>
          <w:rFonts w:ascii="Times New Roman" w:hAnsi="Times New Roman"/>
          <w:caps w:val="false"/>
          <w:smallCaps w:val="false"/>
          <w:sz w:val="20"/>
        </w:rPr>
        <w:t>December 2,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fair value of the assets acquired and liabilities assumed as of the date of acquisition (in thousands):</w:t>
      </w:r>
    </w:p>
    <w:p>
      <w:pPr>
        <w:pStyle w:val="TextBody"/>
        <w:spacing w:before="0" w:after="0"/>
        <w:ind w:left="0" w:right="0" w:hanging="0"/>
        <w:rPr>
          <w:caps w:val="false"/>
          <w:smallCaps w:val="false"/>
        </w:rPr>
      </w:pPr>
      <w:r>
        <w:rPr>
          <w:caps w:val="false"/>
          <w:smallCaps w:val="false"/>
        </w:rPr>
        <w:t> </w:t>
      </w:r>
    </w:p>
    <w:tbl>
      <w:tblPr>
        <w:tblW w:w="4235" w:type="dxa"/>
        <w:jc w:val="left"/>
        <w:tblInd w:w="0" w:type="dxa"/>
        <w:tblCellMar>
          <w:top w:w="0" w:type="dxa"/>
          <w:left w:w="0" w:type="dxa"/>
          <w:bottom w:w="0" w:type="dxa"/>
          <w:right w:w="0" w:type="dxa"/>
        </w:tblCellMar>
      </w:tblPr>
      <w:tblGrid>
        <w:gridCol w:w="3320"/>
        <w:gridCol w:w="60"/>
        <w:gridCol w:w="125"/>
        <w:gridCol w:w="650"/>
        <w:gridCol w:w="80"/>
      </w:tblGrid>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1,599</w:t>
            </w:r>
          </w:p>
        </w:tc>
        <w:tc>
          <w:tcPr>
            <w:tcW w:w="8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Accounts and unbilled receivable,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11,017</w:t>
            </w:r>
          </w:p>
        </w:tc>
        <w:tc>
          <w:tcPr>
            <w:tcW w:w="80"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Prepaid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233</w:t>
            </w:r>
          </w:p>
        </w:tc>
        <w:tc>
          <w:tcPr>
            <w:tcW w:w="8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888</w:t>
            </w:r>
          </w:p>
        </w:tc>
        <w:tc>
          <w:tcPr>
            <w:tcW w:w="80"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Property and equipment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w:t>
            </w:r>
          </w:p>
        </w:tc>
        <w:tc>
          <w:tcPr>
            <w:tcW w:w="8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1,191</w:t>
            </w:r>
          </w:p>
        </w:tc>
        <w:tc>
          <w:tcPr>
            <w:tcW w:w="80"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36,440</w:t>
            </w:r>
          </w:p>
        </w:tc>
        <w:tc>
          <w:tcPr>
            <w:tcW w:w="80"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32,440</w:t>
            </w:r>
          </w:p>
        </w:tc>
        <w:tc>
          <w:tcPr>
            <w:tcW w:w="80"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(13,873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(888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Deferred tax liability</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(889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2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assets acquired</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66,448</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excess of purchase price over the fair values of net tangible and intangible assets is recorded as goodwill. The fair values of tangible and identifiable intangible assets and liabilities are based on management’s estimates and assumptions. During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made adjustments to accounts receivable, deferred revenue, indemnification asset, uncertain tax position liability, accounts payable and accrued liabilities, and deferred tax assets based on updated information obtained since our preliminary estimates were made. As a result of these items, coupled with the impact of the post-closing working capital adjustment, the Company recorded a measurement period adjustment which increased goodwill by $1.2 million. The measurement period adjustment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 on current or prior period earnings. The primary intangible assets acquired were customer relationships and developed technology. The fair value estimate for customer relationships intangible asset included significant assumptions regarding prospective financial information with respect to the acquisition, including with respect to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ANSOS products, and expected synergies from integrating ANSOS with other products or other combined functional areas within the Company.</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goodwill balance is deductible for U.S. income tax purposes. The net tangible assets include deferred revenue, which was adjusted down from a book value at the acquisition date of $17.2 million to an estimated fair value of $13.9 million. The $3.3 million write-down of deferred revenue will result in lower revenues than would have otherwise been recognized for such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identifiable intangible assets and their estimated useful lives as of the acquisition date (in thousands):</w:t>
      </w:r>
    </w:p>
    <w:p>
      <w:pPr>
        <w:pStyle w:val="TextBody"/>
        <w:spacing w:before="0" w:after="0"/>
        <w:ind w:left="0" w:right="0" w:hanging="0"/>
        <w:rPr>
          <w:caps w:val="false"/>
          <w:smallCaps w:val="false"/>
        </w:rPr>
      </w:pPr>
      <w:r>
        <w:rPr>
          <w:caps w:val="false"/>
          <w:smallCaps w:val="false"/>
        </w:rPr>
        <w:t> </w:t>
      </w:r>
    </w:p>
    <w:tbl>
      <w:tblPr>
        <w:tblW w:w="6613" w:type="dxa"/>
        <w:jc w:val="left"/>
        <w:tblInd w:w="0" w:type="dxa"/>
        <w:tblCellMar>
          <w:top w:w="0" w:type="dxa"/>
          <w:left w:w="0" w:type="dxa"/>
          <w:bottom w:w="0" w:type="dxa"/>
          <w:right w:w="0" w:type="dxa"/>
        </w:tblCellMar>
      </w:tblPr>
      <w:tblGrid>
        <w:gridCol w:w="3770"/>
        <w:gridCol w:w="60"/>
        <w:gridCol w:w="163"/>
        <w:gridCol w:w="771"/>
        <w:gridCol w:w="60"/>
        <w:gridCol w:w="60"/>
        <w:gridCol w:w="154"/>
        <w:gridCol w:w="1515"/>
        <w:gridCol w:w="60"/>
      </w:tblGrid>
      <w:tr>
        <w:trPr/>
        <w:tc>
          <w:tcPr>
            <w:tcW w:w="37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Useful life (in years)</w:t>
            </w:r>
          </w:p>
        </w:tc>
        <w:tc>
          <w:tcPr>
            <w:tcW w:w="6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spacing w:before="0" w:after="283"/>
              <w:ind w:left="0" w:right="0" w:hanging="0"/>
              <w:rPr/>
            </w:pPr>
            <w:r>
              <w:rPr/>
              <w:t> </w:t>
            </w:r>
          </w:p>
        </w:tc>
        <w:tc>
          <w:tcPr>
            <w:tcW w:w="16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151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11 - 14</w:t>
            </w:r>
          </w:p>
        </w:tc>
        <w:tc>
          <w:tcPr>
            <w:tcW w:w="6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Developed technology</w:t>
            </w:r>
          </w:p>
        </w:tc>
        <w:tc>
          <w:tcPr>
            <w:tcW w:w="60" w:type="dxa"/>
            <w:tcBorders/>
            <w:shd w:fill="FFFFFF" w:val="clear"/>
            <w:vAlign w:val="center"/>
          </w:tcPr>
          <w:p>
            <w:pPr>
              <w:pStyle w:val="TableContents"/>
              <w:spacing w:before="0" w:after="283"/>
              <w:rPr/>
            </w:pPr>
            <w:r>
              <w:rPr/>
              <w:t> </w:t>
            </w:r>
          </w:p>
        </w:tc>
        <w:tc>
          <w:tcPr>
            <w:tcW w:w="163" w:type="dxa"/>
            <w:tcBorders/>
            <w:shd w:fill="FFFFFF" w:val="clear"/>
            <w:vAlign w:val="center"/>
          </w:tcPr>
          <w:p>
            <w:pPr>
              <w:pStyle w:val="TableContents"/>
              <w:spacing w:before="0" w:after="283"/>
              <w:ind w:left="0" w:right="0" w:hanging="0"/>
              <w:rPr/>
            </w:pPr>
            <w:r>
              <w:rPr/>
              <w:t> </w:t>
            </w:r>
          </w:p>
        </w:tc>
        <w:tc>
          <w:tcPr>
            <w:tcW w:w="77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ind w:left="0" w:right="0" w:hanging="0"/>
              <w:rPr/>
            </w:pPr>
            <w:r>
              <w:rPr/>
              <w:t> </w:t>
            </w:r>
          </w:p>
        </w:tc>
        <w:tc>
          <w:tcPr>
            <w:tcW w:w="151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Trade name</w:t>
            </w:r>
          </w:p>
        </w:tc>
        <w:tc>
          <w:tcPr>
            <w:tcW w:w="60" w:type="dxa"/>
            <w:tcBorders/>
            <w:shd w:fill="CCEEFF" w:val="clear"/>
            <w:vAlign w:val="center"/>
          </w:tcPr>
          <w:p>
            <w:pPr>
              <w:pStyle w:val="TableContents"/>
              <w:spacing w:before="0" w:after="283"/>
              <w:rPr/>
            </w:pPr>
            <w:r>
              <w:rPr/>
              <w:t> </w:t>
            </w:r>
          </w:p>
        </w:tc>
        <w:tc>
          <w:tcPr>
            <w:tcW w:w="16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7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151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w:t>
            </w:r>
          </w:p>
        </w:tc>
        <w:tc>
          <w:tcPr>
            <w:tcW w:w="6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Total intangible assets subject to amortization</w:t>
            </w:r>
          </w:p>
        </w:tc>
        <w:tc>
          <w:tcPr>
            <w:tcW w:w="60" w:type="dxa"/>
            <w:tcBorders/>
            <w:shd w:fill="FFFFFF" w:val="clear"/>
            <w:vAlign w:val="center"/>
          </w:tcPr>
          <w:p>
            <w:pPr>
              <w:pStyle w:val="TableContents"/>
              <w:spacing w:before="0" w:after="283"/>
              <w:ind w:left="0" w:right="0" w:hanging="0"/>
              <w:rPr/>
            </w:pPr>
            <w:r>
              <w:rPr/>
              <w:t> </w:t>
            </w:r>
          </w:p>
        </w:tc>
        <w:tc>
          <w:tcPr>
            <w:tcW w:w="16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7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32,440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1515"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following unaudited pro forma financial information summarizes the results of operations of the Company and ANSOS as though the companies were combined as of </w:t>
      </w:r>
      <w:r>
        <w:rPr>
          <w:rStyle w:val="Emphasis"/>
          <w:rFonts w:ascii="Times New Roman" w:hAnsi="Times New Roman"/>
          <w:caps w:val="false"/>
          <w:smallCaps w:val="false"/>
          <w:sz w:val="20"/>
        </w:rPr>
        <w:t>January 1, 2019 (</w:t>
      </w:r>
      <w:r>
        <w:rPr>
          <w:rFonts w:ascii="Times New Roman" w:hAnsi="Times New Roman"/>
          <w:caps w:val="false"/>
          <w:smallCaps w:val="false"/>
          <w:sz w:val="20"/>
        </w:rPr>
        <w:t>in thousands, except per share data):</w:t>
      </w:r>
    </w:p>
    <w:p>
      <w:pPr>
        <w:pStyle w:val="TextBody"/>
        <w:spacing w:before="0" w:after="0"/>
        <w:ind w:left="0" w:right="0" w:hanging="0"/>
        <w:rPr>
          <w:caps w:val="false"/>
          <w:smallCaps w:val="false"/>
        </w:rPr>
      </w:pPr>
      <w:r>
        <w:rPr>
          <w:caps w:val="false"/>
          <w:smallCaps w:val="false"/>
        </w:rPr>
        <w:t> </w:t>
      </w:r>
    </w:p>
    <w:tbl>
      <w:tblPr>
        <w:tblW w:w="5705" w:type="dxa"/>
        <w:jc w:val="left"/>
        <w:tblInd w:w="0" w:type="dxa"/>
        <w:tblCellMar>
          <w:top w:w="0" w:type="dxa"/>
          <w:left w:w="0" w:type="dxa"/>
          <w:bottom w:w="0" w:type="dxa"/>
          <w:right w:w="0" w:type="dxa"/>
        </w:tblCellMar>
      </w:tblPr>
      <w:tblGrid>
        <w:gridCol w:w="2885"/>
        <w:gridCol w:w="60"/>
        <w:gridCol w:w="125"/>
        <w:gridCol w:w="695"/>
        <w:gridCol w:w="60"/>
        <w:gridCol w:w="60"/>
        <w:gridCol w:w="125"/>
        <w:gridCol w:w="695"/>
        <w:gridCol w:w="60"/>
        <w:gridCol w:w="60"/>
        <w:gridCol w:w="125"/>
        <w:gridCol w:w="695"/>
        <w:gridCol w:w="60"/>
      </w:tblGrid>
      <w:tr>
        <w:trPr/>
        <w:tc>
          <w:tcPr>
            <w:tcW w:w="28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259,451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270,246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278,491</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from continuing operations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8,072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18,861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16,534</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18,108</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basic</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0.56</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income per share - diluted</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0.56</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indicative of what the Company’s results of operations would have been had the transaction occurred at the beginning of the earliest period presented or to project the Company’s results of operations in any future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rPr>
          <w:rFonts w:ascii="Times New Roman" w:hAnsi="Times New Roman"/>
          <w:caps w:val="false"/>
          <w:smallCaps w:val="false"/>
          <w:sz w:val="20"/>
        </w:rPr>
      </w:pPr>
      <w:r>
        <w:rPr>
          <w:rFonts w:ascii="Times New Roman" w:hAnsi="Times New Roman"/>
          <w:b/>
          <w:i/>
          <w:caps w:val="false"/>
          <w:smallCaps w:val="false"/>
          <w:sz w:val="20"/>
        </w:rPr>
        <w:t>Other Business Combinations</w:t>
      </w:r>
      <w:r>
        <w:rPr>
          <w:rFonts w:ascii="Times New Roman" w:hAnsi="Times New Roman"/>
          <w:caps w:val="false"/>
          <w:smallCaps w:val="false"/>
          <w:sz w:val="20"/>
        </w:rPr>
        <w:t xml:space="preserve"> </w:t>
      </w:r>
    </w:p>
    <w:p>
      <w:pPr>
        <w:pStyle w:val="TextBody"/>
        <w:spacing w:before="0" w:after="0"/>
        <w:rPr>
          <w:caps w:val="false"/>
          <w:smallCaps w:val="false"/>
        </w:rPr>
      </w:pPr>
      <w:r>
        <w:rPr>
          <w:caps w:val="false"/>
          <w:smallCaps w:val="false"/>
        </w:rPr>
        <w:t xml:space="preserve">  </w:t>
      </w:r>
    </w:p>
    <w:p>
      <w:pPr>
        <w:pStyle w:val="TextBody"/>
        <w:spacing w:before="0" w:after="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10, 2020, </w:t>
      </w:r>
      <w:r>
        <w:rPr>
          <w:rFonts w:ascii="Times New Roman" w:hAnsi="Times New Roman"/>
          <w:caps w:val="false"/>
          <w:smallCaps w:val="false"/>
          <w:sz w:val="20"/>
        </w:rPr>
        <w:t xml:space="preserve">the Company acquired substantially all of the assets of myClinicalExchange, LLC, a Denver, Colorado-based information technologies company offering a SaaS-based solution that allows healthcare organizations to track, manage, and report the intern and clinical rotation educational requirements of medical, nursing, and allied healthcare students, as well as host required documentation for medical residents. The consideration paid for myClinicalExchange consisted of $4.4 million in cash. Acquisition-related transaction costs were $0.1 million. The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material to the Company’s financial statements. The Company accounted for the acquisition as a business combination and has allocated the purchase consideration based on management’s estimates of fair value. The results of operations for myClinicalExchange are included in the Company’s Consolidated Financial Statements from the date of acquisition and are included in the Workforce Solutions segment. </w:t>
      </w:r>
    </w:p>
    <w:p>
      <w:pPr>
        <w:pStyle w:val="TextBody"/>
        <w:spacing w:before="0" w:after="0"/>
        <w:jc w:val="both"/>
        <w:rPr>
          <w:caps w:val="false"/>
          <w:smallCaps w:val="false"/>
        </w:rPr>
      </w:pPr>
      <w:r>
        <w:rPr>
          <w:caps w:val="false"/>
          <w:smallCaps w:val="false"/>
        </w:rPr>
        <w:t xml:space="preserve">  </w:t>
      </w:r>
    </w:p>
    <w:p>
      <w:pPr>
        <w:pStyle w:val="TextBody"/>
        <w:spacing w:before="0" w:after="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19, 2021, </w:t>
      </w:r>
      <w:r>
        <w:rPr>
          <w:rFonts w:ascii="Times New Roman" w:hAnsi="Times New Roman"/>
          <w:caps w:val="false"/>
          <w:smallCaps w:val="false"/>
          <w:sz w:val="20"/>
        </w:rPr>
        <w:t xml:space="preserve">the Company acquired the issued and outstanding equity of ProcessDATA, Ltd. (d/b/a ComplyALIGN and HospitalPORTAL) ("ComplyALIGN"), a Chicago, Illinois-based healthcare technology company offering SaaS-based policy management system for healthcare organizations, for $2.0 million in cash. Acquisition-related transaction costs were $0.1 million. The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material to the Company’s financial statements. The Company accounted for the acquisition as a business combination and has allocated the purchase consideration based on management’s estimates of fair value. The results of operations for ComplyALIGN are included in the Company’s Consolidated Financial Statements from the date of acquisition and are included in the Workforce Solutions segment. </w:t>
      </w:r>
    </w:p>
    <w:p>
      <w:pPr>
        <w:pStyle w:val="TextBody"/>
        <w:spacing w:before="0" w:after="0"/>
        <w:jc w:val="both"/>
        <w:rPr>
          <w:caps w:val="false"/>
          <w:smallCaps w:val="false"/>
        </w:rPr>
      </w:pPr>
      <w:r>
        <w:rPr>
          <w:caps w:val="false"/>
          <w:smallCaps w:val="false"/>
        </w:rPr>
        <w:t xml:space="preserve">  </w:t>
      </w:r>
    </w:p>
    <w:p>
      <w:pPr>
        <w:pStyle w:val="TextBody"/>
        <w:spacing w:before="0" w:after="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December </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acquired substantially all of the assets of Rievent Technologies, LLC ("Rievent"), a Virginia Beach, Virginia-based healthcare technology company offering a SaaS-based continuing education (CME/CE) management and delivery application, branded Rievent, which supports publishers, professional associations, healthcare insurance companies, and healthcare providers, for $4.0 million in cash. Of the purchase price paid at closing, $0.4 million is being held in escrow for a period of time following the closing to serve as a source of recovery for certain potential indemnification claims by the Company. Acquisition-related transaction costs were $0.1 million. The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material to the Company’s financial statements. The Company accounted for the acquisition as a business combination and has allocated the purchase consideration based on management’s estimates of fair value. The results of operations for Rievent are included in the Company’s Consolidated Financial Statements from the date of acquisition and are included in the Workforce Solutions segment. </w:t>
      </w:r>
    </w:p>
    <w:p>
      <w:pPr>
        <w:pStyle w:val="TextBody"/>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both"/>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BUSINESS SEGMENTS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provides services to healthcare organizations and other members within the healthcare industry. The Company’s services are focused on the delivery of workforce training, certification, assessment, development, and scheduling products and services (Workforce Solutions) and provider credentialing, privileging, call center, and enrollment products and services (Provider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information systems, investor relations, administrative and executive personnel, depreciation, a portion of amortization, and certain other expenses,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allocated in measuring segment performance. The following is the Company’s business segment information as of and for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(in thousands).</w:t>
      </w:r>
    </w:p>
    <w:p>
      <w:pPr>
        <w:pStyle w:val="TextBody"/>
        <w:spacing w:before="0" w:after="0"/>
        <w:ind w:left="0" w:right="0" w:hanging="0"/>
        <w:rPr>
          <w:caps w:val="false"/>
          <w:smallCaps w:val="false"/>
        </w:rPr>
      </w:pPr>
      <w:r>
        <w:rPr>
          <w:caps w:val="false"/>
          <w:smallCaps w:val="false"/>
        </w:rPr>
        <w:t> </w:t>
      </w:r>
    </w:p>
    <w:tbl>
      <w:tblPr>
        <w:tblW w:w="4520" w:type="dxa"/>
        <w:jc w:val="left"/>
        <w:tblInd w:w="0" w:type="dxa"/>
        <w:tblCellMar>
          <w:top w:w="0" w:type="dxa"/>
          <w:left w:w="0" w:type="dxa"/>
          <w:bottom w:w="0" w:type="dxa"/>
          <w:right w:w="0" w:type="dxa"/>
        </w:tblCellMar>
      </w:tblPr>
      <w:tblGrid>
        <w:gridCol w:w="1700"/>
        <w:gridCol w:w="60"/>
        <w:gridCol w:w="125"/>
        <w:gridCol w:w="695"/>
        <w:gridCol w:w="60"/>
        <w:gridCol w:w="60"/>
        <w:gridCol w:w="125"/>
        <w:gridCol w:w="695"/>
        <w:gridCol w:w="60"/>
        <w:gridCol w:w="60"/>
        <w:gridCol w:w="125"/>
        <w:gridCol w:w="695"/>
        <w:gridCol w:w="60"/>
      </w:tblGrid>
      <w:tr>
        <w:trPr/>
        <w:tc>
          <w:tcPr>
            <w:tcW w:w="170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Revenues, net:</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Workforce Solutions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205,443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197,587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208,599</w:t>
            </w:r>
          </w:p>
        </w:tc>
        <w:tc>
          <w:tcPr>
            <w:tcW w:w="60" w:type="dxa"/>
            <w:tcBorders/>
            <w:shd w:fill="CCEEFF" w:val="clear"/>
            <w:vAlign w:val="center"/>
          </w:tcPr>
          <w:p>
            <w:pPr>
              <w:pStyle w:val="TableContents"/>
              <w:spacing w:before="0" w:after="283"/>
              <w:rPr/>
            </w:pPr>
            <w:r>
              <w:rPr/>
              <w:t> </w:t>
            </w:r>
          </w:p>
        </w:tc>
      </w:tr>
      <w:tr>
        <w:trPr/>
        <w:tc>
          <w:tcPr>
            <w:tcW w:w="170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Provider Solutions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51,269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47,239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45,513</w:t>
            </w:r>
          </w:p>
        </w:tc>
        <w:tc>
          <w:tcPr>
            <w:tcW w:w="60" w:type="dxa"/>
            <w:tcBorders/>
            <w:shd w:fill="FFFFFF"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256,712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244,826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254,112</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tbl>
      <w:tblPr>
        <w:tblW w:w="4670" w:type="dxa"/>
        <w:jc w:val="left"/>
        <w:tblInd w:w="0" w:type="dxa"/>
        <w:tblCellMar>
          <w:top w:w="0" w:type="dxa"/>
          <w:left w:w="0" w:type="dxa"/>
          <w:bottom w:w="0" w:type="dxa"/>
          <w:right w:w="0" w:type="dxa"/>
        </w:tblCellMar>
      </w:tblPr>
      <w:tblGrid>
        <w:gridCol w:w="1925"/>
        <w:gridCol w:w="60"/>
        <w:gridCol w:w="125"/>
        <w:gridCol w:w="650"/>
        <w:gridCol w:w="80"/>
        <w:gridCol w:w="60"/>
        <w:gridCol w:w="125"/>
        <w:gridCol w:w="650"/>
        <w:gridCol w:w="80"/>
        <w:gridCol w:w="60"/>
        <w:gridCol w:w="125"/>
        <w:gridCol w:w="650"/>
        <w:gridCol w:w="80"/>
      </w:tblGrid>
      <w:tr>
        <w:trPr/>
        <w:tc>
          <w:tcPr>
            <w:tcW w:w="192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income:</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80" w:type="dxa"/>
            <w:tcBorders/>
            <w:shd w:fill="FFFFFF" w:val="clear"/>
            <w:vAlign w:val="center"/>
          </w:tcPr>
          <w:p>
            <w:pPr>
              <w:pStyle w:val="TableContents"/>
              <w:spacing w:before="0" w:after="283"/>
              <w:rPr/>
            </w:pPr>
            <w:r>
              <w:rPr/>
              <w:t> </w:t>
            </w:r>
          </w:p>
        </w:tc>
      </w:tr>
      <w:tr>
        <w:trPr/>
        <w:tc>
          <w:tcPr>
            <w:tcW w:w="192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Workforce Solutions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31,736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41,622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40,296</w:t>
            </w:r>
          </w:p>
        </w:tc>
        <w:tc>
          <w:tcPr>
            <w:tcW w:w="80" w:type="dxa"/>
            <w:tcBorders/>
            <w:shd w:fill="CCEEFF" w:val="clear"/>
            <w:vAlign w:val="center"/>
          </w:tcPr>
          <w:p>
            <w:pPr>
              <w:pStyle w:val="TableContents"/>
              <w:spacing w:before="0" w:after="283"/>
              <w:rPr/>
            </w:pPr>
            <w:r>
              <w:rPr/>
              <w:t> </w:t>
            </w:r>
          </w:p>
        </w:tc>
      </w:tr>
      <w:tr>
        <w:trPr/>
        <w:tc>
          <w:tcPr>
            <w:tcW w:w="192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Provider Solutions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7,915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5,384</w:t>
            </w:r>
          </w:p>
        </w:tc>
        <w:tc>
          <w:tcPr>
            <w:tcW w:w="80" w:type="dxa"/>
            <w:tcBorders/>
            <w:shd w:fill="FFFFFF" w:val="clear"/>
            <w:vAlign w:val="center"/>
          </w:tcPr>
          <w:p>
            <w:pPr>
              <w:pStyle w:val="TableContents"/>
              <w:spacing w:before="0" w:after="283"/>
              <w:rPr/>
            </w:pPr>
            <w:r>
              <w:rPr/>
              <w:t> </w:t>
            </w:r>
          </w:p>
        </w:tc>
      </w:tr>
      <w:tr>
        <w:trPr/>
        <w:tc>
          <w:tcPr>
            <w:tcW w:w="192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Unallocated</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(31,596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(30,482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(30,960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92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operating income</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8,055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15,818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14,720</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8857" w:type="dxa"/>
        <w:jc w:val="left"/>
        <w:tblInd w:w="0" w:type="dxa"/>
        <w:tblCellMar>
          <w:top w:w="0" w:type="dxa"/>
          <w:left w:w="0" w:type="dxa"/>
          <w:bottom w:w="0" w:type="dxa"/>
          <w:right w:w="0" w:type="dxa"/>
        </w:tblCellMar>
      </w:tblPr>
      <w:tblGrid>
        <w:gridCol w:w="1700"/>
        <w:gridCol w:w="60"/>
        <w:gridCol w:w="125"/>
        <w:gridCol w:w="695"/>
        <w:gridCol w:w="60"/>
        <w:gridCol w:w="60"/>
        <w:gridCol w:w="125"/>
        <w:gridCol w:w="695"/>
        <w:gridCol w:w="60"/>
        <w:gridCol w:w="60"/>
        <w:gridCol w:w="129"/>
        <w:gridCol w:w="613"/>
        <w:gridCol w:w="62"/>
        <w:gridCol w:w="62"/>
        <w:gridCol w:w="129"/>
        <w:gridCol w:w="613"/>
        <w:gridCol w:w="62"/>
        <w:gridCol w:w="62"/>
        <w:gridCol w:w="129"/>
        <w:gridCol w:w="613"/>
        <w:gridCol w:w="60"/>
        <w:gridCol w:w="60"/>
        <w:gridCol w:w="134"/>
        <w:gridCol w:w="635"/>
        <w:gridCol w:w="64"/>
        <w:gridCol w:w="64"/>
        <w:gridCol w:w="134"/>
        <w:gridCol w:w="635"/>
        <w:gridCol w:w="64"/>
        <w:gridCol w:w="64"/>
        <w:gridCol w:w="134"/>
        <w:gridCol w:w="635"/>
        <w:gridCol w:w="60"/>
      </w:tblGrid>
      <w:tr>
        <w:trPr/>
        <w:tc>
          <w:tcPr>
            <w:tcW w:w="1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6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Assets*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74"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Purchases of long-lived assets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63"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Depreciation and amortization</w:t>
            </w:r>
          </w:p>
        </w:tc>
        <w:tc>
          <w:tcPr>
            <w:tcW w:w="60" w:type="dxa"/>
            <w:tcBorders/>
            <w:shd w:fill="FFFFFF" w:val="clear"/>
            <w:vAlign w:val="center"/>
          </w:tcPr>
          <w:p>
            <w:pPr>
              <w:pStyle w:val="TableContents"/>
              <w:spacing w:before="0" w:after="283"/>
              <w:rPr/>
            </w:pPr>
            <w:r>
              <w:rPr/>
              <w:t> </w:t>
            </w:r>
          </w:p>
        </w:tc>
      </w:tr>
      <w:tr>
        <w:trPr/>
        <w:tc>
          <w:tcPr>
            <w:tcW w:w="1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4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2"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74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2"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74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ind w:left="0" w:right="0" w:hanging="0"/>
              <w:rPr/>
            </w:pPr>
            <w:r>
              <w:rPr/>
              <w:t> </w:t>
            </w:r>
          </w:p>
        </w:tc>
        <w:tc>
          <w:tcPr>
            <w:tcW w:w="7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ind w:left="0" w:right="0" w:hanging="0"/>
              <w:rPr/>
            </w:pPr>
            <w:r>
              <w:rPr/>
              <w:t> </w:t>
            </w:r>
          </w:p>
        </w:tc>
        <w:tc>
          <w:tcPr>
            <w:tcW w:w="7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Workforce Solutions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258,864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270,924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17,831</w:t>
            </w:r>
          </w:p>
        </w:tc>
        <w:tc>
          <w:tcPr>
            <w:tcW w:w="62"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17,586</w:t>
            </w:r>
          </w:p>
        </w:tc>
        <w:tc>
          <w:tcPr>
            <w:tcW w:w="62"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20,616</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ind w:left="0" w:right="0" w:hanging="0"/>
              <w:rPr/>
            </w:pPr>
            <w:r>
              <w:rPr/>
              <w:t> </w:t>
            </w:r>
          </w:p>
        </w:tc>
        <w:tc>
          <w:tcPr>
            <w:tcW w:w="13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12,930</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ind w:left="0" w:right="0" w:hanging="0"/>
              <w:rPr/>
            </w:pPr>
            <w:r>
              <w:rPr/>
              <w:t> </w:t>
            </w:r>
          </w:p>
        </w:tc>
        <w:tc>
          <w:tcPr>
            <w:tcW w:w="13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10,813</w:t>
            </w:r>
          </w:p>
        </w:tc>
        <w:tc>
          <w:tcPr>
            <w:tcW w:w="60" w:type="dxa"/>
            <w:tcBorders/>
            <w:shd w:fill="CCEEFF" w:val="clear"/>
            <w:vAlign w:val="center"/>
          </w:tcPr>
          <w:p>
            <w:pPr>
              <w:pStyle w:val="TableContents"/>
              <w:spacing w:before="0" w:after="283"/>
              <w:rPr/>
            </w:pPr>
            <w:r>
              <w:rPr/>
              <w:t> </w:t>
            </w:r>
          </w:p>
        </w:tc>
      </w:tr>
      <w:tr>
        <w:trPr/>
        <w:tc>
          <w:tcPr>
            <w:tcW w:w="170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Provider Solutions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137,008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140,490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4,719</w:t>
            </w:r>
          </w:p>
        </w:tc>
        <w:tc>
          <w:tcPr>
            <w:tcW w:w="62"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2,849</w:t>
            </w:r>
          </w:p>
        </w:tc>
        <w:tc>
          <w:tcPr>
            <w:tcW w:w="62"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2,959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9,861</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10,311</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9,757</w:t>
            </w:r>
          </w:p>
        </w:tc>
        <w:tc>
          <w:tcPr>
            <w:tcW w:w="60" w:type="dxa"/>
            <w:tcBorders/>
            <w:shd w:fill="FFFFFF"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Unallocated</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90,881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88,899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1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892</w:t>
            </w:r>
          </w:p>
        </w:tc>
        <w:tc>
          <w:tcPr>
            <w:tcW w:w="62"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1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573</w:t>
            </w:r>
          </w:p>
        </w:tc>
        <w:tc>
          <w:tcPr>
            <w:tcW w:w="62"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1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6,336</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6,948</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7,299</w:t>
            </w:r>
          </w:p>
        </w:tc>
        <w:tc>
          <w:tcPr>
            <w:tcW w:w="60" w:type="dxa"/>
            <w:tcBorders/>
            <w:shd w:fill="CCEEFF" w:val="clear"/>
            <w:vAlign w:val="center"/>
          </w:tcPr>
          <w:p>
            <w:pPr>
              <w:pStyle w:val="TableContents"/>
              <w:spacing w:before="0" w:after="283"/>
              <w:rPr/>
            </w:pPr>
            <w:r>
              <w:rPr/>
              <w:t> </w:t>
            </w:r>
          </w:p>
        </w:tc>
      </w:tr>
      <w:tr>
        <w:trPr/>
        <w:tc>
          <w:tcPr>
            <w:tcW w:w="170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486,753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500,313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23,442</w:t>
            </w:r>
          </w:p>
        </w:tc>
        <w:tc>
          <w:tcPr>
            <w:tcW w:w="62"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12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21,008</w:t>
            </w:r>
          </w:p>
        </w:tc>
        <w:tc>
          <w:tcPr>
            <w:tcW w:w="62"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12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31,533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36,813</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ind w:left="0" w:right="0" w:hanging="0"/>
              <w:rPr/>
            </w:pPr>
            <w:r>
              <w:rPr/>
              <w:t> </w:t>
            </w:r>
          </w:p>
        </w:tc>
        <w:tc>
          <w:tcPr>
            <w:tcW w:w="1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30,189</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ind w:left="0" w:right="0" w:hanging="0"/>
              <w:rPr/>
            </w:pPr>
            <w:r>
              <w:rPr/>
              <w:t> </w:t>
            </w:r>
          </w:p>
        </w:tc>
        <w:tc>
          <w:tcPr>
            <w:tcW w:w="1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27,869</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 Segment assets include accounts and unbilled receivables, prepaid royalties, prepaid and other current assets, other assets, capitalized software development, deferred commissions, certain property and equipment, and intangible assets. Cash and cash equivalents, marketable securities, non-marketable equity investments, and certain ROU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allocated to individual segments and are included within Unallocated. A significant portion of property and equipment assets are included within Unallocated.</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Components of earnings before income taxes are as follows (in thousands):</w:t>
      </w:r>
    </w:p>
    <w:p>
      <w:pPr>
        <w:pStyle w:val="TextBody"/>
        <w:spacing w:before="0" w:after="0"/>
        <w:ind w:left="0" w:right="0" w:hanging="0"/>
        <w:rPr>
          <w:caps w:val="false"/>
          <w:smallCaps w:val="false"/>
        </w:rPr>
      </w:pPr>
      <w:r>
        <w:rPr>
          <w:caps w:val="false"/>
          <w:smallCaps w:val="false"/>
        </w:rPr>
        <w:t> </w:t>
      </w:r>
    </w:p>
    <w:tbl>
      <w:tblPr>
        <w:tblW w:w="4825" w:type="dxa"/>
        <w:jc w:val="left"/>
        <w:tblInd w:w="0" w:type="dxa"/>
        <w:tblCellMar>
          <w:top w:w="0" w:type="dxa"/>
          <w:left w:w="0" w:type="dxa"/>
          <w:bottom w:w="0" w:type="dxa"/>
          <w:right w:w="0" w:type="dxa"/>
        </w:tblCellMar>
      </w:tblPr>
      <w:tblGrid>
        <w:gridCol w:w="2405"/>
        <w:gridCol w:w="60"/>
        <w:gridCol w:w="125"/>
        <w:gridCol w:w="485"/>
        <w:gridCol w:w="80"/>
        <w:gridCol w:w="60"/>
        <w:gridCol w:w="125"/>
        <w:gridCol w:w="590"/>
        <w:gridCol w:w="60"/>
        <w:gridCol w:w="60"/>
        <w:gridCol w:w="125"/>
        <w:gridCol w:w="590"/>
        <w:gridCol w:w="60"/>
      </w:tblGrid>
      <w:tr>
        <w:trPr/>
        <w:tc>
          <w:tcPr>
            <w:tcW w:w="24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00" w:type="dxa"/>
            <w:gridSpan w:val="1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spacing w:before="0" w:after="283"/>
              <w:rPr/>
            </w:pPr>
            <w:r>
              <w:rPr/>
              <w:t> </w:t>
            </w:r>
          </w:p>
        </w:tc>
      </w:tr>
      <w:tr>
        <w:trPr/>
        <w:tc>
          <w:tcPr>
            <w:tcW w:w="24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r>
      <w:tr>
        <w:trPr/>
        <w:tc>
          <w:tcPr>
            <w:tcW w:w="240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8,006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17,929</w:t>
            </w:r>
          </w:p>
        </w:tc>
        <w:tc>
          <w:tcPr>
            <w:tcW w:w="60" w:type="dxa"/>
            <w:tcBorders/>
            <w:shd w:fill="CCEEFF" w:val="clear"/>
            <w:vAlign w:val="center"/>
          </w:tcPr>
          <w:p>
            <w:pPr>
              <w:pStyle w:val="TableContents"/>
              <w:spacing w:before="0" w:after="283"/>
              <w:rPr/>
            </w:pPr>
            <w:r>
              <w:rPr/>
              <w:t> </w:t>
            </w:r>
          </w:p>
        </w:tc>
      </w:tr>
      <w:tr>
        <w:trPr/>
        <w:tc>
          <w:tcPr>
            <w:tcW w:w="240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r>
      <w:tr>
        <w:trPr/>
        <w:tc>
          <w:tcPr>
            <w:tcW w:w="240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Earnings before income taxes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7,766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17,823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17,929</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 for income taxes is comprised of the following (in thousands):</w:t>
      </w:r>
    </w:p>
    <w:p>
      <w:pPr>
        <w:pStyle w:val="TextBody"/>
        <w:spacing w:before="0" w:after="0"/>
        <w:ind w:left="0" w:right="0" w:hanging="0"/>
        <w:rPr>
          <w:caps w:val="false"/>
          <w:smallCaps w:val="false"/>
        </w:rPr>
      </w:pPr>
      <w:r>
        <w:rPr>
          <w:caps w:val="false"/>
          <w:smallCaps w:val="false"/>
        </w:rPr>
        <w:t> </w:t>
      </w:r>
    </w:p>
    <w:tbl>
      <w:tblPr>
        <w:tblW w:w="4470" w:type="dxa"/>
        <w:jc w:val="left"/>
        <w:tblInd w:w="0" w:type="dxa"/>
        <w:tblCellMar>
          <w:top w:w="0" w:type="dxa"/>
          <w:left w:w="0" w:type="dxa"/>
          <w:bottom w:w="0" w:type="dxa"/>
          <w:right w:w="0" w:type="dxa"/>
        </w:tblCellMar>
      </w:tblPr>
      <w:tblGrid>
        <w:gridCol w:w="2180"/>
        <w:gridCol w:w="60"/>
        <w:gridCol w:w="125"/>
        <w:gridCol w:w="485"/>
        <w:gridCol w:w="80"/>
        <w:gridCol w:w="60"/>
        <w:gridCol w:w="125"/>
        <w:gridCol w:w="545"/>
        <w:gridCol w:w="80"/>
        <w:gridCol w:w="60"/>
        <w:gridCol w:w="125"/>
        <w:gridCol w:w="485"/>
        <w:gridCol w:w="60"/>
      </w:tblGrid>
      <w:tr>
        <w:trPr/>
        <w:tc>
          <w:tcPr>
            <w:tcW w:w="21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70" w:type="dxa"/>
            <w:gridSpan w:val="1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spacing w:before="0" w:after="283"/>
              <w:rPr/>
            </w:pPr>
            <w:r>
              <w:rPr/>
              <w:t> </w:t>
            </w:r>
          </w:p>
        </w:tc>
      </w:tr>
      <w:tr>
        <w:trPr/>
        <w:tc>
          <w:tcPr>
            <w:tcW w:w="21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federal</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233</w:t>
            </w:r>
          </w:p>
        </w:tc>
        <w:tc>
          <w:tcPr>
            <w:tcW w:w="60" w:type="dxa"/>
            <w:tcBorders/>
            <w:shd w:fill="CCEEFF" w:val="clear"/>
            <w:vAlign w:val="center"/>
          </w:tcPr>
          <w:p>
            <w:pPr>
              <w:pStyle w:val="TableContents"/>
              <w:spacing w:before="0" w:after="283"/>
              <w:rPr/>
            </w:pPr>
            <w:r>
              <w:rPr/>
              <w:t> </w:t>
            </w:r>
          </w:p>
        </w:tc>
      </w:tr>
      <w:tr>
        <w:trPr/>
        <w:tc>
          <w:tcPr>
            <w:tcW w:w="218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state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634</w:t>
            </w:r>
          </w:p>
        </w:tc>
        <w:tc>
          <w:tcPr>
            <w:tcW w:w="60" w:type="dxa"/>
            <w:tcBorders/>
            <w:shd w:fill="FFFFFF"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Current foreign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r>
        <w:trPr/>
        <w:tc>
          <w:tcPr>
            <w:tcW w:w="218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federal</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3,830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2,717</w:t>
            </w:r>
          </w:p>
        </w:tc>
        <w:tc>
          <w:tcPr>
            <w:tcW w:w="60" w:type="dxa"/>
            <w:tcBorders/>
            <w:shd w:fill="FFFFFF"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state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w:t>
            </w:r>
          </w:p>
        </w:tc>
        <w:tc>
          <w:tcPr>
            <w:tcW w:w="60" w:type="dxa"/>
            <w:tcBorders/>
            <w:shd w:fill="CCEEFF" w:val="clear"/>
            <w:vAlign w:val="center"/>
          </w:tcPr>
          <w:p>
            <w:pPr>
              <w:pStyle w:val="TableContents"/>
              <w:spacing w:before="0" w:after="283"/>
              <w:rPr/>
            </w:pPr>
            <w:r>
              <w:rPr/>
              <w:t> </w:t>
            </w:r>
          </w:p>
        </w:tc>
      </w:tr>
      <w:tr>
        <w:trPr/>
        <w:tc>
          <w:tcPr>
            <w:tcW w:w="218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foreign</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3,733</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income taxes at the statutory federal income tax rate to the provision for income taxes included in the accompanying Consolidated Statements of Income is as follows (in thousands):</w:t>
      </w:r>
    </w:p>
    <w:p>
      <w:pPr>
        <w:pStyle w:val="TextBody"/>
        <w:spacing w:before="0" w:after="0"/>
        <w:ind w:left="0" w:right="0" w:hanging="0"/>
        <w:rPr>
          <w:caps w:val="false"/>
          <w:smallCaps w:val="false"/>
        </w:rPr>
      </w:pPr>
      <w:r>
        <w:rPr>
          <w:caps w:val="false"/>
          <w:smallCaps w:val="false"/>
        </w:rPr>
        <w:t> </w:t>
      </w:r>
    </w:p>
    <w:tbl>
      <w:tblPr>
        <w:tblW w:w="6266" w:type="dxa"/>
        <w:jc w:val="left"/>
        <w:tblInd w:w="0" w:type="dxa"/>
        <w:tblCellMar>
          <w:top w:w="0" w:type="dxa"/>
          <w:left w:w="0" w:type="dxa"/>
          <w:bottom w:w="0" w:type="dxa"/>
          <w:right w:w="0" w:type="dxa"/>
        </w:tblCellMar>
      </w:tblPr>
      <w:tblGrid>
        <w:gridCol w:w="3965"/>
        <w:gridCol w:w="60"/>
        <w:gridCol w:w="128"/>
        <w:gridCol w:w="497"/>
        <w:gridCol w:w="82"/>
        <w:gridCol w:w="61"/>
        <w:gridCol w:w="128"/>
        <w:gridCol w:w="497"/>
        <w:gridCol w:w="82"/>
        <w:gridCol w:w="61"/>
        <w:gridCol w:w="128"/>
        <w:gridCol w:w="497"/>
        <w:gridCol w:w="80"/>
      </w:tblGrid>
      <w:tr>
        <w:trPr/>
        <w:tc>
          <w:tcPr>
            <w:tcW w:w="39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61" w:type="dxa"/>
            <w:gridSpan w:val="1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spacing w:before="0" w:after="283"/>
              <w:rPr/>
            </w:pPr>
            <w:r>
              <w:rPr/>
              <w:t> </w:t>
            </w:r>
          </w:p>
        </w:tc>
      </w:tr>
      <w:tr>
        <w:trPr/>
        <w:tc>
          <w:tcPr>
            <w:tcW w:w="39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6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6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80" w:type="dxa"/>
            <w:tcBorders/>
            <w:shd w:fill="FFFFFF"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Federal tax provision at the statutory rate</w:t>
            </w:r>
          </w:p>
        </w:tc>
        <w:tc>
          <w:tcPr>
            <w:tcW w:w="60" w:type="dxa"/>
            <w:tcBorders/>
            <w:shd w:fill="CCEEFF" w:val="clear"/>
            <w:vAlign w:val="center"/>
          </w:tcPr>
          <w:p>
            <w:pPr>
              <w:pStyle w:val="TableContents"/>
              <w:spacing w:before="0" w:after="283"/>
              <w:ind w:left="0" w:right="0" w:hanging="0"/>
              <w:rPr/>
            </w:pPr>
            <w:r>
              <w:rPr/>
              <w:t> </w:t>
            </w:r>
          </w:p>
        </w:tc>
        <w:tc>
          <w:tcPr>
            <w:tcW w:w="12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1,631</w:t>
            </w:r>
          </w:p>
        </w:tc>
        <w:tc>
          <w:tcPr>
            <w:tcW w:w="8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12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3,743</w:t>
            </w:r>
          </w:p>
        </w:tc>
        <w:tc>
          <w:tcPr>
            <w:tcW w:w="8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12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CCEEFF" w:val="clear"/>
            <w:vAlign w:val="center"/>
          </w:tcPr>
          <w:p>
            <w:pPr>
              <w:pStyle w:val="TableContents"/>
              <w:spacing w:before="0" w:after="283"/>
              <w:rPr/>
            </w:pPr>
            <w:r>
              <w:rPr/>
              <w:t> </w:t>
            </w:r>
          </w:p>
        </w:tc>
      </w:tr>
      <w:tr>
        <w:trPr/>
        <w:tc>
          <w:tcPr>
            <w:tcW w:w="39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State income tax provision, net of federal benefit</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4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1,297</w:t>
            </w:r>
          </w:p>
        </w:tc>
        <w:tc>
          <w:tcPr>
            <w:tcW w:w="8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4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787</w:t>
            </w:r>
          </w:p>
        </w:tc>
        <w:tc>
          <w:tcPr>
            <w:tcW w:w="8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4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895</w:t>
            </w:r>
          </w:p>
        </w:tc>
        <w:tc>
          <w:tcPr>
            <w:tcW w:w="80" w:type="dxa"/>
            <w:tcBorders/>
            <w:shd w:fill="FFFFFF"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Tax credits</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4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(717</w:t>
            </w:r>
          </w:p>
        </w:tc>
        <w:tc>
          <w:tcPr>
            <w:tcW w:w="8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4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(745</w:t>
            </w:r>
          </w:p>
        </w:tc>
        <w:tc>
          <w:tcPr>
            <w:tcW w:w="8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4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9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Change in valuation allowance</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4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w:t>
            </w:r>
          </w:p>
        </w:tc>
        <w:tc>
          <w:tcPr>
            <w:tcW w:w="8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1"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4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4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9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Impact of foreign operations</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4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w:t>
            </w:r>
          </w:p>
        </w:tc>
        <w:tc>
          <w:tcPr>
            <w:tcW w:w="8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49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497"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39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Stock compensation</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4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1"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4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8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49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9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9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9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w:t>
            </w:r>
          </w:p>
        </w:tc>
        <w:tc>
          <w:tcPr>
            <w:tcW w:w="8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9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CCEEFF" w:val="clear"/>
            <w:vAlign w:val="center"/>
          </w:tcPr>
          <w:p>
            <w:pPr>
              <w:pStyle w:val="TableContents"/>
              <w:spacing w:before="0" w:after="283"/>
              <w:rPr/>
            </w:pPr>
            <w:r>
              <w:rPr/>
              <w:t> </w:t>
            </w:r>
          </w:p>
        </w:tc>
      </w:tr>
      <w:tr>
        <w:trPr/>
        <w:tc>
          <w:tcPr>
            <w:tcW w:w="396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FFFFFF" w:val="clear"/>
            <w:vAlign w:val="center"/>
          </w:tcPr>
          <w:p>
            <w:pPr>
              <w:pStyle w:val="TableContents"/>
              <w:spacing w:before="0" w:after="283"/>
              <w:ind w:left="0" w:right="0" w:hanging="0"/>
              <w:rPr/>
            </w:pPr>
            <w:r>
              <w:rPr/>
              <w:t> </w:t>
            </w:r>
          </w:p>
        </w:tc>
        <w:tc>
          <w:tcPr>
            <w:tcW w:w="12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1,921</w:t>
            </w:r>
          </w:p>
        </w:tc>
        <w:tc>
          <w:tcPr>
            <w:tcW w:w="8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12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3,732</w:t>
            </w:r>
          </w:p>
        </w:tc>
        <w:tc>
          <w:tcPr>
            <w:tcW w:w="82"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12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3,733</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Management periodically assesses the realizability of its deferred tax assets, and to the extent that a recovery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a valuation allowance is established to reduce the deferred tax asset to the amount estimated to be recoverable. At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the Company has a valuation allowance of $2.0 million recorded against deferred tax assets for state net operating losses and certain foreign deferred tax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 Company had federal, state, and foreign net operating loss carryforwards of $19.1 million, $26.3 million, and $8.8 million, respectively. Certain losses have an indefinite carryforward period, while other loss carryforwards will expire in years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2041.</w:t>
      </w:r>
      <w:r>
        <w:rPr>
          <w:rFonts w:ascii="Times New Roman" w:hAnsi="Times New Roman"/>
          <w:caps w:val="false"/>
          <w:smallCaps w:val="false"/>
          <w:sz w:val="20"/>
        </w:rPr>
        <w:t xml:space="preserve"> A portion of the net operating loss carryforwards are subject to annual limitations under Internal Revenue Code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The annual limitations could result in the expiration of net operating loss and tax credit carryforwards before they are fully utilized. The Company is subject to income taxation at the federal, foreign, and various state levels. We are under examination by the Internal Revenue Service for the 2018 tax year. 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U.S. federal tax examinations for tax years before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and with few exceptions,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examination by foreign or state tax authorities for tax years which ended before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Loss carryforwards and credit carryforwards generated or utilized in years earlier than </w:t>
      </w:r>
      <w:r>
        <w:rPr>
          <w:rStyle w:val="Emphasis"/>
          <w:rFonts w:ascii="Times New Roman" w:hAnsi="Times New Roman"/>
          <w:caps w:val="false"/>
          <w:smallCaps w:val="false"/>
          <w:sz w:val="20"/>
        </w:rPr>
        <w:t>2018</w:t>
      </w:r>
      <w:r>
        <w:rPr>
          <w:rFonts w:ascii="Times New Roman" w:hAnsi="Times New Roman"/>
          <w:caps w:val="false"/>
          <w:smallCaps w:val="false"/>
          <w:sz w:val="20"/>
        </w:rPr>
        <w:t> are also subject to examination and adjustment.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reconciliation of the beginning and ending liability for gross unrecognized tax benefits are as follows (in thousands):</w:t>
      </w:r>
    </w:p>
    <w:p>
      <w:pPr>
        <w:pStyle w:val="TextBody"/>
        <w:spacing w:before="0" w:after="0"/>
        <w:ind w:left="0" w:right="0" w:hanging="0"/>
        <w:rPr>
          <w:caps w:val="false"/>
          <w:smallCaps w:val="false"/>
        </w:rPr>
      </w:pPr>
      <w:r>
        <w:rPr>
          <w:caps w:val="false"/>
          <w:smallCaps w:val="false"/>
        </w:rPr>
        <w:t> </w:t>
      </w:r>
    </w:p>
    <w:tbl>
      <w:tblPr>
        <w:tblW w:w="4686" w:type="dxa"/>
        <w:jc w:val="left"/>
        <w:tblInd w:w="0" w:type="dxa"/>
        <w:tblCellMar>
          <w:top w:w="0" w:type="dxa"/>
          <w:left w:w="0" w:type="dxa"/>
          <w:bottom w:w="0" w:type="dxa"/>
          <w:right w:w="0" w:type="dxa"/>
        </w:tblCellMar>
      </w:tblPr>
      <w:tblGrid>
        <w:gridCol w:w="3425"/>
        <w:gridCol w:w="60"/>
        <w:gridCol w:w="127"/>
        <w:gridCol w:w="403"/>
        <w:gridCol w:w="81"/>
        <w:gridCol w:w="61"/>
        <w:gridCol w:w="127"/>
        <w:gridCol w:w="342"/>
        <w:gridCol w:w="60"/>
      </w:tblGrid>
      <w:tr>
        <w:trPr/>
        <w:tc>
          <w:tcPr>
            <w:tcW w:w="34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1"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34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4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beginning of year</w:t>
            </w:r>
          </w:p>
        </w:tc>
        <w:tc>
          <w:tcPr>
            <w:tcW w:w="60"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0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962</w:t>
            </w:r>
          </w:p>
        </w:tc>
        <w:tc>
          <w:tcPr>
            <w:tcW w:w="8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12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4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317</w:t>
            </w:r>
          </w:p>
        </w:tc>
        <w:tc>
          <w:tcPr>
            <w:tcW w:w="60" w:type="dxa"/>
            <w:tcBorders/>
            <w:shd w:fill="CCEEFF" w:val="clear"/>
            <w:vAlign w:val="center"/>
          </w:tcPr>
          <w:p>
            <w:pPr>
              <w:pStyle w:val="TableContents"/>
              <w:spacing w:before="0" w:after="283"/>
              <w:rPr/>
            </w:pPr>
            <w:r>
              <w:rPr/>
              <w:t> </w:t>
            </w:r>
          </w:p>
        </w:tc>
      </w:tr>
      <w:tr>
        <w:trPr/>
        <w:tc>
          <w:tcPr>
            <w:tcW w:w="342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Additions for tax positions of prior years</w:t>
            </w:r>
          </w:p>
        </w:tc>
        <w:tc>
          <w:tcPr>
            <w:tcW w:w="60"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ind w:left="0" w:right="0" w:hanging="0"/>
              <w:rPr/>
            </w:pPr>
            <w:r>
              <w:rPr/>
              <w:t> </w:t>
            </w:r>
          </w:p>
        </w:tc>
        <w:tc>
          <w:tcPr>
            <w:tcW w:w="403" w:type="dxa"/>
            <w:tcBorders/>
            <w:shd w:fill="FFFFFF" w:val="clear"/>
            <w:vAlign w:val="center"/>
          </w:tcPr>
          <w:p>
            <w:pPr>
              <w:pStyle w:val="TableContents"/>
              <w:spacing w:before="0" w:after="283"/>
              <w:ind w:left="0" w:right="0" w:hanging="0"/>
              <w:jc w:val="right"/>
              <w:rPr/>
            </w:pPr>
            <w:r>
              <w:rPr/>
              <w:t>—</w:t>
            </w:r>
          </w:p>
        </w:tc>
        <w:tc>
          <w:tcPr>
            <w:tcW w:w="8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ind w:left="0" w:right="0" w:hanging="0"/>
              <w:rPr/>
            </w:pPr>
            <w:r>
              <w:rPr/>
              <w:t> </w:t>
            </w:r>
          </w:p>
        </w:tc>
        <w:tc>
          <w:tcPr>
            <w:tcW w:w="34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645</w:t>
            </w:r>
          </w:p>
        </w:tc>
        <w:tc>
          <w:tcPr>
            <w:tcW w:w="60" w:type="dxa"/>
            <w:tcBorders/>
            <w:shd w:fill="FFFFFF"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Reductions for tax positions of prior years</w:t>
            </w:r>
          </w:p>
        </w:tc>
        <w:tc>
          <w:tcPr>
            <w:tcW w:w="60" w:type="dxa"/>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0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(662</w:t>
            </w:r>
          </w:p>
        </w:tc>
        <w:tc>
          <w:tcPr>
            <w:tcW w:w="81"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42"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r>
      <w:tr>
        <w:trPr/>
        <w:tc>
          <w:tcPr>
            <w:tcW w:w="342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at end of year</w:t>
            </w:r>
          </w:p>
        </w:tc>
        <w:tc>
          <w:tcPr>
            <w:tcW w:w="60" w:type="dxa"/>
            <w:tcBorders/>
            <w:shd w:fill="FFFFFF" w:val="clear"/>
            <w:vAlign w:val="center"/>
          </w:tcPr>
          <w:p>
            <w:pPr>
              <w:pStyle w:val="TableContents"/>
              <w:spacing w:before="0" w:after="283"/>
              <w:ind w:left="0" w:right="0" w:hanging="0"/>
              <w:rPr/>
            </w:pPr>
            <w:r>
              <w:rPr/>
              <w:t> </w:t>
            </w:r>
          </w:p>
        </w:tc>
        <w:tc>
          <w:tcPr>
            <w:tcW w:w="12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0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w:t>
            </w:r>
          </w:p>
        </w:tc>
        <w:tc>
          <w:tcPr>
            <w:tcW w:w="8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12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4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962</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recognized $7,000 and $20,000 for interest and penalties related to unrecognized tax benefits within the provision for income taxes during the years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Unrecognized tax benefits included tax positions of $300,000 and $317,000 for the years ended </w:t>
      </w:r>
      <w:r>
        <w:rPr>
          <w:rStyle w:val="Emphasis"/>
          <w:rFonts w:ascii="Times New Roman" w:hAnsi="Times New Roman"/>
          <w:caps w:val="false"/>
          <w:smallCaps w:val="false"/>
          <w:sz w:val="20"/>
        </w:rPr>
        <w:t xml:space="preserve"> 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respectively, that if recognized would impact the Company’s effective tax rate.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pStyle w:val="TextBody"/>
        <w:spacing w:before="0" w:after="0"/>
        <w:ind w:left="0" w:right="0" w:hanging="0"/>
        <w:rPr>
          <w:caps w:val="false"/>
          <w:smallCaps w:val="false"/>
        </w:rPr>
      </w:pPr>
      <w:r>
        <w:rPr>
          <w:caps w:val="false"/>
          <w:smallCaps w:val="false"/>
        </w:rPr>
        <w:t> </w:t>
      </w:r>
    </w:p>
    <w:tbl>
      <w:tblPr>
        <w:tblW w:w="5480" w:type="dxa"/>
        <w:jc w:val="left"/>
        <w:tblInd w:w="0" w:type="dxa"/>
        <w:tblCellMar>
          <w:top w:w="0" w:type="dxa"/>
          <w:left w:w="0" w:type="dxa"/>
          <w:bottom w:w="0" w:type="dxa"/>
          <w:right w:w="0" w:type="dxa"/>
        </w:tblCellMar>
      </w:tblPr>
      <w:tblGrid>
        <w:gridCol w:w="3770"/>
        <w:gridCol w:w="60"/>
        <w:gridCol w:w="125"/>
        <w:gridCol w:w="590"/>
        <w:gridCol w:w="80"/>
        <w:gridCol w:w="60"/>
        <w:gridCol w:w="125"/>
        <w:gridCol w:w="590"/>
        <w:gridCol w:w="80"/>
      </w:tblGrid>
      <w:tr>
        <w:trPr/>
        <w:tc>
          <w:tcPr>
            <w:tcW w:w="37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70"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Allowance for credit losses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143</w:t>
            </w:r>
          </w:p>
        </w:tc>
        <w:tc>
          <w:tcPr>
            <w:tcW w:w="8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1,927</w:t>
            </w:r>
          </w:p>
        </w:tc>
        <w:tc>
          <w:tcPr>
            <w:tcW w:w="8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Lease liability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7,548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8,356</w:t>
            </w:r>
          </w:p>
        </w:tc>
        <w:tc>
          <w:tcPr>
            <w:tcW w:w="8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ind w:left="0" w:right="0" w:firstLine="540"/>
              <w:rPr>
                <w:rFonts w:ascii="Times New Roman" w:hAnsi="Times New Roman"/>
                <w:sz w:val="20"/>
              </w:rPr>
            </w:pPr>
            <w:r>
              <w:rPr>
                <w:rFonts w:ascii="Times New Roman" w:hAnsi="Times New Roman"/>
                <w:sz w:val="20"/>
              </w:rPr>
              <w:t>Tax credits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119</w:t>
            </w:r>
          </w:p>
        </w:tc>
        <w:tc>
          <w:tcPr>
            <w:tcW w:w="8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691</w:t>
            </w:r>
          </w:p>
        </w:tc>
        <w:tc>
          <w:tcPr>
            <w:tcW w:w="8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3,244</w:t>
            </w:r>
          </w:p>
        </w:tc>
        <w:tc>
          <w:tcPr>
            <w:tcW w:w="8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Basis difference on investments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395</w:t>
            </w:r>
          </w:p>
        </w:tc>
        <w:tc>
          <w:tcPr>
            <w:tcW w:w="8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Net operating loss carryforwards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7,210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3,692</w:t>
            </w:r>
          </w:p>
        </w:tc>
        <w:tc>
          <w:tcPr>
            <w:tcW w:w="8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19,096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18,567</w:t>
            </w:r>
          </w:p>
        </w:tc>
        <w:tc>
          <w:tcPr>
            <w:tcW w:w="8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Less: Valuation allowance</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7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Deferred tax assets, net of valuation allowance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17,085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18,017</w:t>
            </w:r>
          </w:p>
        </w:tc>
        <w:tc>
          <w:tcPr>
            <w:tcW w:w="8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Deductible goodwill</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4,906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2,614</w:t>
            </w:r>
          </w:p>
        </w:tc>
        <w:tc>
          <w:tcPr>
            <w:tcW w:w="8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Nondeductible intangible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3,422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3,752</w:t>
            </w:r>
          </w:p>
        </w:tc>
        <w:tc>
          <w:tcPr>
            <w:tcW w:w="8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Right of use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7,378</w:t>
            </w:r>
          </w:p>
        </w:tc>
        <w:tc>
          <w:tcPr>
            <w:tcW w:w="8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Prepaid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8,269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6,986</w:t>
            </w:r>
          </w:p>
        </w:tc>
        <w:tc>
          <w:tcPr>
            <w:tcW w:w="8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Capitalized software development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8,484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6,989</w:t>
            </w:r>
          </w:p>
        </w:tc>
        <w:tc>
          <w:tcPr>
            <w:tcW w:w="8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0"/>
              <w:ind w:left="560" w:right="0" w:hanging="0"/>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3,026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3,846</w:t>
            </w:r>
          </w:p>
        </w:tc>
        <w:tc>
          <w:tcPr>
            <w:tcW w:w="8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34,630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31,565</w:t>
            </w:r>
          </w:p>
        </w:tc>
        <w:tc>
          <w:tcPr>
            <w:tcW w:w="80" w:type="dxa"/>
            <w:tcBorders/>
            <w:shd w:fill="FFFFFF" w:val="clear"/>
            <w:vAlign w:val="center"/>
          </w:tcPr>
          <w:p>
            <w:pPr>
              <w:pStyle w:val="TableContents"/>
              <w:spacing w:before="0" w:after="283"/>
              <w:rPr/>
            </w:pPr>
            <w:r>
              <w:rPr/>
              <w:t> </w:t>
            </w:r>
          </w:p>
        </w:tc>
      </w:tr>
      <w:tr>
        <w:trPr/>
        <w:tc>
          <w:tcPr>
            <w:tcW w:w="377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77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Net deferred tax liabilities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17,545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13,548</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realized $1,000 of excess tax expense related to stock-based awards during the year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which was reflected in the statement of income as a component of the provision for income taxes.</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Stock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has outstanding stock-based awards under its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Omnibus Incentive Plan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authorizes the grant of options, restricted share units (RSUs), or other forms of stock-based compensation to employees, officers, directors, and others, and such grants must be approved by the Compensation Committee of the Board of Directors.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allows the Compensation Committee of the Board of Directors to determine the vesting period and parameters of each grant. The vesting period of the options and RSUs granted has historically included annual vesting over a period of up to four years, generally beginning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grant date.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259,000 shares of common stock were available to be granted under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Stock Option Activity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 summary of activity and various other information relative to stock options for the year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is presented in the tables below (in thousands, except exercise price).</w:t>
      </w:r>
    </w:p>
    <w:p>
      <w:pPr>
        <w:pStyle w:val="TextBody"/>
        <w:spacing w:before="0" w:after="0"/>
        <w:ind w:left="0" w:right="0" w:hanging="0"/>
        <w:rPr>
          <w:caps w:val="false"/>
          <w:smallCaps w:val="false"/>
        </w:rPr>
      </w:pPr>
      <w:r>
        <w:rPr>
          <w:caps w:val="false"/>
          <w:smallCaps w:val="false"/>
        </w:rPr>
        <w:t> </w:t>
      </w:r>
    </w:p>
    <w:tbl>
      <w:tblPr>
        <w:tblW w:w="6498" w:type="dxa"/>
        <w:jc w:val="left"/>
        <w:tblInd w:w="0" w:type="dxa"/>
        <w:tblCellMar>
          <w:top w:w="0" w:type="dxa"/>
          <w:left w:w="0" w:type="dxa"/>
          <w:bottom w:w="0" w:type="dxa"/>
          <w:right w:w="0" w:type="dxa"/>
        </w:tblCellMar>
      </w:tblPr>
      <w:tblGrid>
        <w:gridCol w:w="2885"/>
        <w:gridCol w:w="60"/>
        <w:gridCol w:w="144"/>
        <w:gridCol w:w="626"/>
        <w:gridCol w:w="60"/>
        <w:gridCol w:w="60"/>
        <w:gridCol w:w="249"/>
        <w:gridCol w:w="970"/>
        <w:gridCol w:w="60"/>
        <w:gridCol w:w="60"/>
        <w:gridCol w:w="342"/>
        <w:gridCol w:w="922"/>
        <w:gridCol w:w="60"/>
      </w:tblGrid>
      <w:tr>
        <w:trPr/>
        <w:tc>
          <w:tcPr>
            <w:tcW w:w="28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626"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42" w:type="dxa"/>
            <w:tcBorders/>
            <w:shd w:fill="FFFFFF" w:val="clear"/>
            <w:vAlign w:val="center"/>
          </w:tcPr>
          <w:p>
            <w:pPr>
              <w:pStyle w:val="TableContents"/>
              <w:spacing w:before="0" w:after="283"/>
              <w:rPr/>
            </w:pPr>
            <w:r>
              <w:rPr/>
              <w:t> </w:t>
            </w:r>
          </w:p>
        </w:tc>
        <w:tc>
          <w:tcPr>
            <w:tcW w:w="922"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6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Exercise Price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Intrinsic Value</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Outstanding at beginning of period</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6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2" w:type="dxa"/>
            <w:tcBorders/>
            <w:shd w:fill="CCEEFF" w:val="clear"/>
            <w:vAlign w:val="center"/>
          </w:tcPr>
          <w:p>
            <w:pPr>
              <w:pStyle w:val="TableContents"/>
              <w:spacing w:before="0" w:after="283"/>
              <w:rPr/>
            </w:pPr>
            <w:r>
              <w:rPr/>
              <w:t> </w:t>
            </w:r>
          </w:p>
        </w:tc>
        <w:tc>
          <w:tcPr>
            <w:tcW w:w="922"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62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ind w:left="0" w:right="0" w:hanging="0"/>
              <w:rPr/>
            </w:pPr>
            <w:r>
              <w:rPr/>
              <w:t> </w:t>
            </w:r>
          </w:p>
        </w:tc>
        <w:tc>
          <w:tcPr>
            <w:tcW w:w="97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42" w:type="dxa"/>
            <w:tcBorders/>
            <w:shd w:fill="FFFFFF" w:val="clear"/>
            <w:vAlign w:val="center"/>
          </w:tcPr>
          <w:p>
            <w:pPr>
              <w:pStyle w:val="TableContents"/>
              <w:spacing w:before="0" w:after="283"/>
              <w:rPr/>
            </w:pPr>
            <w:r>
              <w:rPr/>
              <w:t> </w:t>
            </w:r>
          </w:p>
        </w:tc>
        <w:tc>
          <w:tcPr>
            <w:tcW w:w="922"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ind w:left="0" w:right="0" w:hanging="0"/>
              <w:rPr/>
            </w:pPr>
            <w:r>
              <w:rPr/>
              <w:t> </w:t>
            </w:r>
          </w:p>
        </w:tc>
        <w:tc>
          <w:tcPr>
            <w:tcW w:w="62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ind w:left="0" w:right="0" w:hanging="0"/>
              <w:rPr/>
            </w:pPr>
            <w:r>
              <w:rPr/>
              <w:t> </w:t>
            </w:r>
          </w:p>
        </w:tc>
        <w:tc>
          <w:tcPr>
            <w:tcW w:w="97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2" w:type="dxa"/>
            <w:tcBorders/>
            <w:shd w:fill="CCEEFF" w:val="clear"/>
            <w:vAlign w:val="center"/>
          </w:tcPr>
          <w:p>
            <w:pPr>
              <w:pStyle w:val="TableContents"/>
              <w:spacing w:before="0" w:after="283"/>
              <w:rPr/>
            </w:pPr>
            <w:r>
              <w:rPr/>
              <w:t> </w:t>
            </w:r>
          </w:p>
        </w:tc>
        <w:tc>
          <w:tcPr>
            <w:tcW w:w="922"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Expired</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ind w:left="0" w:right="0" w:hanging="0"/>
              <w:rPr/>
            </w:pPr>
            <w:r>
              <w:rPr/>
              <w:t> </w:t>
            </w:r>
          </w:p>
        </w:tc>
        <w:tc>
          <w:tcPr>
            <w:tcW w:w="62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ind w:left="0" w:right="0" w:hanging="0"/>
              <w:rPr/>
            </w:pPr>
            <w:r>
              <w:rPr/>
              <w:t> </w:t>
            </w:r>
          </w:p>
        </w:tc>
        <w:tc>
          <w:tcPr>
            <w:tcW w:w="97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42" w:type="dxa"/>
            <w:tcBorders/>
            <w:shd w:fill="FFFFFF" w:val="clear"/>
            <w:vAlign w:val="center"/>
          </w:tcPr>
          <w:p>
            <w:pPr>
              <w:pStyle w:val="TableContents"/>
              <w:spacing w:before="0" w:after="283"/>
              <w:rPr/>
            </w:pPr>
            <w:r>
              <w:rPr/>
              <w:t> </w:t>
            </w:r>
          </w:p>
        </w:tc>
        <w:tc>
          <w:tcPr>
            <w:tcW w:w="922"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CCEEFF" w:val="clear"/>
            <w:vAlign w:val="center"/>
          </w:tcPr>
          <w:p>
            <w:pPr>
              <w:pStyle w:val="TableContents"/>
              <w:spacing w:before="0" w:after="283"/>
              <w:rPr/>
            </w:pPr>
            <w:r>
              <w:rPr/>
              <w:t> </w:t>
            </w:r>
          </w:p>
        </w:tc>
        <w:tc>
          <w:tcPr>
            <w:tcW w:w="1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26"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2" w:type="dxa"/>
            <w:tcBorders>
              <w:bottom w:val="single" w:sz="2" w:space="0" w:color="000000"/>
            </w:tcBorders>
            <w:shd w:fill="CCEEFF" w:val="clear"/>
            <w:tcMar>
              <w:bottom w:w="28" w:type="dxa"/>
            </w:tcMar>
            <w:vAlign w:val="center"/>
          </w:tcPr>
          <w:p>
            <w:pPr>
              <w:pStyle w:val="TableContents"/>
              <w:spacing w:before="0" w:after="283"/>
              <w:rPr/>
            </w:pPr>
            <w:r>
              <w:rPr/>
              <w:t> </w:t>
            </w:r>
          </w:p>
        </w:tc>
        <w:tc>
          <w:tcPr>
            <w:tcW w:w="922" w:type="dxa"/>
            <w:tcBorders>
              <w:bottom w:val="single" w:sz="2" w:space="0" w:color="000000"/>
            </w:tcBorders>
            <w:shd w:fill="CCEEFF" w:val="clear"/>
            <w:tcMar>
              <w:bottom w:w="28" w:type="dxa"/>
            </w:tcM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Outstanding at end of period</w:t>
            </w:r>
          </w:p>
        </w:tc>
        <w:tc>
          <w:tcPr>
            <w:tcW w:w="60" w:type="dxa"/>
            <w:tcBorders/>
            <w:shd w:fill="FFFFFF" w:val="clear"/>
            <w:vAlign w:val="center"/>
          </w:tcPr>
          <w:p>
            <w:pPr>
              <w:pStyle w:val="TableContents"/>
              <w:spacing w:before="0" w:after="283"/>
              <w:rPr/>
            </w:pPr>
            <w:r>
              <w:rPr/>
              <w:t> </w:t>
            </w:r>
          </w:p>
        </w:tc>
        <w:tc>
          <w:tcPr>
            <w:tcW w:w="14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2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4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542</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Exercisable at end of period</w:t>
            </w:r>
          </w:p>
        </w:tc>
        <w:tc>
          <w:tcPr>
            <w:tcW w:w="60" w:type="dxa"/>
            <w:tcBorders/>
            <w:shd w:fill="CCEEFF" w:val="clear"/>
            <w:vAlign w:val="center"/>
          </w:tcPr>
          <w:p>
            <w:pPr>
              <w:pStyle w:val="TableContents"/>
              <w:spacing w:before="0" w:after="283"/>
              <w:rPr/>
            </w:pPr>
            <w:r>
              <w:rPr/>
              <w:t> </w:t>
            </w:r>
          </w:p>
        </w:tc>
        <w:tc>
          <w:tcPr>
            <w:tcW w:w="144"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2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Other information relative to option activity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is as follows (in thousands):</w:t>
      </w:r>
    </w:p>
    <w:p>
      <w:pPr>
        <w:pStyle w:val="TextBody"/>
        <w:spacing w:before="0" w:after="0"/>
        <w:ind w:left="0" w:right="0" w:hanging="0"/>
        <w:rPr>
          <w:caps w:val="false"/>
          <w:smallCaps w:val="false"/>
        </w:rPr>
      </w:pPr>
      <w:r>
        <w:rPr>
          <w:caps w:val="false"/>
          <w:smallCaps w:val="false"/>
        </w:rPr>
        <w:t> </w:t>
      </w:r>
    </w:p>
    <w:tbl>
      <w:tblPr>
        <w:tblW w:w="5530" w:type="dxa"/>
        <w:jc w:val="left"/>
        <w:tblInd w:w="0" w:type="dxa"/>
        <w:tblCellMar>
          <w:top w:w="0" w:type="dxa"/>
          <w:left w:w="0" w:type="dxa"/>
          <w:bottom w:w="0" w:type="dxa"/>
          <w:right w:w="0" w:type="dxa"/>
        </w:tblCellMar>
      </w:tblPr>
      <w:tblGrid>
        <w:gridCol w:w="3830"/>
        <w:gridCol w:w="60"/>
        <w:gridCol w:w="142"/>
        <w:gridCol w:w="298"/>
        <w:gridCol w:w="60"/>
        <w:gridCol w:w="60"/>
        <w:gridCol w:w="142"/>
        <w:gridCol w:w="298"/>
        <w:gridCol w:w="60"/>
        <w:gridCol w:w="60"/>
        <w:gridCol w:w="125"/>
        <w:gridCol w:w="335"/>
        <w:gridCol w:w="60"/>
      </w:tblGrid>
      <w:tr>
        <w:trPr/>
        <w:tc>
          <w:tcPr>
            <w:tcW w:w="38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r>
      <w:tr>
        <w:trPr/>
        <w:tc>
          <w:tcPr>
            <w:tcW w:w="383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intrinsic value of stock options exercised</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w:t>
            </w:r>
          </w:p>
        </w:tc>
        <w:tc>
          <w:tcPr>
            <w:tcW w:w="60" w:type="dxa"/>
            <w:tcBorders/>
            <w:shd w:fill="CCEEFF" w:val="clear"/>
            <w:vAlign w:val="center"/>
          </w:tcPr>
          <w:p>
            <w:pPr>
              <w:pStyle w:val="TableContents"/>
              <w:spacing w:before="0" w:after="283"/>
              <w:rPr/>
            </w:pPr>
            <w:r>
              <w:rPr/>
              <w:t> </w:t>
            </w:r>
          </w:p>
        </w:tc>
      </w:tr>
      <w:tr>
        <w:trPr/>
        <w:tc>
          <w:tcPr>
            <w:tcW w:w="383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proceeds from exercise of stock options</w:t>
            </w:r>
          </w:p>
        </w:tc>
        <w:tc>
          <w:tcPr>
            <w:tcW w:w="60" w:type="dxa"/>
            <w:tcBorders/>
            <w:shd w:fill="FFFFFF" w:val="clear"/>
            <w:vAlign w:val="center"/>
          </w:tcPr>
          <w:p>
            <w:pPr>
              <w:pStyle w:val="TableContents"/>
              <w:spacing w:before="0" w:after="283"/>
              <w:ind w:left="0" w:right="0" w:hanging="0"/>
              <w:rPr/>
            </w:pPr>
            <w:r>
              <w:rPr/>
              <w:t> </w:t>
            </w:r>
          </w:p>
        </w:tc>
        <w:tc>
          <w:tcPr>
            <w:tcW w:w="14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aggregate intrinsic value for stock options in the table above represents the total difference between the Company’s closing stock price on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 last trading day of the year) of $26.36 per share and the option exercise price, multiplied by the number of in-the money options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 weighted average remaining contractual term of options outstanding at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was 9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Restricted Share Unit Activity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 summary of activity relative to RSUs for the year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is as follows (in thousands, except weighted average grant date fair value):</w:t>
      </w:r>
    </w:p>
    <w:p>
      <w:pPr>
        <w:pStyle w:val="TextBody"/>
        <w:spacing w:before="0" w:after="0"/>
        <w:ind w:left="0" w:right="0" w:hanging="0"/>
        <w:rPr>
          <w:caps w:val="false"/>
          <w:smallCaps w:val="false"/>
        </w:rPr>
      </w:pPr>
      <w:r>
        <w:rPr>
          <w:caps w:val="false"/>
          <w:smallCaps w:val="false"/>
        </w:rPr>
        <w:t> </w:t>
      </w:r>
    </w:p>
    <w:tbl>
      <w:tblPr>
        <w:tblW w:w="7087" w:type="dxa"/>
        <w:jc w:val="left"/>
        <w:tblInd w:w="0" w:type="dxa"/>
        <w:tblCellMar>
          <w:top w:w="0" w:type="dxa"/>
          <w:left w:w="0" w:type="dxa"/>
          <w:bottom w:w="0" w:type="dxa"/>
          <w:right w:w="0" w:type="dxa"/>
        </w:tblCellMar>
      </w:tblPr>
      <w:tblGrid>
        <w:gridCol w:w="2885"/>
        <w:gridCol w:w="60"/>
        <w:gridCol w:w="134"/>
        <w:gridCol w:w="755"/>
        <w:gridCol w:w="80"/>
        <w:gridCol w:w="60"/>
        <w:gridCol w:w="342"/>
        <w:gridCol w:w="1327"/>
        <w:gridCol w:w="60"/>
        <w:gridCol w:w="60"/>
        <w:gridCol w:w="258"/>
        <w:gridCol w:w="1006"/>
        <w:gridCol w:w="60"/>
      </w:tblGrid>
      <w:tr>
        <w:trPr/>
        <w:tc>
          <w:tcPr>
            <w:tcW w:w="28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6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6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 Grant Date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6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RSU’s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Intrinsic Value</w:t>
            </w:r>
          </w:p>
        </w:tc>
        <w:tc>
          <w:tcPr>
            <w:tcW w:w="60" w:type="dxa"/>
            <w:tcBorders/>
            <w:shd w:fill="FFFF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Outstanding at beginning of period</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4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32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2" w:type="dxa"/>
            <w:tcBorders/>
            <w:shd w:fill="CCEEFF" w:val="clear"/>
            <w:vAlign w:val="center"/>
          </w:tcPr>
          <w:p>
            <w:pPr>
              <w:pStyle w:val="TableContents"/>
              <w:spacing w:before="0" w:after="283"/>
              <w:ind w:left="0" w:right="0" w:hanging="0"/>
              <w:rPr/>
            </w:pPr>
            <w:r>
              <w:rPr/>
              <w:t> </w:t>
            </w:r>
          </w:p>
        </w:tc>
        <w:tc>
          <w:tcPr>
            <w:tcW w:w="13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24.09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342" w:type="dxa"/>
            <w:tcBorders/>
            <w:shd w:fill="FFFFFF" w:val="clear"/>
            <w:vAlign w:val="center"/>
          </w:tcPr>
          <w:p>
            <w:pPr>
              <w:pStyle w:val="TableContents"/>
              <w:spacing w:before="0" w:after="283"/>
              <w:ind w:left="0" w:right="0" w:hanging="0"/>
              <w:rPr/>
            </w:pPr>
            <w:r>
              <w:rPr/>
              <w:t> </w:t>
            </w:r>
          </w:p>
        </w:tc>
        <w:tc>
          <w:tcPr>
            <w:tcW w:w="132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24.82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rPr/>
            </w:pPr>
            <w:r>
              <w:rPr/>
              <w:t> </w:t>
            </w:r>
          </w:p>
        </w:tc>
        <w:tc>
          <w:tcPr>
            <w:tcW w:w="1006"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CCEEFF" w:val="clear"/>
            <w:vAlign w:val="center"/>
          </w:tcPr>
          <w:p>
            <w:pPr>
              <w:pStyle w:val="TableContents"/>
              <w:spacing w:before="0" w:after="283"/>
              <w:rPr/>
            </w:pPr>
            <w:r>
              <w:rPr/>
              <w:t> </w:t>
            </w:r>
          </w:p>
        </w:tc>
        <w:tc>
          <w:tcPr>
            <w:tcW w:w="1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3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32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24.57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8" w:type="dxa"/>
            <w:tcBorders>
              <w:bottom w:val="single" w:sz="2" w:space="0" w:color="000000"/>
            </w:tcBorders>
            <w:shd w:fill="CCEEFF" w:val="clear"/>
            <w:tcMar>
              <w:bottom w:w="28" w:type="dxa"/>
            </w:tcMar>
            <w:vAlign w:val="center"/>
          </w:tcPr>
          <w:p>
            <w:pPr>
              <w:pStyle w:val="TableContents"/>
              <w:spacing w:before="0" w:after="283"/>
              <w:rPr/>
            </w:pPr>
            <w:r>
              <w:rPr/>
              <w:t> </w:t>
            </w:r>
          </w:p>
        </w:tc>
        <w:tc>
          <w:tcPr>
            <w:tcW w:w="1006" w:type="dxa"/>
            <w:tcBorders>
              <w:bottom w:val="single" w:sz="2" w:space="0" w:color="000000"/>
            </w:tcBorders>
            <w:shd w:fill="CCEEFF" w:val="clear"/>
            <w:tcMar>
              <w:bottom w:w="28" w:type="dxa"/>
            </w:tcM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Outstanding at end of period</w:t>
            </w:r>
          </w:p>
        </w:tc>
        <w:tc>
          <w:tcPr>
            <w:tcW w:w="60" w:type="dxa"/>
            <w:tcBorders/>
            <w:shd w:fill="FFFFFF" w:val="clear"/>
            <w:vAlign w:val="center"/>
          </w:tcPr>
          <w:p>
            <w:pPr>
              <w:pStyle w:val="TableContents"/>
              <w:spacing w:before="0" w:after="283"/>
              <w:rPr/>
            </w:pPr>
            <w:r>
              <w:rPr/>
              <w:t> </w:t>
            </w:r>
          </w:p>
        </w:tc>
        <w:tc>
          <w:tcPr>
            <w:tcW w:w="13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4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32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24.59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9,626</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aggregate fair value of RSUs that vested during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as of the respective vesting dates, was $2.3 million and $2.2 million, respectively. A portion of RSUs that vested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were net-share settled such that the Company withheld shares with value equivalent to the employees’ minimum statutory obligation for the applicable income and other employment taxes and remitted the cash to the appropriate taxing authorities. The total shares withheld for RSUs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were 20,000 and 19,000, respectively, and were based on the value of the RSUs on their respective settlement dates as determined by the Company’s closing stock price. Total payments related to RSUs for the employees’ tax obligations to taxing authorities were $0.5 million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$0.4 million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$0.4 million in </w:t>
      </w:r>
      <w:r>
        <w:rPr>
          <w:rStyle w:val="Emphasis"/>
          <w:rFonts w:ascii="Times New Roman" w:hAnsi="Times New Roman"/>
          <w:caps w:val="false"/>
          <w:smallCaps w:val="false"/>
          <w:sz w:val="20"/>
        </w:rPr>
        <w:t>2019</w:t>
      </w:r>
      <w:r>
        <w:rPr>
          <w:rFonts w:ascii="Times New Roman" w:hAnsi="Times New Roman"/>
          <w:caps w:val="false"/>
          <w:smallCaps w:val="false"/>
          <w:sz w:val="20"/>
        </w:rPr>
        <w:t>, and are reflected as a financing activity within the Consolidated Statements of Cash Flows.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Total stock-based compensation expense, which is recorded in our Consolidated Statements of Income, recorded for the years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is as follows (in thousands):</w:t>
      </w:r>
    </w:p>
    <w:p>
      <w:pPr>
        <w:pStyle w:val="TextBody"/>
        <w:spacing w:before="0" w:after="0"/>
        <w:ind w:left="0" w:right="0" w:hanging="0"/>
        <w:rPr>
          <w:caps w:val="false"/>
          <w:smallCaps w:val="false"/>
        </w:rPr>
      </w:pPr>
      <w:r>
        <w:rPr>
          <w:caps w:val="false"/>
          <w:smallCaps w:val="false"/>
        </w:rPr>
        <w:t> </w:t>
      </w:r>
    </w:p>
    <w:tbl>
      <w:tblPr>
        <w:tblW w:w="7203" w:type="dxa"/>
        <w:jc w:val="left"/>
        <w:tblInd w:w="0" w:type="dxa"/>
        <w:tblCellMar>
          <w:top w:w="0" w:type="dxa"/>
          <w:left w:w="0" w:type="dxa"/>
          <w:bottom w:w="0" w:type="dxa"/>
          <w:right w:w="0" w:type="dxa"/>
        </w:tblCellMar>
      </w:tblPr>
      <w:tblGrid>
        <w:gridCol w:w="4850"/>
        <w:gridCol w:w="60"/>
        <w:gridCol w:w="135"/>
        <w:gridCol w:w="524"/>
        <w:gridCol w:w="64"/>
        <w:gridCol w:w="64"/>
        <w:gridCol w:w="135"/>
        <w:gridCol w:w="524"/>
        <w:gridCol w:w="64"/>
        <w:gridCol w:w="64"/>
        <w:gridCol w:w="135"/>
        <w:gridCol w:w="524"/>
        <w:gridCol w:w="60"/>
      </w:tblGrid>
      <w:tr>
        <w:trPr/>
        <w:tc>
          <w:tcPr>
            <w:tcW w:w="48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33" w:type="dxa"/>
            <w:gridSpan w:val="1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Years Ended December 31,</w:t>
            </w:r>
          </w:p>
        </w:tc>
        <w:tc>
          <w:tcPr>
            <w:tcW w:w="60" w:type="dxa"/>
            <w:tcBorders/>
            <w:shd w:fill="FFFFFF" w:val="clear"/>
            <w:vAlign w:val="center"/>
          </w:tcPr>
          <w:p>
            <w:pPr>
              <w:pStyle w:val="TableContents"/>
              <w:spacing w:before="0" w:after="283"/>
              <w:rPr/>
            </w:pPr>
            <w:r>
              <w:rPr/>
              <w:t> </w:t>
            </w:r>
          </w:p>
        </w:tc>
      </w:tr>
      <w:tr>
        <w:trPr/>
        <w:tc>
          <w:tcPr>
            <w:tcW w:w="48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5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ind w:left="0" w:right="0" w:hanging="0"/>
              <w:rPr/>
            </w:pPr>
            <w:r>
              <w:rPr/>
              <w:t> </w:t>
            </w:r>
          </w:p>
        </w:tc>
        <w:tc>
          <w:tcPr>
            <w:tcW w:w="65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ind w:left="0" w:right="0" w:hanging="0"/>
              <w:rPr/>
            </w:pPr>
            <w:r>
              <w:rPr/>
              <w:t> </w:t>
            </w:r>
          </w:p>
        </w:tc>
        <w:tc>
          <w:tcPr>
            <w:tcW w:w="65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2019</w:t>
            </w:r>
          </w:p>
        </w:tc>
        <w:tc>
          <w:tcPr>
            <w:tcW w:w="60" w:type="dxa"/>
            <w:tcBorders/>
            <w:shd w:fill="FFFFFF" w:val="clear"/>
            <w:vAlign w:val="center"/>
          </w:tcPr>
          <w:p>
            <w:pPr>
              <w:pStyle w:val="TableContents"/>
              <w:spacing w:before="0" w:after="283"/>
              <w:rPr/>
            </w:pPr>
            <w:r>
              <w:rPr/>
              <w:t> </w:t>
            </w:r>
          </w:p>
        </w:tc>
      </w:tr>
      <w:tr>
        <w:trPr/>
        <w:tc>
          <w:tcPr>
            <w:tcW w:w="485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Cost of revenues (excluding depreciation and amortization)</w:t>
            </w:r>
          </w:p>
        </w:tc>
        <w:tc>
          <w:tcPr>
            <w:tcW w:w="60" w:type="dxa"/>
            <w:tcBorders/>
            <w:shd w:fill="CCEEFF" w:val="clear"/>
            <w:vAlign w:val="center"/>
          </w:tcPr>
          <w:p>
            <w:pPr>
              <w:pStyle w:val="TableContents"/>
              <w:spacing w:before="0" w:after="283"/>
              <w:ind w:left="0" w:right="0" w:hanging="0"/>
              <w:rPr/>
            </w:pPr>
            <w:r>
              <w:rPr/>
              <w:t> </w:t>
            </w:r>
          </w:p>
        </w:tc>
        <w:tc>
          <w:tcPr>
            <w:tcW w:w="13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944</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ind w:left="0" w:right="0" w:hanging="0"/>
              <w:rPr/>
            </w:pPr>
            <w:r>
              <w:rPr/>
              <w:t> </w:t>
            </w:r>
          </w:p>
        </w:tc>
        <w:tc>
          <w:tcPr>
            <w:tcW w:w="13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ind w:left="0" w:right="0" w:hanging="0"/>
              <w:rPr/>
            </w:pPr>
            <w:r>
              <w:rPr/>
              <w:t> </w:t>
            </w:r>
          </w:p>
        </w:tc>
        <w:tc>
          <w:tcPr>
            <w:tcW w:w="13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699</w:t>
            </w:r>
          </w:p>
        </w:tc>
        <w:tc>
          <w:tcPr>
            <w:tcW w:w="60" w:type="dxa"/>
            <w:tcBorders/>
            <w:shd w:fill="CCEEFF" w:val="clear"/>
            <w:vAlign w:val="center"/>
          </w:tcPr>
          <w:p>
            <w:pPr>
              <w:pStyle w:val="TableContents"/>
              <w:spacing w:before="0" w:after="283"/>
              <w:rPr/>
            </w:pPr>
            <w:r>
              <w:rPr/>
              <w:t> </w:t>
            </w:r>
          </w:p>
        </w:tc>
      </w:tr>
      <w:tr>
        <w:trPr/>
        <w:tc>
          <w:tcPr>
            <w:tcW w:w="485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Product development</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2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1,164</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2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363</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2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956</w:t>
            </w:r>
          </w:p>
        </w:tc>
        <w:tc>
          <w:tcPr>
            <w:tcW w:w="60" w:type="dxa"/>
            <w:tcBorders/>
            <w:shd w:fill="FFFFFF" w:val="clear"/>
            <w:vAlign w:val="center"/>
          </w:tcPr>
          <w:p>
            <w:pPr>
              <w:pStyle w:val="TableContents"/>
              <w:spacing w:before="0" w:after="283"/>
              <w:rPr/>
            </w:pPr>
            <w:r>
              <w:rPr/>
              <w:t> </w:t>
            </w:r>
          </w:p>
        </w:tc>
      </w:tr>
      <w:tr>
        <w:trPr/>
        <w:tc>
          <w:tcPr>
            <w:tcW w:w="485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5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759</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5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199</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5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614</w:t>
            </w:r>
          </w:p>
        </w:tc>
        <w:tc>
          <w:tcPr>
            <w:tcW w:w="60" w:type="dxa"/>
            <w:tcBorders/>
            <w:shd w:fill="CCEEFF" w:val="clear"/>
            <w:vAlign w:val="center"/>
          </w:tcPr>
          <w:p>
            <w:pPr>
              <w:pStyle w:val="TableContents"/>
              <w:spacing w:before="0" w:after="283"/>
              <w:rPr/>
            </w:pPr>
            <w:r>
              <w:rPr/>
              <w:t> </w:t>
            </w:r>
          </w:p>
        </w:tc>
      </w:tr>
      <w:tr>
        <w:trPr/>
        <w:tc>
          <w:tcPr>
            <w:tcW w:w="485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general and administrative</w:t>
            </w:r>
          </w:p>
        </w:tc>
        <w:tc>
          <w:tcPr>
            <w:tcW w:w="60" w:type="dxa"/>
            <w:tcBorders/>
            <w:shd w:fill="FFFFFF" w:val="clear"/>
            <w:vAlign w:val="center"/>
          </w:tcPr>
          <w:p>
            <w:pPr>
              <w:pStyle w:val="TableContents"/>
              <w:spacing w:before="0" w:after="283"/>
              <w:rPr/>
            </w:pPr>
            <w:r>
              <w:rPr/>
              <w:t> </w:t>
            </w:r>
          </w:p>
        </w:tc>
        <w:tc>
          <w:tcPr>
            <w:tcW w:w="13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2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2,436</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13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2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1,614</w:t>
            </w:r>
          </w:p>
        </w:tc>
        <w:tc>
          <w:tcPr>
            <w:tcW w:w="64"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13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2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1,975</w:t>
            </w:r>
          </w:p>
        </w:tc>
        <w:tc>
          <w:tcPr>
            <w:tcW w:w="60" w:type="dxa"/>
            <w:tcBorders/>
            <w:shd w:fill="FFFFFF" w:val="clear"/>
            <w:vAlign w:val="center"/>
          </w:tcPr>
          <w:p>
            <w:pPr>
              <w:pStyle w:val="TableContents"/>
              <w:spacing w:before="0" w:after="283"/>
              <w:rPr/>
            </w:pPr>
            <w:r>
              <w:rPr/>
              <w:t> </w:t>
            </w:r>
          </w:p>
        </w:tc>
      </w:tr>
      <w:tr>
        <w:trPr/>
        <w:tc>
          <w:tcPr>
            <w:tcW w:w="485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spacing w:before="0" w:after="283"/>
              <w:ind w:left="0" w:right="0" w:hanging="0"/>
              <w:rPr/>
            </w:pPr>
            <w:r>
              <w:rPr/>
              <w:t> </w:t>
            </w:r>
          </w:p>
        </w:tc>
        <w:tc>
          <w:tcPr>
            <w:tcW w:w="13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5,303</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ind w:left="0" w:right="0" w:hanging="0"/>
              <w:rPr/>
            </w:pPr>
            <w:r>
              <w:rPr/>
              <w:t> </w:t>
            </w:r>
          </w:p>
        </w:tc>
        <w:tc>
          <w:tcPr>
            <w:tcW w:w="13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2,217</w:t>
            </w:r>
          </w:p>
        </w:tc>
        <w:tc>
          <w:tcPr>
            <w:tcW w:w="64"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ind w:left="0" w:right="0" w:hanging="0"/>
              <w:rPr/>
            </w:pPr>
            <w:r>
              <w:rPr/>
              <w:t> </w:t>
            </w:r>
          </w:p>
        </w:tc>
        <w:tc>
          <w:tcPr>
            <w:tcW w:w="13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4,244</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amortizes the fair value of all stock-based awards, net of estimated forfeitures, on a straight-line basis over the requisite service period, which generally is the vesting period.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total unrecognized compensation expense related to non-vested stock options and RSUs was $5.6 million, net of estimated forfeitures, with a weighted average expense recognition period remaining of 2.7 years. The Company realized $1,000 of excess tax expense related to stock-based awards during the year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which was reflected in the Consolidated Statement of Income as a component of the provision for 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cost for RSUs is measured based on the closing fair market value of the Company’s stock on the date of grant. Stock-based compensation cost for stock options is estimated at the grant date based on the fair value calculated using the Black-Scholes method.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Stock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December 2021,</w:t>
      </w:r>
      <w:r>
        <w:rPr>
          <w:rFonts w:ascii="Times New Roman" w:hAnsi="Times New Roman"/>
          <w:caps w:val="false"/>
          <w:smallCaps w:val="false"/>
          <w:sz w:val="20"/>
        </w:rPr>
        <w:t xml:space="preserve"> the Company’s Chief Executive Officer, Robert A. Frist, Jr., contributed 86,494 of his personally owned shares of HealthStream, Inc. common stock (valued at $2.25 million) to the Company, without any consideration paid to him, for the benefit of the Company’s employees. In connection therewith, effective </w:t>
      </w:r>
      <w:r>
        <w:rPr>
          <w:rStyle w:val="Emphasis"/>
          <w:rFonts w:ascii="Times New Roman" w:hAnsi="Times New Roman"/>
          <w:caps w:val="false"/>
          <w:smallCaps w:val="false"/>
          <w:sz w:val="20"/>
        </w:rPr>
        <w:t>December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approved the award of 86,494 fully vested shares of common stock to over 1,000 employees of the Company under the HealthStream, Inc.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Omnibus Incentive Plan. These shares were issued in </w:t>
      </w:r>
      <w:r>
        <w:rPr>
          <w:rStyle w:val="Emphasis"/>
          <w:rFonts w:ascii="Times New Roman" w:hAnsi="Times New Roman"/>
          <w:caps w:val="false"/>
          <w:smallCaps w:val="false"/>
          <w:sz w:val="20"/>
        </w:rPr>
        <w:t>December 2021.</w:t>
      </w:r>
      <w:r>
        <w:rPr>
          <w:rFonts w:ascii="Times New Roman" w:hAnsi="Times New Roman"/>
          <w:caps w:val="false"/>
          <w:smallCaps w:val="false"/>
          <w:sz w:val="20"/>
        </w:rPr>
        <w:t xml:space="preserve"> As required by ASC Topic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the Company recognized $2.25 million of stock-based compensation expense for these stock awards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2021 </w:t>
      </w:r>
      <w:r>
        <w:rPr>
          <w:rFonts w:ascii="Times New Roman" w:hAnsi="Times New Roman"/>
          <w:caps w:val="false"/>
          <w:smallCaps w:val="false"/>
          <w:sz w:val="20"/>
        </w:rPr>
        <w:t xml:space="preserve">based on the closing fair market value of the Company’s stock on the date of the Company’s approval of these grants. Total payments related to the employees’ tax obligations to taxing authorities for these stock awards were $0.7 million and are reflected as a financing activity within the Consolidated Statement of Cash Flows for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 addition, the employer taxes and expenses associated with these grants were $0.2 million and were recorded as an expense during </w:t>
      </w:r>
      <w:r>
        <w:rPr>
          <w:rStyle w:val="Emphasis"/>
          <w:rFonts w:ascii="Times New Roman" w:hAnsi="Times New Roman"/>
          <w:caps w:val="false"/>
          <w:smallCaps w:val="false"/>
          <w:sz w:val="20"/>
        </w:rPr>
        <w:t xml:space="preserve">December 2021. </w:t>
      </w:r>
      <w:r>
        <w:rPr>
          <w:rFonts w:ascii="Times New Roman" w:hAnsi="Times New Roman"/>
          <w:caps w:val="false"/>
          <w:smallCaps w:val="false"/>
          <w:sz w:val="20"/>
        </w:rPr>
        <w:t>Mr. Frist contributed an additional 7,113 of his personally owned shares to cover these costs. The receipt of shares from Mr. Frist and in connection with the withholding of shares as set forth above are presented on the Company’s Statement of Shareholders’ Equity in a similar manner as a share repurchase (i.e., reduction of outstanding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June 2019,</w:t>
      </w:r>
      <w:r>
        <w:rPr>
          <w:rFonts w:ascii="Times New Roman" w:hAnsi="Times New Roman"/>
          <w:caps w:val="false"/>
          <w:smallCaps w:val="false"/>
          <w:sz w:val="20"/>
        </w:rPr>
        <w:t xml:space="preserve"> Mr. Frist contributed 78,520 of his personally owned shares of HealthStream, Inc. common stock (valued at $2.0 million) to the Company, without any consideration paid to him, for the benefit of the Company’s employees. In connection therewith, effective </w:t>
      </w:r>
      <w:r>
        <w:rPr>
          <w:rStyle w:val="Emphasis"/>
          <w:rFonts w:ascii="Times New Roman" w:hAnsi="Times New Roman"/>
          <w:caps w:val="false"/>
          <w:smallCaps w:val="false"/>
          <w:sz w:val="20"/>
        </w:rPr>
        <w:t>June 26, 2019 </w:t>
      </w:r>
      <w:r>
        <w:rPr>
          <w:rFonts w:ascii="Times New Roman" w:hAnsi="Times New Roman"/>
          <w:caps w:val="false"/>
          <w:smallCaps w:val="false"/>
          <w:sz w:val="20"/>
        </w:rPr>
        <w:t xml:space="preserve">the Company approved the award of 78,520 fully vested shares of common stock to approximately 820 employees of the Company under the HealthStream, Inc.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Omnibus Incentive Plan. These shares were issued in </w:t>
      </w:r>
      <w:r>
        <w:rPr>
          <w:rStyle w:val="Emphasis"/>
          <w:rFonts w:ascii="Times New Roman" w:hAnsi="Times New Roman"/>
          <w:caps w:val="false"/>
          <w:smallCaps w:val="false"/>
          <w:sz w:val="20"/>
        </w:rPr>
        <w:t>July 2019.</w:t>
      </w:r>
      <w:r>
        <w:rPr>
          <w:rFonts w:ascii="Times New Roman" w:hAnsi="Times New Roman"/>
          <w:caps w:val="false"/>
          <w:smallCaps w:val="false"/>
          <w:sz w:val="20"/>
        </w:rPr>
        <w:t xml:space="preserve"> As required by ASC Topic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the Company recognized $2.0 million of stock-based compensation expense for these stock awards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2019 </w:t>
      </w:r>
      <w:r>
        <w:rPr>
          <w:rFonts w:ascii="Times New Roman" w:hAnsi="Times New Roman"/>
          <w:caps w:val="false"/>
          <w:smallCaps w:val="false"/>
          <w:sz w:val="20"/>
        </w:rPr>
        <w:t xml:space="preserve">based on the closing fair market value of the Company’s stock on the date of the Company’s approval of these grants. Total payments related to the employees’ tax obligations to taxing authorities for these stock awards were $0.6 million and are reflected as a financing activity within the Consolidated Statement of Cash Flows for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In addition, the employer taxes and expenses associated with these grants were $0.2 million and were recorded as an expense during </w:t>
      </w:r>
      <w:r>
        <w:rPr>
          <w:rStyle w:val="Emphasis"/>
          <w:rFonts w:ascii="Times New Roman" w:hAnsi="Times New Roman"/>
          <w:caps w:val="false"/>
          <w:smallCaps w:val="false"/>
          <w:sz w:val="20"/>
        </w:rPr>
        <w:t>June 2019.</w:t>
      </w:r>
      <w:r>
        <w:rPr>
          <w:rFonts w:ascii="Times New Roman" w:hAnsi="Times New Roman"/>
          <w:caps w:val="false"/>
          <w:smallCaps w:val="false"/>
          <w:sz w:val="20"/>
        </w:rPr>
        <w:t xml:space="preserve"> Mr. Frist contributed an additional 7,852 of his personally owned shares to cover these costs. The receipt of shares from Mr. Frist and in connection with the withholding of shares as set forth above are presented on the Company’s Statement of Shareholders’ Equity in a similar manner as a share repurchase (i.e., reduction of outstanding shares).</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EMPLOYEE BENEFIT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b/>
          <w:caps w:val="false"/>
          <w:smallCaps w:val="false"/>
          <w:sz w:val="20"/>
        </w:rPr>
        <w:t>401</w:t>
      </w:r>
      <w:r>
        <w:rPr>
          <w:rFonts w:ascii="Times New Roman" w:hAnsi="Times New Roman"/>
          <w:b/>
          <w:caps w:val="false"/>
          <w:smallCaps w:val="false"/>
          <w:sz w:val="20"/>
        </w:rPr>
        <w:t>(k)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The Company has a defined-contribution employee benefit plan (</w:t>
      </w:r>
      <w:r>
        <w:rPr>
          <w:rStyle w:val="Emphasis"/>
          <w:rFonts w:ascii="Times New Roman" w:hAnsi="Times New Roman"/>
          <w:caps w:val="false"/>
          <w:smallCaps w:val="false"/>
          <w:sz w:val="20"/>
        </w:rPr>
        <w:t>401</w:t>
      </w:r>
      <w:r>
        <w:rPr>
          <w:rFonts w:ascii="Times New Roman" w:hAnsi="Times New Roman"/>
          <w:caps w:val="false"/>
          <w:smallCaps w:val="false"/>
          <w:sz w:val="20"/>
        </w:rPr>
        <w:t>(k) Plan) incorporating provisions of Section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of the Internal Revenue Code. Employees must have attained the age of </w:t>
      </w:r>
      <w:r>
        <w:rPr>
          <w:rStyle w:val="Emphasis"/>
          <w:rFonts w:ascii="Times New Roman" w:hAnsi="Times New Roman"/>
          <w:caps w:val="false"/>
          <w:smallCaps w:val="false"/>
          <w:sz w:val="20"/>
        </w:rPr>
        <w:t>21</w:t>
      </w:r>
      <w:r>
        <w:rPr>
          <w:rFonts w:ascii="Times New Roman" w:hAnsi="Times New Roman"/>
          <w:caps w:val="false"/>
          <w:smallCaps w:val="false"/>
          <w:sz w:val="20"/>
        </w:rPr>
        <w:t xml:space="preserve"> and have completed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days of service to be eligible to participate in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Under the provisions of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a plan member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make contributions, on a tax-deferred basis, subject to IRS limitations. The Company elected to provide eligible employees with matching contributions totaling $2.0 million, $1.2 million, and $1.4 million for the years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respectively.</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DISCONTINUED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12, 2018, </w:t>
      </w:r>
      <w:r>
        <w:rPr>
          <w:rFonts w:ascii="Times New Roman" w:hAnsi="Times New Roman"/>
          <w:caps w:val="false"/>
          <w:smallCaps w:val="false"/>
          <w:sz w:val="20"/>
        </w:rPr>
        <w:t xml:space="preserve">the Company divested its PX business to Press Ganey for $65.2 million in cash (after giving effect to the post-closing working capital adjustment), resulting in a gain, net of tax, of $20.5 million, of which $19.0 million was recorded during the year ended </w:t>
      </w:r>
      <w:r>
        <w:rPr>
          <w:rStyle w:val="Emphasis"/>
          <w:rFonts w:ascii="Times New Roman" w:hAnsi="Times New Roman"/>
          <w:caps w:val="false"/>
          <w:smallCaps w:val="false"/>
          <w:sz w:val="20"/>
        </w:rPr>
        <w:t xml:space="preserve">December 31, 2018 </w:t>
      </w:r>
      <w:r>
        <w:rPr>
          <w:rFonts w:ascii="Times New Roman" w:hAnsi="Times New Roman"/>
          <w:caps w:val="false"/>
          <w:smallCaps w:val="false"/>
          <w:sz w:val="20"/>
        </w:rPr>
        <w:t xml:space="preserve">and $1.5 million was recorded during the year ended </w:t>
      </w:r>
      <w:r>
        <w:rPr>
          <w:rStyle w:val="Emphasis"/>
          <w:rFonts w:ascii="Times New Roman" w:hAnsi="Times New Roman"/>
          <w:caps w:val="false"/>
          <w:smallCaps w:val="false"/>
          <w:sz w:val="20"/>
        </w:rPr>
        <w:t>December 31, 2019. </w:t>
      </w:r>
      <w:r>
        <w:rPr>
          <w:rFonts w:ascii="Times New Roman" w:hAnsi="Times New Roman"/>
          <w:caps w:val="false"/>
          <w:smallCaps w:val="false"/>
          <w:sz w:val="20"/>
        </w:rPr>
        <w:t>This sale of the PX business resulted in the divestiture of the Company’s patient experience solutions business segment. The Company has classified the results of its PX business segment as discontinued operations in its Consolidated Statements of Income for all periods presented.</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DEBT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the Company had no debt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Revolving Credit Facility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 entered into a Third Amendment to Revolving Credit Agreement (Revolving Credit Facility), amending the Revolving Credit Facility, dated as of </w:t>
      </w:r>
      <w:r>
        <w:rPr>
          <w:rStyle w:val="Emphasis"/>
          <w:rFonts w:ascii="Times New Roman" w:hAnsi="Times New Roman"/>
          <w:caps w:val="false"/>
          <w:smallCaps w:val="false"/>
          <w:sz w:val="20"/>
        </w:rPr>
        <w:t xml:space="preserve">November 24, 2014 </w:t>
      </w:r>
      <w:r>
        <w:rPr>
          <w:rFonts w:ascii="Times New Roman" w:hAnsi="Times New Roman"/>
          <w:caps w:val="false"/>
          <w:smallCaps w:val="false"/>
          <w:sz w:val="20"/>
        </w:rPr>
        <w:t xml:space="preserve">with Truist Bank, successor by merger to SunTrust Bank (Truist), extending the maturity date to </w:t>
      </w:r>
      <w:r>
        <w:rPr>
          <w:rStyle w:val="Emphasis"/>
          <w:rFonts w:ascii="Times New Roman" w:hAnsi="Times New Roman"/>
          <w:caps w:val="false"/>
          <w:smallCaps w:val="false"/>
          <w:sz w:val="20"/>
        </w:rPr>
        <w:t xml:space="preserve">October 28, 2023. </w:t>
      </w:r>
      <w:r>
        <w:rPr>
          <w:rFonts w:ascii="Times New Roman" w:hAnsi="Times New Roman"/>
          <w:caps w:val="false"/>
          <w:smallCaps w:val="false"/>
          <w:sz w:val="20"/>
        </w:rPr>
        <w:t>The Amendment also increased the capacity under the Revolving Credit Facility to $65.0 million, which continues to include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In addition, the Amendment, among other things, (i) increased the basket for dividends to $65.0 million so long as the pro forma leverage ratio is less than or equal to 1.50:1.00 and the Company has minimum liquidity of $30.0 million, (ii) increased the basket for permitted minority owned investments to $20.0 million, (iii) added a LIBOR floor of 0.50%, and (iv) adjusted the applicable margin. At the Company’s election, the borrowings under the Revolving Credit Facility bear interest at either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 rate per annum equal to the highest of Truist’s prime rate or 0.5% in excess of the Federal Funds Rate or 1.0% in excess of </w:t>
      </w:r>
      <w:r>
        <w:rPr>
          <w:rStyle w:val="Emphasis"/>
          <w:rFonts w:ascii="Times New Roman" w:hAnsi="Times New Roman"/>
          <w:caps w:val="false"/>
          <w:smallCaps w:val="false"/>
          <w:sz w:val="20"/>
        </w:rPr>
        <w:t>one</w:t>
      </w:r>
      <w:r>
        <w:rPr>
          <w:rFonts w:ascii="Times New Roman" w:hAnsi="Times New Roman"/>
          <w:caps w:val="false"/>
          <w:smallCaps w:val="false"/>
          <w:sz w:val="20"/>
        </w:rPr>
        <w:t>-month LIBOR (the Base Rate), plus an applicable margin, or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one, two, three, or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 annum LIBOR for deposits in the applicable currency (the Eurocurrency Rate), as selected by the Company, plus an applicable margin. The applicable margin for Eurocurrency Rate loans depends on the Company’s funded debt leverage ratio and varies from 1.50% to 1.75%. The applicable margin for Base Rate loans depends on the Company’s funded debt leverage ratio and varies from 0.50% to 0.75%. Commitment fees and letter of credit fees are also payable under the Revolving Credit Facility. Principal is payable in full at maturity on </w:t>
      </w:r>
      <w:r>
        <w:rPr>
          <w:rStyle w:val="Emphasis"/>
          <w:rFonts w:ascii="Times New Roman" w:hAnsi="Times New Roman"/>
          <w:caps w:val="false"/>
          <w:smallCaps w:val="false"/>
          <w:sz w:val="20"/>
        </w:rPr>
        <w:t xml:space="preserve">October 28, 2023, </w:t>
      </w:r>
      <w:r>
        <w:rPr>
          <w:rFonts w:ascii="Times New Roman" w:hAnsi="Times New Roman"/>
          <w:caps w:val="false"/>
          <w:smallCaps w:val="false"/>
          <w:sz w:val="20"/>
        </w:rPr>
        <w:t xml:space="preserve">and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scheduled principal payments prior to maturity. The Company is required to pay a commitment fee ranging between 20 and 30 basis points per annum of the average daily unused portion of the Revolving Credit Facility, depending on the Company’s funded debt leverage ratio. The obligations under the Revolving Credit Facility are guaranteed by each of the Company’s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purpose of the Revolving Credit Facility is for general working capital needs, permitted acquisitions (as defined in the Loan Agreement), and for stock repurchase and/or redemption transactions that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authorize.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Revolving Credit Facility requires the Company to meet certain financial tests, including, without limitation:</w:t>
      </w:r>
    </w:p>
    <w:p>
      <w:pPr>
        <w:pStyle w:val="TextBody"/>
        <w:spacing w:before="0" w:after="0"/>
        <w:ind w:left="0" w:right="0" w:hanging="0"/>
        <w:rPr>
          <w:caps w:val="false"/>
          <w:smallCaps w:val="false"/>
        </w:rPr>
      </w:pPr>
      <w:r>
        <w:rPr>
          <w:caps w:val="false"/>
          <w:smallCaps w:val="false"/>
        </w:rPr>
        <w:t> </w:t>
      </w:r>
    </w:p>
    <w:tbl>
      <w:tblPr>
        <w:tblW w:w="8680" w:type="dxa"/>
        <w:jc w:val="left"/>
        <w:tblInd w:w="0" w:type="dxa"/>
        <w:tblCellMar>
          <w:top w:w="0" w:type="dxa"/>
          <w:left w:w="0" w:type="dxa"/>
          <w:bottom w:w="0" w:type="dxa"/>
          <w:right w:w="0" w:type="dxa"/>
        </w:tblCellMar>
      </w:tblPr>
      <w:tblGrid>
        <w:gridCol w:w="60"/>
        <w:gridCol w:w="110"/>
        <w:gridCol w:w="8510"/>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510" w:type="dxa"/>
            <w:tcBorders/>
            <w:shd w:fill="auto" w:val="clear"/>
            <w:vAlign w:val="center"/>
          </w:tcPr>
          <w:p>
            <w:pPr>
              <w:pStyle w:val="TableContents"/>
              <w:spacing w:before="0" w:after="0"/>
              <w:ind w:left="0" w:right="0" w:hanging="0"/>
              <w:jc w:val="both"/>
              <w:rPr/>
            </w:pPr>
            <w:r>
              <w:rPr>
                <w:rFonts w:ascii="Times New Roman" w:hAnsi="Times New Roman"/>
                <w:caps w:val="false"/>
                <w:smallCaps w:val="false"/>
                <w:sz w:val="20"/>
              </w:rPr>
              <w:t xml:space="preserve">a funded debt leverage ratio (consolidated debt/consolidated EBITDA)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greater than 3.0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w:t>
            </w:r>
          </w:p>
        </w:tc>
      </w:tr>
    </w:tbl>
    <w:p>
      <w:pPr>
        <w:pStyle w:val="TextBody"/>
        <w:spacing w:before="0" w:after="0"/>
        <w:ind w:left="0" w:right="0" w:hanging="0"/>
        <w:rPr>
          <w:caps w:val="false"/>
          <w:smallCaps w:val="false"/>
        </w:rPr>
      </w:pPr>
      <w:r>
        <w:rPr>
          <w:caps w:val="false"/>
          <w:smallCaps w:val="false"/>
        </w:rPr>
        <w:t> </w:t>
      </w:r>
    </w:p>
    <w:tbl>
      <w:tblPr>
        <w:tblW w:w="8785" w:type="dxa"/>
        <w:jc w:val="left"/>
        <w:tblInd w:w="0" w:type="dxa"/>
        <w:tblCellMar>
          <w:top w:w="0" w:type="dxa"/>
          <w:left w:w="0" w:type="dxa"/>
          <w:bottom w:w="0" w:type="dxa"/>
          <w:right w:w="0" w:type="dxa"/>
        </w:tblCellMar>
      </w:tblPr>
      <w:tblGrid>
        <w:gridCol w:w="60"/>
        <w:gridCol w:w="110"/>
        <w:gridCol w:w="861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615" w:type="dxa"/>
            <w:tcBorders/>
            <w:shd w:fill="auto" w:val="clear"/>
            <w:vAlign w:val="center"/>
          </w:tcPr>
          <w:p>
            <w:pPr>
              <w:pStyle w:val="TableContents"/>
              <w:spacing w:before="0" w:after="0"/>
              <w:ind w:left="0" w:right="0" w:hanging="0"/>
              <w:jc w:val="both"/>
              <w:rPr/>
            </w:pPr>
            <w:r>
              <w:rPr>
                <w:rFonts w:ascii="Times New Roman" w:hAnsi="Times New Roman"/>
                <w:caps w:val="false"/>
                <w:smallCaps w:val="false"/>
                <w:sz w:val="20"/>
              </w:rPr>
              <w:t xml:space="preserve">an interest coverage ratio (consolidated EBITDA/consolidated interest expense)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to </w:t>
            </w:r>
            <w:r>
              <w:rPr>
                <w:rStyle w:val="Emphasis"/>
                <w:rFonts w:ascii="Times New Roman" w:hAnsi="Times New Roman"/>
                <w:caps w:val="false"/>
                <w:smallCaps w:val="false"/>
                <w:sz w:val="20"/>
              </w:rPr>
              <w:t>1.0.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 Company was in compliance with all covenants. There were no balances outstanding on the Revolving Credit Facility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and there were no borrowings under the Revolving Credit Facility during the year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Company’s operating lease expense as presented in other general and administrative expense in the Consolidated Statements of Income was $5.5 million, $4.8 million, and $4.9 million for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w:t>
      </w:r>
      <w:r>
        <w:rPr>
          <w:rStyle w:val="Emphasis"/>
          <w:rFonts w:ascii="Times New Roman" w:hAnsi="Times New Roman"/>
          <w:caps w:val="false"/>
          <w:smallCaps w:val="false"/>
          <w:sz w:val="20"/>
        </w:rPr>
        <w:t>2020</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respectively. Cash paid for amounts included in the measurement of operating lease liabilities was $5.3 million and $4.9 million for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2020</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the weighted-average remaining lease term was 8.9 years, and the weighted-average incremental borrowing rate was 6%. As of </w:t>
      </w:r>
      <w:r>
        <w:rPr>
          <w:rStyle w:val="Emphasis"/>
          <w:rFonts w:ascii="Times New Roman" w:hAnsi="Times New Roman"/>
          <w:caps w:val="false"/>
          <w:smallCaps w:val="false"/>
          <w:sz w:val="20"/>
        </w:rPr>
        <w:t xml:space="preserve"> December 31, 2021</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leases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commenced.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rFonts w:ascii="Times New Roman;Times;serif" w:hAnsi="Times New Roman;Times;serif"/>
          <w:sz w:val="20"/>
        </w:rPr>
        <w:t xml:space="preserve">The table below presents the lease-related assets and liabilities recorded on the Consolidated Balance Sheets as of </w:t>
      </w:r>
      <w:r>
        <w:rPr>
          <w:rStyle w:val="Emphasis"/>
          <w:rFonts w:ascii="Times New Roman;Times;serif" w:hAnsi="Times New Roman;Times;serif"/>
          <w:sz w:val="20"/>
        </w:rPr>
        <w:t>December 31, 2021</w:t>
      </w:r>
      <w:r>
        <w:rPr>
          <w:rFonts w:ascii="Times New Roman;Times;serif" w:hAnsi="Times New Roman;Times;serif"/>
          <w:sz w:val="20"/>
        </w:rPr>
        <w:t> and </w:t>
      </w:r>
      <w:r>
        <w:rPr>
          <w:rStyle w:val="Emphasis"/>
          <w:rFonts w:ascii="Times New Roman;Times;serif" w:hAnsi="Times New Roman;Times;serif"/>
          <w:sz w:val="20"/>
        </w:rPr>
        <w:t>2020</w:t>
      </w:r>
      <w:r>
        <w:rPr>
          <w:rFonts w:ascii="Times New Roman;Times;serif" w:hAnsi="Times New Roman;Times;serif"/>
          <w:sz w:val="20"/>
        </w:rPr>
        <w:t xml:space="preserve"> (in thousands).</w:t>
      </w:r>
    </w:p>
    <w:p>
      <w:pPr>
        <w:pStyle w:val="TextBody"/>
        <w:spacing w:before="0" w:after="0"/>
        <w:ind w:left="0" w:right="0" w:hanging="0"/>
        <w:rPr>
          <w:caps w:val="false"/>
          <w:smallCaps w:val="false"/>
        </w:rPr>
      </w:pPr>
      <w:r>
        <w:rPr>
          <w:caps w:val="false"/>
          <w:smallCaps w:val="false"/>
        </w:rPr>
        <w:t> </w:t>
      </w:r>
    </w:p>
    <w:tbl>
      <w:tblPr>
        <w:tblW w:w="8667" w:type="dxa"/>
        <w:jc w:val="left"/>
        <w:tblInd w:w="0" w:type="dxa"/>
        <w:tblCellMar>
          <w:top w:w="0" w:type="dxa"/>
          <w:left w:w="0" w:type="dxa"/>
          <w:bottom w:w="0" w:type="dxa"/>
          <w:right w:w="0" w:type="dxa"/>
        </w:tblCellMar>
      </w:tblPr>
      <w:tblGrid>
        <w:gridCol w:w="3080"/>
        <w:gridCol w:w="3305"/>
        <w:gridCol w:w="60"/>
        <w:gridCol w:w="174"/>
        <w:gridCol w:w="824"/>
        <w:gridCol w:w="83"/>
        <w:gridCol w:w="83"/>
        <w:gridCol w:w="174"/>
        <w:gridCol w:w="824"/>
        <w:gridCol w:w="60"/>
      </w:tblGrid>
      <w:tr>
        <w:trPr/>
        <w:tc>
          <w:tcPr>
            <w:tcW w:w="3080" w:type="dxa"/>
            <w:tcBorders/>
            <w:shd w:fill="FFFFFF" w:val="clear"/>
            <w:vAlign w:val="center"/>
          </w:tcPr>
          <w:p>
            <w:pPr>
              <w:pStyle w:val="TableContents"/>
              <w:spacing w:before="0" w:after="283"/>
              <w:rPr/>
            </w:pPr>
            <w:r>
              <w:rPr/>
              <w:t> </w:t>
            </w:r>
          </w:p>
        </w:tc>
        <w:tc>
          <w:tcPr>
            <w:tcW w:w="3305"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ind w:left="0" w:right="0" w:hanging="0"/>
              <w:rPr/>
            </w:pPr>
            <w:r>
              <w:rPr/>
              <w:t> </w:t>
            </w:r>
          </w:p>
        </w:tc>
        <w:tc>
          <w:tcPr>
            <w:tcW w:w="216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spacing w:before="0" w:after="283"/>
              <w:rPr/>
            </w:pPr>
            <w:r>
              <w:rPr/>
              <w:t> </w:t>
            </w:r>
          </w:p>
        </w:tc>
      </w:tr>
      <w:tr>
        <w:trPr/>
        <w:tc>
          <w:tcPr>
            <w:tcW w:w="3080" w:type="dxa"/>
            <w:tcBorders/>
            <w:shd w:fill="FFFFFF" w:val="clear"/>
            <w:vAlign w:val="center"/>
          </w:tcPr>
          <w:p>
            <w:pPr>
              <w:pStyle w:val="TableContents"/>
              <w:spacing w:before="0" w:after="283"/>
              <w:rPr/>
            </w:pPr>
            <w:r>
              <w:rPr/>
              <w:t> </w:t>
            </w:r>
          </w:p>
        </w:tc>
        <w:tc>
          <w:tcPr>
            <w:tcW w:w="3305"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ind w:left="0" w:right="0" w:hanging="0"/>
              <w:rPr/>
            </w:pPr>
            <w:r>
              <w:rPr/>
              <w:t> </w:t>
            </w:r>
          </w:p>
        </w:tc>
        <w:tc>
          <w:tcPr>
            <w:tcW w:w="99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3"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ind w:left="0" w:right="0" w:hanging="0"/>
              <w:rPr/>
            </w:pPr>
            <w:r>
              <w:rPr/>
              <w:t> </w:t>
            </w:r>
          </w:p>
        </w:tc>
        <w:tc>
          <w:tcPr>
            <w:tcW w:w="99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r>
      <w:tr>
        <w:trPr/>
        <w:tc>
          <w:tcPr>
            <w:tcW w:w="308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Assets</w:t>
            </w:r>
          </w:p>
        </w:tc>
        <w:tc>
          <w:tcPr>
            <w:tcW w:w="3305" w:type="dxa"/>
            <w:tcBorders/>
            <w:shd w:fill="FFFFFF" w:val="clear"/>
            <w:vAlign w:val="center"/>
          </w:tcPr>
          <w:p>
            <w:pPr>
              <w:pStyle w:val="TableContents"/>
              <w:spacing w:before="0" w:after="0"/>
              <w:ind w:left="0" w:right="0" w:hanging="0"/>
              <w:rPr/>
            </w:pPr>
            <w:r>
              <w:rPr>
                <w:rStyle w:val="Emphasis"/>
                <w:rFonts w:ascii="Times New Roman" w:hAnsi="Times New Roman"/>
                <w:b/>
                <w:caps w:val="false"/>
                <w:smallCaps w:val="false"/>
                <w:sz w:val="20"/>
              </w:rPr>
              <w:t>Classification</w:t>
            </w:r>
          </w:p>
        </w:tc>
        <w:tc>
          <w:tcPr>
            <w:tcW w:w="60"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rPr/>
            </w:pPr>
            <w:r>
              <w:rPr/>
              <w:t> </w:t>
            </w:r>
          </w:p>
        </w:tc>
        <w:tc>
          <w:tcPr>
            <w:tcW w:w="824" w:type="dxa"/>
            <w:tcBorders/>
            <w:shd w:fill="FFFFFF" w:val="clear"/>
            <w:vAlign w:val="center"/>
          </w:tcPr>
          <w:p>
            <w:pPr>
              <w:pStyle w:val="TableContents"/>
              <w:spacing w:before="0" w:after="283"/>
              <w:rPr/>
            </w:pPr>
            <w:r>
              <w:rPr>
                <w:rStyle w:val="Emphasis"/>
              </w:rPr>
              <w:t> </w:t>
            </w:r>
          </w:p>
        </w:tc>
        <w:tc>
          <w:tcPr>
            <w:tcW w:w="83"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rPr/>
            </w:pPr>
            <w:r>
              <w:rPr/>
              <w:t> </w:t>
            </w:r>
          </w:p>
        </w:tc>
        <w:tc>
          <w:tcPr>
            <w:tcW w:w="824"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30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3305" w:type="dxa"/>
            <w:tcBorders/>
            <w:shd w:fill="CCEEFF" w:val="clear"/>
            <w:vAlign w:val="center"/>
          </w:tcPr>
          <w:p>
            <w:pPr>
              <w:pStyle w:val="TableContents"/>
              <w:spacing w:before="0" w:after="0"/>
              <w:ind w:left="0" w:right="0" w:hanging="0"/>
              <w:rPr/>
            </w:pPr>
            <w:r>
              <w:rPr>
                <w:rStyle w:val="Emphasis"/>
                <w:rFonts w:ascii="Times New Roman" w:hAnsi="Times New Roman"/>
                <w:caps w:val="false"/>
                <w:smallCaps w:val="false"/>
                <w:sz w:val="20"/>
              </w:rPr>
              <w:t>Operating lease right of use assets, net</w:t>
            </w:r>
          </w:p>
        </w:tc>
        <w:tc>
          <w:tcPr>
            <w:tcW w:w="60" w:type="dxa"/>
            <w:tcBorders/>
            <w:shd w:fill="CCEEFF" w:val="clear"/>
            <w:vAlign w:val="center"/>
          </w:tcPr>
          <w:p>
            <w:pPr>
              <w:pStyle w:val="TableContents"/>
              <w:spacing w:before="0" w:after="283"/>
              <w:ind w:left="0" w:right="0" w:hanging="0"/>
              <w:rPr/>
            </w:pPr>
            <w:r>
              <w:rPr/>
              <w:t> </w:t>
            </w:r>
          </w:p>
        </w:tc>
        <w:tc>
          <w:tcPr>
            <w:tcW w:w="174"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25,168</w:t>
            </w:r>
          </w:p>
        </w:tc>
        <w:tc>
          <w:tcPr>
            <w:tcW w:w="83"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ind w:left="0" w:right="0" w:hanging="0"/>
              <w:rPr/>
            </w:pPr>
            <w:r>
              <w:rPr/>
              <w:t> </w:t>
            </w:r>
          </w:p>
        </w:tc>
        <w:tc>
          <w:tcPr>
            <w:tcW w:w="174"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28,081</w:t>
            </w:r>
          </w:p>
        </w:tc>
        <w:tc>
          <w:tcPr>
            <w:tcW w:w="60" w:type="dxa"/>
            <w:tcBorders/>
            <w:shd w:fill="CCEEFF" w:val="clear"/>
            <w:vAlign w:val="center"/>
          </w:tcPr>
          <w:p>
            <w:pPr>
              <w:pStyle w:val="TableContents"/>
              <w:spacing w:before="0" w:after="283"/>
              <w:rPr/>
            </w:pPr>
            <w:r>
              <w:rPr/>
              <w:t> </w:t>
            </w:r>
          </w:p>
        </w:tc>
      </w:tr>
      <w:tr>
        <w:trPr/>
        <w:tc>
          <w:tcPr>
            <w:tcW w:w="6385" w:type="dxa"/>
            <w:gridSpan w:val="2"/>
            <w:tcBorders/>
            <w:shd w:fill="FFFFFF" w:val="clear"/>
            <w:vAlign w:val="center"/>
          </w:tcPr>
          <w:p>
            <w:pPr>
              <w:pStyle w:val="TableContents"/>
              <w:spacing w:before="0" w:after="0"/>
              <w:ind w:left="360" w:right="0" w:hanging="0"/>
              <w:rPr/>
            </w:pPr>
            <w:r>
              <w:rPr>
                <w:rStyle w:val="Emphasis"/>
                <w:rFonts w:ascii="Times New Roman" w:hAnsi="Times New Roman"/>
                <w:caps w:val="false"/>
                <w:smallCaps w:val="false"/>
                <w:sz w:val="20"/>
              </w:rPr>
              <w:t>Total leased assets</w:t>
            </w:r>
          </w:p>
        </w:tc>
        <w:tc>
          <w:tcPr>
            <w:tcW w:w="60" w:type="dxa"/>
            <w:tcBorders/>
            <w:shd w:fill="FFFFFF" w:val="clear"/>
            <w:vAlign w:val="center"/>
          </w:tcPr>
          <w:p>
            <w:pPr>
              <w:pStyle w:val="TableContents"/>
              <w:spacing w:before="0" w:after="283"/>
              <w:ind w:left="0" w:right="0" w:hanging="0"/>
              <w:rPr/>
            </w:pPr>
            <w:r>
              <w:rPr/>
              <w:t> </w:t>
            </w:r>
          </w:p>
        </w:tc>
        <w:tc>
          <w:tcPr>
            <w:tcW w:w="17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25,168</w:t>
            </w:r>
          </w:p>
        </w:tc>
        <w:tc>
          <w:tcPr>
            <w:tcW w:w="83"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ind w:left="0" w:right="0" w:hanging="0"/>
              <w:rPr/>
            </w:pPr>
            <w:r>
              <w:rPr/>
              <w:t> </w:t>
            </w:r>
          </w:p>
        </w:tc>
        <w:tc>
          <w:tcPr>
            <w:tcW w:w="17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28,081</w:t>
            </w:r>
          </w:p>
        </w:tc>
        <w:tc>
          <w:tcPr>
            <w:tcW w:w="60" w:type="dxa"/>
            <w:tcBorders/>
            <w:shd w:fill="FFFFFF" w:val="clear"/>
            <w:vAlign w:val="center"/>
          </w:tcPr>
          <w:p>
            <w:pPr>
              <w:pStyle w:val="TableContents"/>
              <w:spacing w:before="0" w:after="283"/>
              <w:rPr/>
            </w:pPr>
            <w:r>
              <w:rPr/>
              <w:t> </w:t>
            </w:r>
          </w:p>
        </w:tc>
      </w:tr>
      <w:tr>
        <w:trPr/>
        <w:tc>
          <w:tcPr>
            <w:tcW w:w="3080"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Liabilities</w:t>
            </w:r>
          </w:p>
        </w:tc>
        <w:tc>
          <w:tcPr>
            <w:tcW w:w="33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24"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8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30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lease liabilities, current</w:t>
            </w:r>
          </w:p>
        </w:tc>
        <w:tc>
          <w:tcPr>
            <w:tcW w:w="3305" w:type="dxa"/>
            <w:tcBorders/>
            <w:shd w:fill="FFFFFF" w:val="clear"/>
            <w:vAlign w:val="center"/>
          </w:tcPr>
          <w:p>
            <w:pPr>
              <w:pStyle w:val="TableContents"/>
              <w:spacing w:before="0" w:after="0"/>
              <w:ind w:left="0" w:right="0" w:hanging="0"/>
              <w:rPr/>
            </w:pPr>
            <w:r>
              <w:rPr>
                <w:rStyle w:val="Emphasis"/>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spacing w:before="0" w:after="283"/>
              <w:ind w:left="0" w:right="0" w:hanging="0"/>
              <w:rPr/>
            </w:pPr>
            <w:r>
              <w:rPr/>
              <w:t> </w:t>
            </w:r>
          </w:p>
        </w:tc>
        <w:tc>
          <w:tcPr>
            <w:tcW w:w="17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2,928</w:t>
            </w:r>
          </w:p>
        </w:tc>
        <w:tc>
          <w:tcPr>
            <w:tcW w:w="83"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ind w:left="0" w:right="0" w:hanging="0"/>
              <w:rPr/>
            </w:pPr>
            <w:r>
              <w:rPr/>
              <w:t> </w:t>
            </w:r>
          </w:p>
        </w:tc>
        <w:tc>
          <w:tcPr>
            <w:tcW w:w="17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3,390</w:t>
            </w:r>
          </w:p>
        </w:tc>
        <w:tc>
          <w:tcPr>
            <w:tcW w:w="60" w:type="dxa"/>
            <w:tcBorders/>
            <w:shd w:fill="FFFFFF" w:val="clear"/>
            <w:vAlign w:val="center"/>
          </w:tcPr>
          <w:p>
            <w:pPr>
              <w:pStyle w:val="TableContents"/>
              <w:spacing w:before="0" w:after="283"/>
              <w:rPr/>
            </w:pPr>
            <w:r>
              <w:rPr/>
              <w:t> </w:t>
            </w:r>
          </w:p>
        </w:tc>
      </w:tr>
      <w:tr>
        <w:trPr/>
        <w:tc>
          <w:tcPr>
            <w:tcW w:w="30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lease liabilities, noncurrent</w:t>
            </w:r>
          </w:p>
        </w:tc>
        <w:tc>
          <w:tcPr>
            <w:tcW w:w="3305" w:type="dxa"/>
            <w:tcBorders/>
            <w:shd w:fill="CCEEFF" w:val="clear"/>
            <w:vAlign w:val="center"/>
          </w:tcPr>
          <w:p>
            <w:pPr>
              <w:pStyle w:val="TableContents"/>
              <w:spacing w:before="0" w:after="0"/>
              <w:ind w:left="0" w:right="0" w:hanging="0"/>
              <w:rPr/>
            </w:pPr>
            <w:r>
              <w:rPr>
                <w:rStyle w:val="Emphasis"/>
                <w:rFonts w:ascii="Times New Roman" w:hAnsi="Times New Roman"/>
                <w:caps w:val="false"/>
                <w:smallCaps w:val="false"/>
                <w:sz w:val="20"/>
              </w:rPr>
              <w:t>Operating lease liability, noncurrent</w:t>
            </w:r>
          </w:p>
        </w:tc>
        <w:tc>
          <w:tcPr>
            <w:tcW w:w="60" w:type="dxa"/>
            <w:tcBorders/>
            <w:shd w:fill="CCEEFF" w:val="clear"/>
            <w:vAlign w:val="center"/>
          </w:tcPr>
          <w:p>
            <w:pPr>
              <w:pStyle w:val="TableContents"/>
              <w:spacing w:before="0" w:after="283"/>
              <w:rPr/>
            </w:pPr>
            <w:r>
              <w:rPr/>
              <w:t> </w:t>
            </w:r>
          </w:p>
        </w:tc>
        <w:tc>
          <w:tcPr>
            <w:tcW w:w="17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2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26,178</w:t>
            </w:r>
          </w:p>
        </w:tc>
        <w:tc>
          <w:tcPr>
            <w:tcW w:w="83"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7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2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28,479</w:t>
            </w:r>
          </w:p>
        </w:tc>
        <w:tc>
          <w:tcPr>
            <w:tcW w:w="60" w:type="dxa"/>
            <w:tcBorders/>
            <w:shd w:fill="CCEEFF" w:val="clear"/>
            <w:vAlign w:val="center"/>
          </w:tcPr>
          <w:p>
            <w:pPr>
              <w:pStyle w:val="TableContents"/>
              <w:spacing w:before="0" w:after="283"/>
              <w:rPr/>
            </w:pPr>
            <w:r>
              <w:rPr/>
              <w:t> </w:t>
            </w:r>
          </w:p>
        </w:tc>
      </w:tr>
      <w:tr>
        <w:trPr/>
        <w:tc>
          <w:tcPr>
            <w:tcW w:w="6385" w:type="dxa"/>
            <w:gridSpan w:val="2"/>
            <w:tcBorders/>
            <w:shd w:fill="FFFFFF" w:val="clear"/>
            <w:vAlign w:val="center"/>
          </w:tcPr>
          <w:p>
            <w:pPr>
              <w:pStyle w:val="TableContents"/>
              <w:spacing w:before="0" w:after="0"/>
              <w:ind w:left="360" w:right="0" w:hanging="0"/>
              <w:rPr/>
            </w:pPr>
            <w:r>
              <w:rPr>
                <w:rStyle w:val="Emphasis"/>
                <w:rFonts w:ascii="Times New Roman" w:hAnsi="Times New Roman"/>
                <w:caps w:val="false"/>
                <w:smallCaps w:val="false"/>
                <w:sz w:val="20"/>
              </w:rPr>
              <w:t>Total operating lease liabilities</w:t>
            </w:r>
          </w:p>
        </w:tc>
        <w:tc>
          <w:tcPr>
            <w:tcW w:w="60" w:type="dxa"/>
            <w:tcBorders/>
            <w:shd w:fill="FFFFFF" w:val="clear"/>
            <w:vAlign w:val="center"/>
          </w:tcPr>
          <w:p>
            <w:pPr>
              <w:pStyle w:val="TableContents"/>
              <w:spacing w:before="0" w:after="283"/>
              <w:ind w:left="0" w:right="0" w:hanging="0"/>
              <w:rPr/>
            </w:pPr>
            <w:r>
              <w:rPr/>
              <w:t> </w:t>
            </w:r>
          </w:p>
        </w:tc>
        <w:tc>
          <w:tcPr>
            <w:tcW w:w="17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29,106</w:t>
            </w:r>
          </w:p>
        </w:tc>
        <w:tc>
          <w:tcPr>
            <w:tcW w:w="83"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ind w:left="0" w:right="0" w:hanging="0"/>
              <w:rPr/>
            </w:pPr>
            <w:r>
              <w:rPr/>
              <w:t> </w:t>
            </w:r>
          </w:p>
        </w:tc>
        <w:tc>
          <w:tcPr>
            <w:tcW w:w="17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31,869</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table below presents the maturities of lease liabilities under non-cancellable leases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(in thousands).</w:t>
      </w:r>
    </w:p>
    <w:p>
      <w:pPr>
        <w:pStyle w:val="TextBody"/>
        <w:spacing w:before="0" w:after="0"/>
        <w:ind w:left="0" w:right="0" w:hanging="0"/>
        <w:rPr>
          <w:caps w:val="false"/>
          <w:smallCaps w:val="false"/>
        </w:rPr>
      </w:pPr>
      <w:r>
        <w:rPr>
          <w:caps w:val="false"/>
          <w:smallCaps w:val="false"/>
        </w:rPr>
        <w:t> </w:t>
      </w:r>
    </w:p>
    <w:tbl>
      <w:tblPr>
        <w:tblW w:w="3720" w:type="dxa"/>
        <w:jc w:val="left"/>
        <w:tblInd w:w="0" w:type="dxa"/>
        <w:tblCellMar>
          <w:top w:w="0" w:type="dxa"/>
          <w:left w:w="0" w:type="dxa"/>
          <w:bottom w:w="0" w:type="dxa"/>
          <w:right w:w="0" w:type="dxa"/>
        </w:tblCellMar>
      </w:tblPr>
      <w:tblGrid>
        <w:gridCol w:w="2885"/>
        <w:gridCol w:w="60"/>
        <w:gridCol w:w="125"/>
        <w:gridCol w:w="590"/>
        <w:gridCol w:w="60"/>
      </w:tblGrid>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4,495</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4,422</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4,457</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4,022</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3,650</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17,000</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undiscounted lease payments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38,046</w:t>
            </w:r>
          </w:p>
        </w:tc>
        <w:tc>
          <w:tcPr>
            <w:tcW w:w="60" w:type="dxa"/>
            <w:tcBorders/>
            <w:shd w:fill="CCEEFF" w:val="clear"/>
            <w:vAlign w:val="center"/>
          </w:tcPr>
          <w:p>
            <w:pPr>
              <w:pStyle w:val="TableContents"/>
              <w:spacing w:before="0" w:after="283"/>
              <w:rPr/>
            </w:pPr>
            <w:r>
              <w:rPr/>
              <w:t> </w:t>
            </w:r>
          </w:p>
        </w:tc>
      </w:tr>
      <w:tr>
        <w:trPr/>
        <w:tc>
          <w:tcPr>
            <w:tcW w:w="28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8,940</w:t>
            </w:r>
          </w:p>
        </w:tc>
        <w:tc>
          <w:tcPr>
            <w:tcW w:w="60" w:type="dxa"/>
            <w:tcBorders/>
            <w:shd w:fill="FFFFFF"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29,106</w:t>
            </w:r>
          </w:p>
        </w:tc>
        <w:tc>
          <w:tcPr>
            <w:tcW w:w="60" w:type="dxa"/>
            <w:tcBorders/>
            <w:shd w:fill="CCEEFF" w:val="clear"/>
            <w:vAlign w:val="center"/>
          </w:tcPr>
          <w:p>
            <w:pPr>
              <w:pStyle w:val="TableContents"/>
              <w:spacing w:before="0" w:after="283"/>
              <w:rPr/>
            </w:pPr>
            <w:r>
              <w:rPr/>
              <w:t> </w:t>
            </w:r>
          </w:p>
        </w:tc>
      </w:tr>
    </w:tbl>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LITIGATION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In connection with its business, the Company is from time to time involved in various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adverse effect on the financial position or results of operations of the Company.</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NON-MARKETABLE EQUITY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pPr>
      <w:r>
        <w:rPr>
          <w:rFonts w:ascii="Times New Roman" w:hAnsi="Times New Roman"/>
          <w:caps w:val="false"/>
          <w:smallCaps w:val="false"/>
          <w:sz w:val="20"/>
        </w:rPr>
        <w:t xml:space="preserve">The aggregate carrying amount of non-marketable equity investments accounted for using the measurement alternative for equity investments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readily determinable fair values was $2.8 million and $3.9 million for the years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respectively, which carrying value we evaluate for impairment at each reporting period. During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recorded a $0.3 million upward adjustment to the carrying value of a non-marketable equity investment due to a change in fair value based on the consideration received upon the sale of the investment. During the year ended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the Company recorded a $1.2 million upward adjustment to the carrying value of our non-marketable equity investment in NurseGrid due to a change in fair value based on the consideration paid upon the Company’s acquisition of NurseGrid on </w:t>
      </w:r>
      <w:r>
        <w:rPr>
          <w:rStyle w:val="Emphasis"/>
          <w:rFonts w:ascii="Times New Roman" w:hAnsi="Times New Roman"/>
          <w:caps w:val="false"/>
          <w:smallCaps w:val="false"/>
          <w:sz w:val="20"/>
        </w:rPr>
        <w:t>March 9, 2020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Cumulatively, the Company has recorded $0.2 million in upward adjustments to the carrying value of non-marketable equity investments. Such is the combination of cumulative upward adjustments of $1.5 million offset by cumulative downward adjustments of $1.3 million. Cumulatively, the Company has recorded $1.3 million in reductions to the carrying value of non-marketable equity investments due to downward changes in fair value based on observable prices from orderly transactions for similar investments made in the investee. The fair value of non-marketable equity investments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estimated if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identified events or changes in circumstances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a significant adverse effect on the fair value of the investment.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jc w:val="left"/>
        <w:rPr/>
      </w:pPr>
      <w:r>
        <w:rPr/>
        <w:t xml:space="preserve">  </w:t>
      </w:r>
    </w:p>
    <w:p>
      <w:pPr>
        <w:pStyle w:val="TextBody"/>
        <w:rPr/>
      </w:pPr>
      <w:r>
        <w:rPr/>
        <w:t xml:space="preserve">  </w:t>
      </w:r>
    </w:p>
    <w:p>
      <w:pPr>
        <w:pStyle w:val="TextBody"/>
        <w:spacing w:before="0" w:after="0"/>
        <w:ind w:left="0" w:right="0" w:hanging="0"/>
        <w:rPr>
          <w:rFonts w:ascii="Times New Roman" w:hAnsi="Times New Roman"/>
          <w:caps w:val="false"/>
          <w:smallCaps w:val="false"/>
          <w:sz w:val="20"/>
        </w:rPr>
      </w:pPr>
      <w:bookmarkStart w:id="23" w:name="i9"/>
      <w:bookmarkEnd w:id="23"/>
      <w:r>
        <w:rPr>
          <w:rFonts w:ascii="Times New Roman" w:hAnsi="Times New Roman"/>
          <w:b/>
          <w:caps w:val="false"/>
          <w:smallCaps w:val="false"/>
          <w:sz w:val="20"/>
        </w:rPr>
        <w:t>Item 9.</w:t>
      </w:r>
      <w:r>
        <w:rPr>
          <w:rFonts w:ascii="Times New Roman" w:hAnsi="Times New Roman"/>
          <w:caps w:val="false"/>
          <w:smallCaps w:val="false"/>
          <w:sz w:val="20"/>
        </w:rPr>
        <w:t xml:space="preserve"> </w:t>
      </w:r>
      <w:r>
        <w:rPr>
          <w:rFonts w:ascii="Times New Roman" w:hAnsi="Times New Roman"/>
          <w:b/>
          <w:i/>
          <w:caps w:val="false"/>
          <w:smallCaps w:val="false"/>
          <w:sz w:val="20"/>
        </w:rPr>
        <w:t>Changes in and Disagreements with Accountants on Accounting and Financial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4" w:name="i9A"/>
      <w:bookmarkEnd w:id="2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9A.</w:t>
      </w:r>
      <w:r>
        <w:rPr>
          <w:rFonts w:ascii="Times New Roman" w:hAnsi="Times New Roman"/>
          <w:caps w:val="false"/>
          <w:smallCaps w:val="false"/>
          <w:sz w:val="20"/>
        </w:rPr>
        <w:t xml:space="preserve"> </w:t>
      </w:r>
      <w:r>
        <w:rPr>
          <w:rFonts w:ascii="Times New Roman" w:hAnsi="Times New Roman"/>
          <w:b/>
          <w:i/>
          <w:caps w:val="false"/>
          <w:smallCaps w:val="false"/>
          <w:sz w:val="20"/>
        </w:rPr>
        <w:t>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2021.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Annual Report on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above, we completed the acquisition of Rievent on December 1, 2021. We are continuing the process of analyzing the systems of internal control over financial reporting of the acquired Rievent business and integrating it within our broader framework of controls. In accordance with the SEC’s rules which allow us to exclude acquired businesses from our internal controls assessment in respect of periods ending on or prior to the first anniversary of the completion of any such acquisition, and taking into account the proximity of the closing date of this acquisition to our internal controls assessment date of December 31, 2021, we have excluded the acquired Rievent business from management’s assessment of the effectiveness of internal control over financial reporting as of December 31, 2021. The assets of Rievent as of December 31, 2021 represented less than 1% of our total consolidated assets as of such date, and the net revenues of Rievent during the year ended December 31, 2021 (including the period in 2021 prior to our acquisition of Rievent) represented less than 1% of our consolidated net revenues during our fiscal year ended December 31, 2021. We plan to complete the integration of the acquired Rievent business within our broader framework of internal controls during 2022 and include this business within management’s assessment of our internal control over financial reporting in our next annual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assessed the effectiveness of the Company’s internal control over financial reporting as of December 31, 2021. In making this assessment, management used the criteria set forth by the Committee of Sponsoring Organizations of the Treadway Commission in Internal Control-Integrated Framework (2013 Framework). Management’s assessment included an evaluation of the design of our internal control over financial reporting and testing of the operational effectiveness of our internal control over financial reporting. Management believes that, as of December 31, 2021,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HealthStream’s internal control over financial reporting that occurred during the fourth quarter of 2021 that have materially affected, or that are reasonably likely to materially affect, HealthStream’s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5" w:name="i9B"/>
      <w:bookmarkEnd w:id="2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9B.</w:t>
      </w:r>
      <w:r>
        <w:rPr>
          <w:rFonts w:ascii="Times New Roman" w:hAnsi="Times New Roman"/>
          <w:caps w:val="false"/>
          <w:smallCaps w:val="false"/>
          <w:sz w:val="20"/>
        </w:rPr>
        <w:t xml:space="preserve"> </w:t>
      </w:r>
      <w:r>
        <w:rPr>
          <w:rFonts w:ascii="Times New Roman" w:hAnsi="Times New Roman"/>
          <w:b/>
          <w:i/>
          <w:caps w:val="false"/>
          <w:smallCaps w:val="false"/>
          <w:sz w:val="20"/>
        </w:rPr>
        <w:t>Other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9C.</w:t>
      </w:r>
      <w:r>
        <w:rPr>
          <w:rFonts w:ascii="Times New Roman" w:hAnsi="Times New Roman"/>
          <w:caps w:val="false"/>
          <w:smallCaps w:val="false"/>
          <w:sz w:val="20"/>
        </w:rPr>
        <w:t xml:space="preserve"> </w:t>
      </w:r>
      <w:r>
        <w:rPr>
          <w:rFonts w:ascii="Times New Roman" w:hAnsi="Times New Roman"/>
          <w:b/>
          <w:i/>
          <w:caps w:val="false"/>
          <w:smallCaps w:val="false"/>
          <w:sz w:val="20"/>
        </w:rPr>
        <w:t>Disclosure Regarding Foreign Jurisdictions that Prevent Inspections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26" w:name="p3"/>
      <w:bookmarkEnd w:id="26"/>
      <w:r>
        <w:rPr>
          <w:rFonts w:ascii="Times New Roman" w:hAnsi="Times New Roman"/>
          <w:b/>
          <w:caps w:val="false"/>
          <w:smallCaps w:val="false"/>
          <w:sz w:val="20"/>
        </w:rPr>
        <w:t>PART III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7" w:name="i10"/>
      <w:bookmarkEnd w:id="2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10.</w:t>
      </w:r>
      <w:r>
        <w:rPr>
          <w:rFonts w:ascii="Times New Roman" w:hAnsi="Times New Roman"/>
          <w:caps w:val="false"/>
          <w:smallCaps w:val="false"/>
          <w:sz w:val="20"/>
        </w:rPr>
        <w:t xml:space="preserve"> </w:t>
      </w:r>
      <w:r>
        <w:rPr>
          <w:rFonts w:ascii="Times New Roman" w:hAnsi="Times New Roman"/>
          <w:b/>
          <w:i/>
          <w:caps w:val="false"/>
          <w:smallCaps w:val="false"/>
          <w:sz w:val="20"/>
        </w:rPr>
        <w:t>Directors, Executive Officers and Corporate Governance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as to directors of the Company and corporate governance is incorporated by reference from the information to be contained in our proxy statement for the 2022 Annual Meeting of Shareholders (2022 Proxy Statement)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Information about our Executive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8" w:name="i11"/>
      <w:bookmarkEnd w:id="2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11.</w:t>
      </w:r>
      <w:r>
        <w:rPr>
          <w:rFonts w:ascii="Times New Roman" w:hAnsi="Times New Roman"/>
          <w:caps w:val="false"/>
          <w:smallCaps w:val="false"/>
          <w:sz w:val="20"/>
        </w:rPr>
        <w:t xml:space="preserve"> </w:t>
      </w:r>
      <w:r>
        <w:rPr>
          <w:rFonts w:ascii="Times New Roman" w:hAnsi="Times New Roman"/>
          <w:b/>
          <w:i/>
          <w:caps w:val="false"/>
          <w:smallCaps w:val="false"/>
          <w:sz w:val="20"/>
        </w:rPr>
        <w:t>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the information to be contained in the Company’s 2022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9" w:name="i12"/>
      <w:bookmarkEnd w:id="2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12.</w:t>
      </w:r>
      <w:r>
        <w:rPr>
          <w:rFonts w:ascii="Times New Roman" w:hAnsi="Times New Roman"/>
          <w:caps w:val="false"/>
          <w:smallCaps w:val="false"/>
          <w:sz w:val="20"/>
        </w:rPr>
        <w:t xml:space="preserve"> </w:t>
      </w:r>
      <w:r>
        <w:rPr>
          <w:rFonts w:ascii="Times New Roman" w:hAnsi="Times New Roman"/>
          <w:b/>
          <w:i/>
          <w:caps w:val="false"/>
          <w:smallCaps w:val="false"/>
          <w:sz w:val="20"/>
        </w:rPr>
        <w:t>Security Ownership of Certain Beneficial Owners and Management and Related Stockholder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the information to be contained in the Company’s 2022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30" w:name="i13"/>
      <w:bookmarkEnd w:id="3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13.</w:t>
      </w:r>
      <w:r>
        <w:rPr>
          <w:rFonts w:ascii="Times New Roman" w:hAnsi="Times New Roman"/>
          <w:caps w:val="false"/>
          <w:smallCaps w:val="false"/>
          <w:sz w:val="20"/>
        </w:rPr>
        <w:t xml:space="preserve"> </w:t>
      </w:r>
      <w:r>
        <w:rPr>
          <w:rFonts w:ascii="Times New Roman" w:hAnsi="Times New Roman"/>
          <w:b/>
          <w:i/>
          <w:caps w:val="false"/>
          <w:smallCaps w:val="false"/>
          <w:sz w:val="20"/>
        </w:rPr>
        <w:t>Certain Relationships and Related Transactions, and Director Independence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the information to be contained in the Company’s 2022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31" w:name="i14"/>
      <w:bookmarkEnd w:id="3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14.</w:t>
      </w:r>
      <w:r>
        <w:rPr>
          <w:rFonts w:ascii="Times New Roman" w:hAnsi="Times New Roman"/>
          <w:caps w:val="false"/>
          <w:smallCaps w:val="false"/>
          <w:sz w:val="20"/>
        </w:rPr>
        <w:t xml:space="preserve"> </w:t>
      </w:r>
      <w:r>
        <w:rPr>
          <w:rFonts w:ascii="Times New Roman" w:hAnsi="Times New Roman"/>
          <w:b/>
          <w:i/>
          <w:caps w:val="false"/>
          <w:smallCaps w:val="false"/>
          <w:sz w:val="20"/>
        </w:rPr>
        <w:t>Principal Accounting Fees and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the information to be contained in the Company’s 2022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32" w:name="p4"/>
      <w:bookmarkEnd w:id="32"/>
      <w:r>
        <w:rPr>
          <w:rFonts w:ascii="Times New Roman" w:hAnsi="Times New Roman"/>
          <w:b/>
          <w:caps w:val="false"/>
          <w:smallCaps w:val="false"/>
          <w:sz w:val="20"/>
        </w:rPr>
        <w:t>PART IV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33" w:name="i15"/>
      <w:bookmarkEnd w:id="3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15.</w:t>
      </w:r>
      <w:r>
        <w:rPr>
          <w:rFonts w:ascii="Times New Roman" w:hAnsi="Times New Roman"/>
          <w:caps w:val="false"/>
          <w:smallCaps w:val="false"/>
          <w:sz w:val="20"/>
        </w:rPr>
        <w:t xml:space="preserve"> </w:t>
      </w:r>
      <w:r>
        <w:rPr>
          <w:rFonts w:ascii="Times New Roman" w:hAnsi="Times New Roman"/>
          <w:b/>
          <w:i/>
          <w:caps w:val="false"/>
          <w:smallCaps w:val="false"/>
          <w:sz w:val="20"/>
        </w:rPr>
        <w:t>Exhibits, Financial Statement Schedules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920"/>
        <w:jc w:val="both"/>
        <w:rPr>
          <w:rFonts w:ascii="Times New Roman" w:hAnsi="Times New Roman"/>
          <w:caps w:val="false"/>
          <w:smallCaps w:val="false"/>
          <w:sz w:val="20"/>
        </w:rPr>
      </w:pPr>
      <w:r>
        <w:rPr>
          <w:rFonts w:ascii="Times New Roman" w:hAnsi="Times New Roman"/>
          <w:caps w:val="false"/>
          <w:smallCaps w:val="false"/>
          <w:sz w:val="20"/>
        </w:rPr>
        <w:t>(a)(1)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 is made to the financial statements included in Item 8 to this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920"/>
        <w:jc w:val="both"/>
        <w:rPr>
          <w:rFonts w:ascii="Times New Roman" w:hAnsi="Times New Roman"/>
          <w:caps w:val="false"/>
          <w:smallCaps w:val="false"/>
          <w:sz w:val="20"/>
        </w:rPr>
      </w:pPr>
      <w:r>
        <w:rPr>
          <w:rFonts w:ascii="Times New Roman" w:hAnsi="Times New Roman"/>
          <w:caps w:val="false"/>
          <w:smallCaps w:val="false"/>
          <w:sz w:val="20"/>
        </w:rPr>
        <w:t>(a)(2) Financial Statement Schedules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schedules are omitted because they are not applicable or the required information is shown in the Consolidated Financial Statements or the notes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920"/>
        <w:jc w:val="both"/>
        <w:rPr>
          <w:rFonts w:ascii="Times New Roman" w:hAnsi="Times New Roman"/>
          <w:caps w:val="false"/>
          <w:smallCaps w:val="false"/>
          <w:sz w:val="20"/>
        </w:rPr>
      </w:pPr>
      <w:r>
        <w:rPr>
          <w:rFonts w:ascii="Times New Roman" w:hAnsi="Times New Roman"/>
          <w:caps w:val="false"/>
          <w:smallCaps w:val="false"/>
          <w:sz w:val="20"/>
        </w:rPr>
        <w:t>(a)(3) 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70"/>
        <w:gridCol w:w="60"/>
        <w:gridCol w:w="9375"/>
      </w:tblGrid>
      <w:tr>
        <w:trPr/>
        <w:tc>
          <w:tcPr>
            <w:tcW w:w="770" w:type="dxa"/>
            <w:tcBorders/>
            <w:shd w:fill="auto"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2.1 (1)</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3">
              <w:r>
                <w:rPr>
                  <w:rStyle w:val="InternetLink"/>
                  <w:rFonts w:ascii="Times New Roman" w:hAnsi="Times New Roman"/>
                  <w:caps w:val="false"/>
                  <w:smallCaps w:val="false"/>
                  <w:sz w:val="20"/>
                </w:rPr>
                <w:t>Membership Interest Purchase Agreement, by and between HealthStream, Inc. and Press Ganey Associates, Inc., dated February 12, 2018.</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2.2 (2)</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4">
              <w:r>
                <w:rPr>
                  <w:rStyle w:val="InternetLink"/>
                  <w:rFonts w:ascii="Times New Roman" w:hAnsi="Times New Roman"/>
                  <w:caps w:val="false"/>
                  <w:smallCaps w:val="false"/>
                  <w:sz w:val="20"/>
                </w:rPr>
                <w:t>Equity Purchase Agreement, dated November 25, 2020, by and among HSTM Max Holdings, Inc., Change Healthcare Holdings, LLC, Change Healthcare Technologies, LLC and Change Healthcare Ireland Limited.</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5">
              <w:r>
                <w:rPr>
                  <w:rStyle w:val="InternetLink"/>
                  <w:rFonts w:ascii="Times New Roman" w:hAnsi="Times New Roman"/>
                  <w:caps w:val="false"/>
                  <w:smallCaps w:val="false"/>
                  <w:sz w:val="20"/>
                </w:rPr>
                <w:t>Fourth Amended and Restated Charter of HealthStream, Inc.</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3.2 (3) *</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6">
              <w:r>
                <w:rPr>
                  <w:rStyle w:val="InternetLink"/>
                  <w:rFonts w:ascii="Times New Roman" w:hAnsi="Times New Roman"/>
                  <w:caps w:val="false"/>
                  <w:smallCaps w:val="false"/>
                  <w:sz w:val="20"/>
                </w:rPr>
                <w:t>Second Amended and Restated Bylaws of HealthStream, Inc.</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7">
              <w:r>
                <w:rPr>
                  <w:rStyle w:val="InternetLink"/>
                  <w:rFonts w:ascii="Times New Roman" w:hAnsi="Times New Roman"/>
                  <w:caps w:val="false"/>
                  <w:smallCaps w:val="false"/>
                  <w:sz w:val="20"/>
                </w:rPr>
                <w:t>Form of certificate representing the common stock, no par value per share, of HealthStream, Inc.</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r>
              <w:rPr>
                <w:rFonts w:ascii="Times New Roman" w:hAnsi="Times New Roman"/>
                <w:caps w:val="false"/>
                <w:smallCaps w:val="false"/>
                <w:sz w:val="20"/>
              </w:rPr>
              <w:t xml:space="preserve">Reference is made to Exhibits </w:t>
            </w:r>
            <w:hyperlink r:id="rId8">
              <w:r>
                <w:rPr>
                  <w:rStyle w:val="InternetLink"/>
                  <w:rFonts w:ascii="Times New Roman" w:hAnsi="Times New Roman"/>
                  <w:caps w:val="false"/>
                  <w:smallCaps w:val="false"/>
                  <w:sz w:val="20"/>
                </w:rPr>
                <w:t>3.1</w:t>
              </w:r>
            </w:hyperlink>
            <w:r>
              <w:rPr>
                <w:rFonts w:ascii="Times New Roman" w:hAnsi="Times New Roman"/>
                <w:caps w:val="false"/>
                <w:smallCaps w:val="false"/>
                <w:sz w:val="20"/>
              </w:rPr>
              <w:t xml:space="preserve"> and </w:t>
            </w:r>
            <w:hyperlink r:id="rId9">
              <w:r>
                <w:rPr>
                  <w:rStyle w:val="InternetLink"/>
                  <w:rFonts w:ascii="Times New Roman" w:hAnsi="Times New Roman"/>
                  <w:caps w:val="false"/>
                  <w:smallCaps w:val="false"/>
                  <w:sz w:val="20"/>
                </w:rPr>
                <w:t>3.2</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4.3 (4)</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10">
              <w:r>
                <w:rPr>
                  <w:rStyle w:val="InternetLink"/>
                  <w:rFonts w:ascii="Times New Roman" w:hAnsi="Times New Roman"/>
                  <w:caps w:val="false"/>
                  <w:smallCaps w:val="false"/>
                  <w:sz w:val="20"/>
                </w:rPr>
                <w:t>Description of Capital Stock of HealthStream, Inc.</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w:anchor="ex_337991.htm">
              <w:r>
                <w:rPr>
                  <w:rStyle w:val="InternetLink"/>
                  <w:rFonts w:ascii="Times New Roman" w:hAnsi="Times New Roman"/>
                  <w:caps w:val="false"/>
                  <w:smallCaps w:val="false"/>
                  <w:sz w:val="20"/>
                </w:rPr>
                <w:t>Form of Indemnification Agreement</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10.2 (5)</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11">
              <w:r>
                <w:rPr>
                  <w:rStyle w:val="InternetLink"/>
                  <w:rFonts w:ascii="Times New Roman" w:hAnsi="Times New Roman"/>
                  <w:caps w:val="false"/>
                  <w:smallCaps w:val="false"/>
                  <w:sz w:val="20"/>
                </w:rPr>
                <w:t>Executive Employment Agreement, dated July 21, 2005, between HealthStream, Inc. and Robert A. Frist, Jr.</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10.3 (6)</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12">
              <w:r>
                <w:rPr>
                  <w:rStyle w:val="InternetLink"/>
                  <w:rFonts w:ascii="Times New Roman" w:hAnsi="Times New Roman"/>
                  <w:caps w:val="false"/>
                  <w:smallCaps w:val="false"/>
                  <w:sz w:val="20"/>
                </w:rPr>
                <w:t>Revolving Credit Agreement, dated November 24, 2014, by and among HealthStream, Inc., the several banks and other financial institutions and lenders from time to time party thereto and SunTrust Bank, as administrative agent, issuing bank, and swingline lender</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w:anchor="ex_313289.htm">
              <w:r>
                <w:rPr>
                  <w:rStyle w:val="InternetLink"/>
                  <w:rFonts w:ascii="Times New Roman" w:hAnsi="Times New Roman"/>
                  <w:caps w:val="false"/>
                  <w:smallCaps w:val="false"/>
                  <w:sz w:val="20"/>
                </w:rPr>
                <w:t>Summary of Director and Executive Officer Compensation</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10.5 (7)</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13">
              <w:r>
                <w:rPr>
                  <w:rStyle w:val="InternetLink"/>
                  <w:rFonts w:ascii="Times New Roman" w:hAnsi="Times New Roman"/>
                  <w:caps w:val="false"/>
                  <w:smallCaps w:val="false"/>
                  <w:sz w:val="20"/>
                </w:rPr>
                <w:t>Letter Agreement, dated as of September 24, 2015, between HealthStream, Inc. and Michael Sousa.</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10.6 (8)</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14">
              <w:r>
                <w:rPr>
                  <w:rStyle w:val="InternetLink"/>
                  <w:rFonts w:ascii="Times New Roman" w:hAnsi="Times New Roman"/>
                  <w:caps w:val="false"/>
                  <w:smallCaps w:val="false"/>
                  <w:sz w:val="20"/>
                </w:rPr>
                <w:t>2016 Omnibus Incentive Plan.</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10.7 (9)</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15">
              <w:r>
                <w:rPr>
                  <w:rStyle w:val="InternetLink"/>
                  <w:rFonts w:ascii="Times New Roman" w:hAnsi="Times New Roman"/>
                  <w:caps w:val="false"/>
                  <w:smallCaps w:val="false"/>
                  <w:sz w:val="20"/>
                </w:rPr>
                <w:t>Form of HealthStream, Inc. Restricted Share Unit Agreement (Officers) under 2016 Omnibus Incentive Plan.</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10.8 (9)</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16">
              <w:r>
                <w:rPr>
                  <w:rStyle w:val="InternetLink"/>
                  <w:rFonts w:ascii="Times New Roman" w:hAnsi="Times New Roman"/>
                  <w:caps w:val="false"/>
                  <w:smallCaps w:val="false"/>
                  <w:sz w:val="20"/>
                </w:rPr>
                <w:t>Form of HealthStream, Inc. Restricted Share Unit Agreement (Non-Employee Director) under 2016 Omnibus Incentive Plan.</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10.9 (10)</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17">
              <w:r>
                <w:rPr>
                  <w:rStyle w:val="InternetLink"/>
                  <w:rFonts w:ascii="Times New Roman" w:hAnsi="Times New Roman"/>
                  <w:caps w:val="false"/>
                  <w:smallCaps w:val="false"/>
                  <w:sz w:val="20"/>
                </w:rPr>
                <w:t>Lease Agreement, dated April 3, 2017, by and between HealthStream, Inc. and Capitol View Joint Venture.</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10.10 (11)</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18">
              <w:r>
                <w:rPr>
                  <w:rStyle w:val="InternetLink"/>
                  <w:rFonts w:ascii="Times New Roman" w:hAnsi="Times New Roman"/>
                  <w:caps w:val="false"/>
                  <w:smallCaps w:val="false"/>
                  <w:sz w:val="20"/>
                </w:rPr>
                <w:t>First Amendment to Revolving Credit Agreement, dated November 13, 2017, by and between HealthStream, Inc. and SunTrust Bank.</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10.11 (12)</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19">
              <w:r>
                <w:rPr>
                  <w:rStyle w:val="InternetLink"/>
                  <w:rFonts w:ascii="Times New Roman" w:hAnsi="Times New Roman"/>
                  <w:caps w:val="false"/>
                  <w:smallCaps w:val="false"/>
                  <w:sz w:val="20"/>
                </w:rPr>
                <w:t>Second Amendment to Revolving Credit Agreement, dated as of December 31, 2018, by and between HealthStream, Inc. and SunTrust Bank.</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10.12 (13)</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20">
              <w:r>
                <w:rPr>
                  <w:rStyle w:val="InternetLink"/>
                  <w:rFonts w:ascii="Times New Roman" w:hAnsi="Times New Roman"/>
                  <w:caps w:val="false"/>
                  <w:smallCaps w:val="false"/>
                  <w:sz w:val="20"/>
                </w:rPr>
                <w:t>Third Amendment to Revolving Credit Agreement, dated as of October 28, 2020, by and between HealthStream, Inc. and SunTrust Bank.</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10.13 (14)</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21">
              <w:r>
                <w:rPr>
                  <w:rStyle w:val="InternetLink"/>
                  <w:rFonts w:ascii="Times New Roman" w:hAnsi="Times New Roman"/>
                  <w:caps w:val="false"/>
                  <w:smallCaps w:val="false"/>
                  <w:sz w:val="20"/>
                </w:rPr>
                <w:t>Form of HealthStream, Inc. Restricted Share Unit Agreement (Performance) under 2016 Omnibus Plan between HealthStream, Inc. and J. Edward Pearson</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10.14 (14)</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22">
              <w:r>
                <w:rPr>
                  <w:rStyle w:val="InternetLink"/>
                  <w:rFonts w:ascii="Times New Roman" w:hAnsi="Times New Roman"/>
                  <w:caps w:val="false"/>
                  <w:smallCaps w:val="false"/>
                  <w:sz w:val="20"/>
                </w:rPr>
                <w:t>Form of HealthStream, Inc. Restricted Share Unit Agreement (Performance) under 2016 Stock Incentive Plan between HealthStream, Inc. and Michael Sousa</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10.15 (15)</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23">
              <w:r>
                <w:rPr>
                  <w:rStyle w:val="InternetLink"/>
                  <w:rFonts w:ascii="Times New Roman" w:hAnsi="Times New Roman"/>
                  <w:caps w:val="false"/>
                  <w:smallCaps w:val="false"/>
                  <w:sz w:val="20"/>
                </w:rPr>
                <w:t>HealthStream, Inc. Amended 2021 Executive and Corporate Management Cash Incentive Bonus Plan</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10.16 (15)</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24">
              <w:r>
                <w:rPr>
                  <w:rStyle w:val="InternetLink"/>
                  <w:rFonts w:ascii="Times New Roman" w:hAnsi="Times New Roman"/>
                  <w:caps w:val="false"/>
                  <w:smallCaps w:val="false"/>
                  <w:sz w:val="20"/>
                </w:rPr>
                <w:t>HealthStream, Inc. Amended 2021 Provider Solutions Cash Incentive Bonus Plan</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10.17 (16)</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25">
              <w:r>
                <w:rPr>
                  <w:rStyle w:val="InternetLink"/>
                  <w:rFonts w:ascii="Times New Roman" w:hAnsi="Times New Roman"/>
                  <w:caps w:val="false"/>
                  <w:smallCaps w:val="false"/>
                  <w:sz w:val="20"/>
                </w:rPr>
                <w:t>Contribution Agreement dated as of June 26, 2019 between HealthStream, Inc. and Robert A. Frist, Jr.</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10.18(17)</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r:id="rId26">
              <w:r>
                <w:rPr>
                  <w:rStyle w:val="InternetLink"/>
                  <w:rFonts w:ascii="Times New Roman" w:hAnsi="Times New Roman"/>
                  <w:caps w:val="false"/>
                  <w:smallCaps w:val="false"/>
                  <w:sz w:val="20"/>
                </w:rPr>
                <w:t>Form of HealthStream, Inc. Non-Qualified Stock Option Agreement under 2016 Omnibus Incentive Plan.</w:t>
              </w:r>
            </w:hyperlink>
          </w:p>
        </w:tc>
      </w:tr>
      <w:tr>
        <w:trPr/>
        <w:tc>
          <w:tcPr>
            <w:tcW w:w="770" w:type="dxa"/>
            <w:tcBorders/>
            <w:shd w:fill="auto" w:val="clear"/>
            <w:vAlign w:val="center"/>
          </w:tcPr>
          <w:p>
            <w:pPr>
              <w:pStyle w:val="TableContents"/>
              <w:spacing w:before="0" w:after="283"/>
              <w:rPr/>
            </w:pPr>
            <w:r>
              <w:rPr/>
              <w:t>10.19</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w:anchor="ex_336955.htm">
              <w:r>
                <w:rPr>
                  <w:rStyle w:val="InternetLink"/>
                </w:rPr>
                <w:t>Contribution Agreement dated as of December 29, 2021 between HealthStream, Inc. and Robert A. Frist, Jr.</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21.1</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w:anchor="ex_313293.htm">
              <w:r>
                <w:rPr>
                  <w:rStyle w:val="InternetLink"/>
                  <w:rFonts w:ascii="Times New Roman" w:hAnsi="Times New Roman"/>
                  <w:caps w:val="false"/>
                  <w:smallCaps w:val="false"/>
                  <w:sz w:val="20"/>
                </w:rPr>
                <w:t>Subsidiaries of HealthStream, Inc.</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w:anchor="ex_313294.htm">
              <w:r>
                <w:rPr>
                  <w:rStyle w:val="InternetLink"/>
                  <w:rFonts w:ascii="Times New Roman" w:hAnsi="Times New Roman"/>
                  <w:caps w:val="false"/>
                  <w:smallCaps w:val="false"/>
                  <w:sz w:val="20"/>
                </w:rPr>
                <w:t>Consent of Independent Registered Public Accounting Firm</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w:anchor="ex_313295.htm">
              <w:r>
                <w:rPr>
                  <w:rStyle w:val="InternetLink"/>
                  <w:rFonts w:ascii="Times New Roman" w:hAnsi="Times New Roman"/>
                  <w:caps w:val="false"/>
                  <w:smallCaps w:val="false"/>
                  <w:sz w:val="20"/>
                </w:rPr>
                <w:t>Certification of the Chief Executive Officer Pursuant to Section 302 of the Sarbanes-Oxley Act of 2002</w:t>
              </w:r>
            </w:hyperlink>
          </w:p>
        </w:tc>
      </w:tr>
      <w:tr>
        <w:trPr/>
        <w:tc>
          <w:tcPr>
            <w:tcW w:w="77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0"/>
              <w:ind w:left="0" w:right="0" w:hanging="0"/>
              <w:rPr/>
            </w:pPr>
            <w:hyperlink w:anchor="ex_313296.htm">
              <w:r>
                <w:rPr>
                  <w:rStyle w:val="InternetLink"/>
                  <w:rFonts w:ascii="Times New Roman" w:hAnsi="Times New Roman"/>
                  <w:caps w:val="false"/>
                  <w:smallCaps w:val="false"/>
                  <w:sz w:val="20"/>
                </w:rPr>
                <w:t>Certification of the Chief Financial Officer Pursuant to Section 302 of the Sarbanes-Oxley Act of 2002</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830"/>
        <w:gridCol w:w="60"/>
        <w:gridCol w:w="9315"/>
      </w:tblGrid>
      <w:tr>
        <w:trPr/>
        <w:tc>
          <w:tcPr>
            <w:tcW w:w="83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pPr>
            <w:hyperlink w:anchor="ex_313297.htm">
              <w:r>
                <w:rPr>
                  <w:rStyle w:val="InternetLink"/>
                  <w:rFonts w:ascii="Times New Roman" w:hAnsi="Times New Roman"/>
                  <w:caps w:val="false"/>
                  <w:smallCaps w:val="false"/>
                  <w:sz w:val="20"/>
                </w:rPr>
                <w:t>Certification Pursuant to 18 U.S.C. Section 1350, as Adopted Pursuant to Section 906 of the Sarbanes-Oxley Act of 2002</w:t>
              </w:r>
            </w:hyperlink>
          </w:p>
        </w:tc>
      </w:tr>
      <w:tr>
        <w:trPr/>
        <w:tc>
          <w:tcPr>
            <w:tcW w:w="83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pPr>
            <w:hyperlink w:anchor="ex_313298.htm">
              <w:r>
                <w:rPr>
                  <w:rStyle w:val="InternetLink"/>
                  <w:rFonts w:ascii="Times New Roman" w:hAnsi="Times New Roman"/>
                  <w:caps w:val="false"/>
                  <w:smallCaps w:val="false"/>
                  <w:sz w:val="20"/>
                </w:rPr>
                <w:t>Certification Pursuant to 18 U.S.C. Section 1350, as Adopted Pursuant to Section 906 of the Sarbanes-Oxley Act of 2002</w:t>
              </w:r>
            </w:hyperlink>
          </w:p>
        </w:tc>
      </w:tr>
      <w:tr>
        <w:trPr/>
        <w:tc>
          <w:tcPr>
            <w:tcW w:w="83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101.1 INS</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XBRL Instance Document - the instance document does not appear in the Interactive Data File because its XBRL tags are embedded within the Inline XBRL document.</w:t>
            </w:r>
          </w:p>
        </w:tc>
      </w:tr>
      <w:tr>
        <w:trPr/>
        <w:tc>
          <w:tcPr>
            <w:tcW w:w="83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101.1 SCH</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83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101.1 CAL</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83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101.1 DEF</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83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101.1 LAB</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83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101.1 PRE</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830" w:type="dxa"/>
            <w:tcBorders/>
            <w:shd w:fill="auto" w:val="clear"/>
            <w:vAlign w:val="center"/>
          </w:tcPr>
          <w:p>
            <w:pPr>
              <w:pStyle w:val="TableContents"/>
              <w:spacing w:before="0" w:after="0"/>
              <w:ind w:left="200" w:right="0" w:hanging="200"/>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 and included in Exhibit 101.1)</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Incorporated by reference to Registrant’s Registration Statement on Form S-1, as amended (Reg. No. 333-88939).</w:t>
            </w:r>
          </w:p>
        </w:tc>
      </w:tr>
      <w:tr>
        <w:trPr/>
        <w:tc>
          <w:tcPr>
            <w:tcW w:w="830" w:type="dxa"/>
            <w:tcBorders/>
            <w:shd w:fill="auto" w:val="clear"/>
            <w:vAlign w:val="center"/>
          </w:tcPr>
          <w:p>
            <w:pPr>
              <w:pStyle w:val="TableContents"/>
              <w:spacing w:before="0" w:after="283"/>
              <w:ind w:left="0" w:right="0" w:hanging="0"/>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Management contract or compensatory plan or arrangement</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February 12, 2018.</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November 30, 2020.</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October 23, 2015.</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Annual Report on Form 10-K, for the year ended December 31, 2019, filed with the SEC on February 26, 2020.</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July 25, 2005.</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November 25, 2014.</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Quarterly Report on Form 10-Q, for the quarterly period ended September 30, 2015, filed with the SEC on October 30, 2015.</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May 31, 2016.</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Quarterly Report on Form 10-Q, for the quarterly period ended March 31, 2017, filed with the SEC on May 1, 2017.</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Quarterly Report on Form 10-Q, for the quarterly period ended June 30, 2017, filed with the SEC on July 31, 2017.</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November 14, 2017.</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January 2, 2019.</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October 28, 2020.</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(14)</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Current Report on Form 8-K, dated May 16, 2018.</w:t>
            </w:r>
          </w:p>
        </w:tc>
      </w:tr>
      <w:tr>
        <w:trPr/>
        <w:tc>
          <w:tcPr>
            <w:tcW w:w="8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filed on our Quarterly Report on Form 10-Q, for the quarterly period ended March 31, 2021, filed with the SEC on April 29, 2021</w:t>
            </w:r>
          </w:p>
        </w:tc>
      </w:tr>
      <w:tr>
        <w:trPr/>
        <w:tc>
          <w:tcPr>
            <w:tcW w:w="830" w:type="dxa"/>
            <w:tcBorders/>
            <w:shd w:fill="auto" w:val="clear"/>
            <w:vAlign w:val="center"/>
          </w:tcPr>
          <w:p>
            <w:pPr>
              <w:pStyle w:val="TableContents"/>
              <w:spacing w:before="0" w:after="283"/>
              <w:rPr/>
            </w:pPr>
            <w:r>
              <w:rPr/>
              <w:t>(16)</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283"/>
              <w:rPr/>
            </w:pPr>
            <w:r>
              <w:rPr/>
              <w:t>Incorporated by reference from exhibit filed on our Quarterly Report on Form 10-Q, for the quarterly period ended June 30, 2019, filed with the SEC on July 26, 2019.</w:t>
            </w:r>
          </w:p>
        </w:tc>
      </w:tr>
      <w:tr>
        <w:trPr/>
        <w:tc>
          <w:tcPr>
            <w:tcW w:w="830" w:type="dxa"/>
            <w:tcBorders/>
            <w:shd w:fill="auto" w:val="clear"/>
            <w:vAlign w:val="center"/>
          </w:tcPr>
          <w:p>
            <w:pPr>
              <w:pStyle w:val="TableContents"/>
              <w:spacing w:before="0" w:after="283"/>
              <w:rPr/>
            </w:pPr>
            <w:r>
              <w:rPr/>
              <w:t>(17)</w:t>
            </w:r>
          </w:p>
        </w:tc>
        <w:tc>
          <w:tcPr>
            <w:tcW w:w="60" w:type="dxa"/>
            <w:tcBorders/>
            <w:shd w:fill="auto" w:val="clear"/>
            <w:vAlign w:val="center"/>
          </w:tcPr>
          <w:p>
            <w:pPr>
              <w:pStyle w:val="TableContents"/>
              <w:spacing w:before="0" w:after="283"/>
              <w:rPr/>
            </w:pPr>
            <w:r>
              <w:rPr/>
              <w:t> </w:t>
            </w:r>
          </w:p>
        </w:tc>
        <w:tc>
          <w:tcPr>
            <w:tcW w:w="9315" w:type="dxa"/>
            <w:tcBorders/>
            <w:shd w:fill="auto" w:val="clear"/>
            <w:vAlign w:val="center"/>
          </w:tcPr>
          <w:p>
            <w:pPr>
              <w:pStyle w:val="TableContents"/>
              <w:spacing w:before="0" w:after="283"/>
              <w:rPr/>
            </w:pPr>
            <w:r>
              <w:rPr/>
              <w:t>Incorporated by reference from exhibit filed on our Annual Report on Form 10-K, for the year ended December 31, 2020, filed with the SEC on February 26, 2021.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34" w:name="i16"/>
      <w:bookmarkEnd w:id="3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16.</w:t>
      </w:r>
      <w:r>
        <w:rPr>
          <w:rFonts w:ascii="Times New Roman" w:hAnsi="Times New Roman"/>
          <w:caps w:val="false"/>
          <w:smallCaps w:val="false"/>
          <w:sz w:val="20"/>
        </w:rPr>
        <w:t xml:space="preserve"> </w:t>
      </w:r>
      <w:r>
        <w:rPr>
          <w:rFonts w:ascii="Times New Roman" w:hAnsi="Times New Roman"/>
          <w:b/>
          <w:i/>
          <w:caps w:val="false"/>
          <w:smallCaps w:val="false"/>
          <w:sz w:val="20"/>
        </w:rPr>
        <w:t>Form 10-K Summary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35" w:name="sigs"/>
      <w:bookmarkEnd w:id="35"/>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 on this 28th day of February 2022.</w:t>
      </w:r>
    </w:p>
    <w:p>
      <w:pPr>
        <w:pStyle w:val="TextBody"/>
        <w:spacing w:before="0" w:after="0"/>
        <w:ind w:left="0" w:right="0" w:hanging="0"/>
        <w:rPr>
          <w:caps w:val="false"/>
          <w:smallCaps w:val="false"/>
        </w:rPr>
      </w:pPr>
      <w:r>
        <w:rPr>
          <w:caps w:val="false"/>
          <w:smallCaps w:val="false"/>
        </w:rPr>
        <w:t> </w:t>
      </w:r>
    </w:p>
    <w:tbl>
      <w:tblPr>
        <w:tblW w:w="3665" w:type="dxa"/>
        <w:jc w:val="left"/>
        <w:tblInd w:w="0" w:type="dxa"/>
        <w:tblCellMar>
          <w:top w:w="0" w:type="dxa"/>
          <w:left w:w="0" w:type="dxa"/>
          <w:bottom w:w="0" w:type="dxa"/>
          <w:right w:w="0" w:type="dxa"/>
        </w:tblCellMar>
      </w:tblPr>
      <w:tblGrid>
        <w:gridCol w:w="60"/>
        <w:gridCol w:w="3605"/>
      </w:tblGrid>
      <w:tr>
        <w:trPr/>
        <w:tc>
          <w:tcPr>
            <w:tcW w:w="60" w:type="dxa"/>
            <w:tcBorders/>
            <w:shd w:fill="auto" w:val="clear"/>
            <w:vAlign w:val="center"/>
          </w:tcPr>
          <w:p>
            <w:pPr>
              <w:pStyle w:val="TableContents"/>
              <w:spacing w:before="0" w:after="283"/>
              <w:rPr/>
            </w:pPr>
            <w:r>
              <w:rPr/>
              <w:t> </w:t>
            </w:r>
          </w:p>
        </w:tc>
        <w:tc>
          <w:tcPr>
            <w:tcW w:w="36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INC.</w:t>
            </w:r>
          </w:p>
        </w:tc>
      </w:tr>
      <w:tr>
        <w:trPr/>
        <w:tc>
          <w:tcPr>
            <w:tcW w:w="3665"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0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ROBERT A. FRIST, JR.                        </w:t>
            </w:r>
          </w:p>
        </w:tc>
      </w:tr>
      <w:tr>
        <w:trPr/>
        <w:tc>
          <w:tcPr>
            <w:tcW w:w="60" w:type="dxa"/>
            <w:tcBorders/>
            <w:shd w:fill="auto" w:val="clear"/>
            <w:vAlign w:val="center"/>
          </w:tcPr>
          <w:p>
            <w:pPr>
              <w:pStyle w:val="TableContents"/>
              <w:spacing w:before="0" w:after="283"/>
              <w:rPr/>
            </w:pPr>
            <w:r>
              <w:rPr/>
              <w:t> </w:t>
            </w:r>
          </w:p>
        </w:tc>
        <w:tc>
          <w:tcPr>
            <w:tcW w:w="36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60" w:type="dxa"/>
            <w:tcBorders/>
            <w:shd w:fill="auto" w:val="clear"/>
            <w:vAlign w:val="center"/>
          </w:tcPr>
          <w:p>
            <w:pPr>
              <w:pStyle w:val="TableContents"/>
              <w:spacing w:before="0" w:after="283"/>
              <w:rPr/>
            </w:pPr>
            <w:r>
              <w:rPr/>
              <w:t> </w:t>
            </w:r>
          </w:p>
        </w:tc>
        <w:tc>
          <w:tcPr>
            <w:tcW w:w="3605"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by the following persons on behalf of the registrant and in the capacities and on the dates indicated:</w:t>
      </w:r>
    </w:p>
    <w:p>
      <w:pPr>
        <w:pStyle w:val="TextBody"/>
        <w:spacing w:before="0" w:after="0"/>
        <w:ind w:left="0" w:right="0" w:hanging="0"/>
        <w:rPr>
          <w:caps w:val="false"/>
          <w:smallCaps w:val="false"/>
        </w:rPr>
      </w:pPr>
      <w:r>
        <w:rPr>
          <w:caps w:val="false"/>
          <w:smallCaps w:val="false"/>
        </w:rPr>
        <w:t> </w:t>
      </w:r>
    </w:p>
    <w:tbl>
      <w:tblPr>
        <w:tblW w:w="8325" w:type="dxa"/>
        <w:jc w:val="left"/>
        <w:tblInd w:w="0" w:type="dxa"/>
        <w:tblCellMar>
          <w:top w:w="0" w:type="dxa"/>
          <w:left w:w="0" w:type="dxa"/>
          <w:bottom w:w="0" w:type="dxa"/>
          <w:right w:w="0" w:type="dxa"/>
        </w:tblCellMar>
      </w:tblPr>
      <w:tblGrid>
        <w:gridCol w:w="2690"/>
        <w:gridCol w:w="60"/>
        <w:gridCol w:w="4010"/>
        <w:gridCol w:w="60"/>
        <w:gridCol w:w="1505"/>
      </w:tblGrid>
      <w:tr>
        <w:trPr/>
        <w:tc>
          <w:tcPr>
            <w:tcW w:w="269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Signature</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Title(s)</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Date</w:t>
            </w:r>
          </w:p>
        </w:tc>
      </w:tr>
      <w:tr>
        <w:trPr/>
        <w:tc>
          <w:tcPr>
            <w:tcW w:w="2690" w:type="dxa"/>
            <w:tcBorders/>
            <w:shd w:fill="auto" w:val="clear"/>
            <w:vAlign w:val="center"/>
          </w:tcPr>
          <w:p>
            <w:pPr>
              <w:pStyle w:val="TableContents"/>
              <w:spacing w:before="0" w:after="283"/>
              <w:rPr/>
            </w:pPr>
            <w:r>
              <w:rPr/>
              <w:t> </w:t>
            </w:r>
          </w:p>
        </w:tc>
        <w:tc>
          <w:tcPr>
            <w:tcW w:w="4070" w:type="dxa"/>
            <w:gridSpan w:val="2"/>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rPr/>
            </w:pPr>
            <w:r>
              <w:rPr/>
              <w:t> </w:t>
            </w:r>
          </w:p>
        </w:tc>
      </w:tr>
      <w:tr>
        <w:trPr/>
        <w:tc>
          <w:tcPr>
            <w:tcW w:w="269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ROBERT A. FRIST, JR.</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 and</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28, 2022</w:t>
            </w:r>
          </w:p>
        </w:tc>
      </w:tr>
      <w:tr>
        <w:trPr/>
        <w:tc>
          <w:tcPr>
            <w:tcW w:w="26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(Principal Executive Officer)</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4070" w:type="dxa"/>
            <w:gridSpan w:val="2"/>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rPr/>
            </w:pPr>
            <w:r>
              <w:rPr/>
              <w:t> </w:t>
            </w:r>
          </w:p>
        </w:tc>
      </w:tr>
      <w:tr>
        <w:trPr/>
        <w:tc>
          <w:tcPr>
            <w:tcW w:w="269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SCOTT A. ROBERTS</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 and Senior Vice President</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28, 2022</w:t>
            </w:r>
          </w:p>
        </w:tc>
      </w:tr>
      <w:tr>
        <w:trPr/>
        <w:tc>
          <w:tcPr>
            <w:tcW w:w="26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4070" w:type="dxa"/>
            <w:gridSpan w:val="2"/>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rPr/>
            </w:pPr>
            <w:r>
              <w:rPr/>
              <w:t> </w:t>
            </w:r>
          </w:p>
        </w:tc>
      </w:tr>
      <w:tr>
        <w:trPr/>
        <w:tc>
          <w:tcPr>
            <w:tcW w:w="269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THOMPSON DENT</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28, 2022</w:t>
            </w:r>
          </w:p>
        </w:tc>
      </w:tr>
      <w:tr>
        <w:trPr/>
        <w:tc>
          <w:tcPr>
            <w:tcW w:w="26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Thompson Dent</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4070" w:type="dxa"/>
            <w:gridSpan w:val="2"/>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rPr/>
            </w:pPr>
            <w:r>
              <w:rPr/>
              <w:t> </w:t>
            </w:r>
          </w:p>
        </w:tc>
      </w:tr>
      <w:tr>
        <w:trPr/>
        <w:tc>
          <w:tcPr>
            <w:tcW w:w="269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FRANK GORDON</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28, 2022</w:t>
            </w:r>
          </w:p>
        </w:tc>
      </w:tr>
      <w:tr>
        <w:trPr/>
        <w:tc>
          <w:tcPr>
            <w:tcW w:w="26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Frank Gordon</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4070" w:type="dxa"/>
            <w:gridSpan w:val="2"/>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rPr/>
            </w:pPr>
            <w:r>
              <w:rPr/>
              <w:t> </w:t>
            </w:r>
          </w:p>
        </w:tc>
      </w:tr>
      <w:tr>
        <w:trPr/>
        <w:tc>
          <w:tcPr>
            <w:tcW w:w="269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TERRY ALLISON RAPPUHN</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28, 2022</w:t>
            </w:r>
          </w:p>
        </w:tc>
      </w:tr>
      <w:tr>
        <w:trPr/>
        <w:tc>
          <w:tcPr>
            <w:tcW w:w="26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Terry Allison Rappuhn</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4070" w:type="dxa"/>
            <w:gridSpan w:val="2"/>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rPr/>
            </w:pPr>
            <w:r>
              <w:rPr/>
              <w:t> </w:t>
            </w:r>
          </w:p>
        </w:tc>
      </w:tr>
      <w:tr>
        <w:trPr/>
        <w:tc>
          <w:tcPr>
            <w:tcW w:w="269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JEFFREY L. MCLAREN</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28, 2022</w:t>
            </w:r>
          </w:p>
        </w:tc>
      </w:tr>
      <w:tr>
        <w:trPr/>
        <w:tc>
          <w:tcPr>
            <w:tcW w:w="26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Jeffrey L. McLaren</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4070" w:type="dxa"/>
            <w:gridSpan w:val="2"/>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rPr/>
            </w:pPr>
            <w:r>
              <w:rPr/>
              <w:t> </w:t>
            </w:r>
          </w:p>
        </w:tc>
      </w:tr>
      <w:tr>
        <w:trPr/>
        <w:tc>
          <w:tcPr>
            <w:tcW w:w="269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LINDA REBROVICK</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28, 2022</w:t>
            </w:r>
          </w:p>
        </w:tc>
      </w:tr>
      <w:tr>
        <w:trPr/>
        <w:tc>
          <w:tcPr>
            <w:tcW w:w="26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Linda Rebrovick</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4070" w:type="dxa"/>
            <w:gridSpan w:val="2"/>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rPr/>
            </w:pPr>
            <w:r>
              <w:rPr/>
              <w:t> </w:t>
            </w:r>
          </w:p>
        </w:tc>
      </w:tr>
      <w:tr>
        <w:trPr/>
        <w:tc>
          <w:tcPr>
            <w:tcW w:w="269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MICHAEL SHMERLING</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28, 2022</w:t>
            </w:r>
          </w:p>
        </w:tc>
      </w:tr>
      <w:tr>
        <w:trPr/>
        <w:tc>
          <w:tcPr>
            <w:tcW w:w="26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Shmerling</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4070" w:type="dxa"/>
            <w:gridSpan w:val="2"/>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rPr/>
            </w:pPr>
            <w:r>
              <w:rPr/>
              <w:t> </w:t>
            </w:r>
          </w:p>
        </w:tc>
      </w:tr>
      <w:tr>
        <w:trPr/>
        <w:tc>
          <w:tcPr>
            <w:tcW w:w="269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WILLIAM STEAD</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28, 2022</w:t>
            </w:r>
          </w:p>
        </w:tc>
      </w:tr>
      <w:tr>
        <w:trPr/>
        <w:tc>
          <w:tcPr>
            <w:tcW w:w="26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William Stead</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4070" w:type="dxa"/>
            <w:gridSpan w:val="2"/>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rPr/>
            </w:pPr>
            <w:r>
              <w:rPr/>
              <w:t> </w:t>
            </w:r>
          </w:p>
        </w:tc>
      </w:tr>
      <w:tr>
        <w:trPr/>
        <w:tc>
          <w:tcPr>
            <w:tcW w:w="269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DEBORAH TAYLOR TATE</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28, 2022</w:t>
            </w:r>
          </w:p>
        </w:tc>
      </w:tr>
      <w:tr>
        <w:trPr/>
        <w:tc>
          <w:tcPr>
            <w:tcW w:w="26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Deborah Taylor Tate</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jc w:val="center"/>
        <w:rPr>
          <w:rFonts w:ascii="Times New Roman" w:hAnsi="Times New Roman"/>
          <w:sz w:val="20"/>
        </w:rPr>
      </w:pPr>
      <w:r>
        <w:rPr>
          <w:rFonts w:ascii="Times New Roman" w:hAnsi="Times New Roman"/>
          <w:sz w:val="20"/>
        </w:rPr>
        <w:t xml:space="preserve">74 </w:t>
      </w:r>
      <w:r>
        <w:br w:type="page"/>
      </w:r>
    </w:p>
    <w:p>
      <w:pPr>
        <w:pStyle w:val="TextBody"/>
        <w:spacing w:before="0" w:after="0"/>
        <w:ind w:left="0" w:right="0" w:hanging="0"/>
        <w:rPr>
          <w:caps w:val="false"/>
          <w:smallCaps w:val="false"/>
        </w:rPr>
      </w:pPr>
      <w:bookmarkStart w:id="36" w:name="ex_337991.htm"/>
      <w:bookmarkStart w:id="37" w:name="ksex_337991"/>
      <w:bookmarkEnd w:id="36"/>
      <w:bookmarkEnd w:id="37"/>
      <w:r>
        <w:rPr>
          <w:caps w:val="false"/>
          <w:smallCaps w:val="false"/>
        </w:rPr>
        <w:t> </w:t>
      </w:r>
    </w:p>
    <w:p>
      <w:pPr>
        <w:pStyle w:val="TextBody"/>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10.1</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INDEMNIFICATION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This Indemnification Agreement ("</w:t>
      </w:r>
      <w:r>
        <w:rPr>
          <w:rFonts w:ascii="Times New Roman" w:hAnsi="Times New Roman"/>
          <w:b/>
          <w:caps w:val="false"/>
          <w:smallCaps w:val="false"/>
          <w:sz w:val="20"/>
        </w:rPr>
        <w:t>Agreement</w:t>
      </w:r>
      <w:r>
        <w:rPr>
          <w:rFonts w:ascii="Times New Roman" w:hAnsi="Times New Roman"/>
          <w:caps w:val="false"/>
          <w:smallCaps w:val="false"/>
          <w:sz w:val="20"/>
        </w:rPr>
        <w:t>"), dated as of __________, 2022, is by and between HealthStream, Inc., a Tennessee corporation (the "</w:t>
      </w:r>
      <w:r>
        <w:rPr>
          <w:rFonts w:ascii="Times New Roman" w:hAnsi="Times New Roman"/>
          <w:b/>
          <w:caps w:val="false"/>
          <w:smallCaps w:val="false"/>
          <w:sz w:val="20"/>
        </w:rPr>
        <w:t>Company</w:t>
      </w:r>
      <w:r>
        <w:rPr>
          <w:rFonts w:ascii="Times New Roman" w:hAnsi="Times New Roman"/>
          <w:caps w:val="false"/>
          <w:smallCaps w:val="false"/>
          <w:sz w:val="20"/>
        </w:rPr>
        <w:t>"), and [NAME OF DIRECTOR] (the "</w:t>
      </w:r>
      <w:r>
        <w:rPr>
          <w:rFonts w:ascii="Times New Roman" w:hAnsi="Times New Roman"/>
          <w:b/>
          <w:caps w:val="false"/>
          <w:smallCaps w:val="false"/>
          <w:sz w:val="20"/>
        </w:rPr>
        <w:t>Indemnitee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WHEREAS, Indemnitee is a director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WHEREAS, both the Company and Indemnitee recognize the risk of litigation and other claims being asserted against directors of public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WHEREAS, the board of directors of the Company (the "</w:t>
      </w:r>
      <w:r>
        <w:rPr>
          <w:rFonts w:ascii="Times New Roman" w:hAnsi="Times New Roman"/>
          <w:b/>
          <w:caps w:val="false"/>
          <w:smallCaps w:val="false"/>
          <w:sz w:val="20"/>
        </w:rPr>
        <w:t>Board</w:t>
      </w:r>
      <w:r>
        <w:rPr>
          <w:rFonts w:ascii="Times New Roman" w:hAnsi="Times New Roman"/>
          <w:caps w:val="false"/>
          <w:smallCaps w:val="false"/>
          <w:sz w:val="20"/>
        </w:rPr>
        <w:t>") has determined that enhancing the ability of the Company to retain and attract the most capable individuals as directors is in the best interests of the Company, and that the Company therefore should act to ensure that there will be increased certainty of indemnification protections in the future;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WHEREAS, in recognition of the need to provide Indemnitee with substantial protection against personal liability, in order to procure Indemnitee's continued service as a director of the Company and to enhance Indemnitee's ability to serve the Company in an effective manner, and in order to provide such protection pursuant to express contract rights (intended to be enforceable irrespective of, among other things, any amendment to the Company's charter or seconded amended and restated bylaws (collectively, the “</w:t>
      </w:r>
      <w:r>
        <w:rPr>
          <w:rFonts w:ascii="Times New Roman" w:hAnsi="Times New Roman"/>
          <w:b/>
          <w:caps w:val="false"/>
          <w:smallCaps w:val="false"/>
          <w:sz w:val="20"/>
        </w:rPr>
        <w:t>Constituent Documents</w:t>
      </w:r>
      <w:r>
        <w:rPr>
          <w:rFonts w:ascii="Times New Roman" w:hAnsi="Times New Roman"/>
          <w:caps w:val="false"/>
          <w:smallCaps w:val="false"/>
          <w:sz w:val="20"/>
        </w:rPr>
        <w:t>”), any change in the composition of the Board or any change in control or business combination transaction relating to the Company), the Company wishes to provide in this Agreement for the indemnification of, and the advancement of Expenses (as defined in Section 1 below) to, Indemnitee as set forth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NOW, THEREFORE, in consideration of the foregoing and the Indemnitee's agreement to continue to serve as a director of the Company, the parties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w:t>
      </w:r>
      <w:r>
        <w:rPr>
          <w:rFonts w:ascii="Times New Roman" w:hAnsi="Times New Roman"/>
          <w:caps w:val="false"/>
          <w:smallCaps w:val="false"/>
          <w:sz w:val="20"/>
          <w:u w:val="single"/>
        </w:rPr>
        <w:t>    Definitions</w:t>
      </w:r>
      <w:r>
        <w:rPr>
          <w:rFonts w:ascii="Times New Roman" w:hAnsi="Times New Roman"/>
          <w:caps w:val="false"/>
          <w:smallCaps w:val="false"/>
          <w:sz w:val="20"/>
        </w:rPr>
        <w:t>. For purposes of this Agreement, the following terms shall have the following meanings: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Beneficial Owner</w:t>
      </w:r>
      <w:r>
        <w:rPr>
          <w:rFonts w:ascii="Times New Roman" w:hAnsi="Times New Roman"/>
          <w:caps w:val="false"/>
          <w:smallCaps w:val="false"/>
          <w:sz w:val="20"/>
        </w:rPr>
        <w:t>” has the meaning given to the term "beneficial owner" in Rule 13d-3 under the Securities Exchange Act of 1934, as amended (the "</w:t>
      </w:r>
      <w:r>
        <w:rPr>
          <w:rFonts w:ascii="Times New Roman" w:hAnsi="Times New Roman"/>
          <w:b/>
          <w:caps w:val="false"/>
          <w:smallCaps w:val="false"/>
          <w:sz w:val="20"/>
        </w:rPr>
        <w:t>Exchange Act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Change in Control</w:t>
      </w:r>
      <w:r>
        <w:rPr>
          <w:rFonts w:ascii="Times New Roman" w:hAnsi="Times New Roman"/>
          <w:caps w:val="false"/>
          <w:smallCaps w:val="false"/>
          <w:sz w:val="20"/>
        </w:rPr>
        <w:t>” means the occurrence after the date of this Agreement of any of the following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    any person or entity, including a “group” as defined in Section 13(d)(3) of the Exchange Act, other than the Company or a wholly-owned Subsidiary thereof or any employee benefit plan of the Company or any of its Subsidiaries, becomes the Beneficial Owner of the Company’s securities having 50% or more of the combined voting power of the then outstanding securities of the Company that may be cast for the election of directors of the Company; or</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    as the result of, or in connection with, any cash tender or exchange offer, merger or other business combination, sale of assets or similar transaction, or any combination of the foregoing transactions, less than a majority of the combined voting power of the then outstanding securities of the Company or any successor corporation or entity entitled to vote generally in the election of the directors of the Company or such other corporation or entity immediately after such transaction are beneficially owned in the aggregate by the Benefical Owners of the Company’s securities entitled to vote generally in the election of directors of the Company immediately prior to such transaction;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(iii)    during any period of two consecutive years, not including any period prior to the execution of this Agreement, individuals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at least a majority of the Board; or</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(iv)    the shareholders of the Company approve (a) a plan of complete liquidation of the Company, or (b) an agreement for the sale or disposition by the Company (in one transaction or a series of transactions) of all or substantially all of the Company’s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Claim</w:t>
      </w:r>
      <w:r>
        <w:rPr>
          <w:rFonts w:ascii="Times New Roman" w:hAnsi="Times New Roman"/>
          <w:caps w:val="false"/>
          <w:smallCaps w:val="false"/>
          <w:sz w:val="20"/>
        </w:rPr>
        <w:t>” means: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    any threatened, pending or completed action, suit, proceeding or alternative dispute resolution mechanism, whether civil, criminal, administrative, arbitrative, investigative or other, and whether made pursuant to federal, state or other law; or</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    any inquiry, hearing or investigation that the Indemnitee reasonably determines might lead to the institution of any such action, suit, proceeding or alternative dispute resolution mechanism.</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Disinterested Director</w:t>
      </w:r>
      <w:r>
        <w:rPr>
          <w:rFonts w:ascii="Times New Roman" w:hAnsi="Times New Roman"/>
          <w:caps w:val="false"/>
          <w:smallCaps w:val="false"/>
          <w:sz w:val="20"/>
        </w:rPr>
        <w:t>” means a director of the Company who is not and was not a party to the Claim in respect of which indemnification is sought by Indemnitee.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Expenses</w:t>
      </w:r>
      <w:r>
        <w:rPr>
          <w:rFonts w:ascii="Times New Roman" w:hAnsi="Times New Roman"/>
          <w:caps w:val="false"/>
          <w:smallCaps w:val="false"/>
          <w:sz w:val="20"/>
        </w:rPr>
        <w:t>" 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or participate in, any Claim. Expenses also shall include (i) Expenses incurred in connection with any appeal resulting from any Claim, including without limitation the premium, security for, and other costs relating to any cost bond, supersedeas bond, or other appeal bond or its equivalent, and (ii) for purposes of Section 4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Expense Advance</w:t>
      </w:r>
      <w:r>
        <w:rPr>
          <w:rFonts w:ascii="Times New Roman" w:hAnsi="Times New Roman"/>
          <w:caps w:val="false"/>
          <w:smallCaps w:val="false"/>
          <w:sz w:val="20"/>
        </w:rPr>
        <w:t>” means any payment of Expenses advanced to Indemnitee by the Company pursuant to Section 3 or Section 4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Indemnifiable Event</w:t>
      </w:r>
      <w:r>
        <w:rPr>
          <w:rFonts w:ascii="Times New Roman" w:hAnsi="Times New Roman"/>
          <w:caps w:val="false"/>
          <w:smallCaps w:val="false"/>
          <w:sz w:val="20"/>
        </w:rPr>
        <w:t>” means any event or occurrence, whether occurring before, on or after the date of this Agreement, related to the fact that Indemnitee is or was a director, officer, employee or agent of the Company or any subsidiary of the Company, or is or was serving at the request of the Company as a director, officer, employee, member, manager, trustee or agent of any other corporation, limited liability company, partnership, joint venture, trust or other entity or enterprise (collectively with the Company, “</w:t>
      </w:r>
      <w:r>
        <w:rPr>
          <w:rFonts w:ascii="Times New Roman" w:hAnsi="Times New Roman"/>
          <w:b/>
          <w:caps w:val="false"/>
          <w:smallCaps w:val="false"/>
          <w:sz w:val="20"/>
        </w:rPr>
        <w:t>Enterprise</w:t>
      </w:r>
      <w:r>
        <w:rPr>
          <w:rFonts w:ascii="Times New Roman" w:hAnsi="Times New Roman"/>
          <w:caps w:val="false"/>
          <w:smallCaps w:val="false"/>
          <w:sz w:val="20"/>
        </w:rPr>
        <w:t>”) or by reason of an action or inaction by Indemnitee in any such capacity (whether or not serving in such capacity at the time any Loss is incurred for which indemnification can be provided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Independent Counsel</w:t>
      </w:r>
      <w:r>
        <w:rPr>
          <w:rFonts w:ascii="Times New Roman" w:hAnsi="Times New Roman"/>
          <w:caps w:val="false"/>
          <w:smallCaps w:val="false"/>
          <w:sz w:val="20"/>
        </w:rPr>
        <w:t>” means a law firm, or a member of a law firm, that is experienced in matters of corporation law and neither presently performs, nor in the past three years has performed, services for either: (i) the Company or Indemnitee (other than in connection with matters concerning Indemnitee under this Agreement or of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In addition, for the avoidance of doubt, the term “Independent Counsel” shall not include any law firm or person who represents or advises, or at any time during the past three years has represented or advised, any entity or person who effectuated or has been a party to any Change of Control.</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Losses</w:t>
      </w:r>
      <w:r>
        <w:rPr>
          <w:rFonts w:ascii="Times New Roman" w:hAnsi="Times New Roman"/>
          <w:caps w:val="false"/>
          <w:smallCaps w:val="false"/>
          <w:sz w:val="20"/>
        </w:rPr>
        <w:t>" 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defending, being a witness in or participating in (including on appeal), or preparing to defend, be a witness or participate in, any Claim.</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rPr>
        <w:t>Person</w:t>
      </w:r>
      <w:r>
        <w:rPr>
          <w:rFonts w:ascii="Times New Roman" w:hAnsi="Times New Roman"/>
          <w:caps w:val="false"/>
          <w:smallCaps w:val="false"/>
          <w:sz w:val="20"/>
        </w:rPr>
        <w:t>" means any individual, corporation, firm, partnership, joint venture, limited liability company, estate, trust, business association, organization, governmental entity or other entity, and includes the meaning set forth in Sections 13(d) and 14(d) of the Exchange Act.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rPr>
        <w:t>Standard of Conduct Determination</w:t>
      </w:r>
      <w:r>
        <w:rPr>
          <w:rFonts w:ascii="Times New Roman" w:hAnsi="Times New Roman"/>
          <w:caps w:val="false"/>
          <w:smallCaps w:val="false"/>
          <w:sz w:val="20"/>
        </w:rPr>
        <w:t>" shall have the meaning ascribed to it in Section 8(b)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w:t>
      </w:r>
      <w:r>
        <w:rPr>
          <w:rFonts w:ascii="Times New Roman" w:hAnsi="Times New Roman"/>
          <w:caps w:val="false"/>
          <w:smallCaps w:val="false"/>
          <w:sz w:val="20"/>
          <w:u w:val="single"/>
        </w:rPr>
        <w:t>    Indemnification</w:t>
      </w:r>
      <w:r>
        <w:rPr>
          <w:rFonts w:ascii="Times New Roman" w:hAnsi="Times New Roman"/>
          <w:caps w:val="false"/>
          <w:smallCaps w:val="false"/>
          <w:sz w:val="20"/>
        </w:rPr>
        <w:t>. Subject to Section 8 and Section 9 of this Agreement, the Company shall indemnify Indemnitee, to the fullest extent permitted by the laws of the State of Tennessee in effect on the date hereof, or as such laws may from time to time hereafter be amended to increase the scope of such permitted indemnification (and irrespective of any future amendment to the Company’s Constituent Documents which may restrict the indemnification rights applicable to directors of the Company thereunder),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3.</w:t>
      </w:r>
      <w:r>
        <w:rPr>
          <w:rFonts w:ascii="Times New Roman" w:hAnsi="Times New Roman"/>
          <w:caps w:val="false"/>
          <w:smallCaps w:val="false"/>
          <w:sz w:val="20"/>
          <w:u w:val="single"/>
        </w:rPr>
        <w:t>    Advancement of Expenses</w:t>
      </w:r>
      <w:r>
        <w:rPr>
          <w:rFonts w:ascii="Times New Roman" w:hAnsi="Times New Roman"/>
          <w:caps w:val="false"/>
          <w:smallCaps w:val="false"/>
          <w:sz w:val="20"/>
        </w:rPr>
        <w:t>. Indemnitee shall have the right to advancement by the Company, prior to the final disposition of any Claim by final adjudication to which there are no further rights of appeal, of any and all Expenses actually and reasonably paid or incurred (even if unpaid) by Indemnitee in connection with any Claim arising out of an Indemnifiable Event in accordance with the terms set forth herein. In order to obtain such advancement, the Indemnitee (1) must furnish to the Company a written affirmation of Indemnitee’s good faith belief that Indemnite has met the Advancement Baseline Standard (as defined below), and (2) Indemnifee has furnished to the Company a written undertaking in form reasonably satisfactory to the Company, executed personally or on the Indemnitee’s behalf, to repay to the Company any advancements of Expense if it is ultimately determined, following the final disposition of any Claim, that the Indemnitee is not entitled to indemnification in respect thereof (the “</w:t>
      </w:r>
      <w:r>
        <w:rPr>
          <w:rFonts w:ascii="Times New Roman" w:hAnsi="Times New Roman"/>
          <w:b/>
          <w:caps w:val="false"/>
          <w:smallCaps w:val="false"/>
          <w:sz w:val="20"/>
        </w:rPr>
        <w:t>Indemnitee Advancement Certification</w:t>
      </w:r>
      <w:r>
        <w:rPr>
          <w:rFonts w:ascii="Times New Roman" w:hAnsi="Times New Roman"/>
          <w:caps w:val="false"/>
          <w:smallCaps w:val="false"/>
          <w:sz w:val="20"/>
        </w:rPr>
        <w:t>”). Unless a Standard of Conduct Determination has been made pursuant to clause (a) or clause (b) of Section 8 below, as applicable, during the Determination Period (as defined below) that Indemnitee has not met the Advancement Baseline Standard, then prir to the end of the Determination Period, in accordance with such request, the Company shall, in accordance with such request (but without duplication)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Indemnitee's obligation to reimburse the Company for Expense Advances shall be unsecured and no interest shall be charged thereon. For purposes of this Agreement, “</w:t>
      </w:r>
      <w:r>
        <w:rPr>
          <w:rFonts w:ascii="Times New Roman" w:hAnsi="Times New Roman"/>
          <w:b/>
          <w:caps w:val="false"/>
          <w:smallCaps w:val="false"/>
          <w:sz w:val="20"/>
        </w:rPr>
        <w:t>Advancement Baseline Standard</w:t>
      </w:r>
      <w:r>
        <w:rPr>
          <w:rFonts w:ascii="Times New Roman" w:hAnsi="Times New Roman"/>
          <w:caps w:val="false"/>
          <w:smallCaps w:val="false"/>
          <w:sz w:val="20"/>
        </w:rPr>
        <w:t>” means the standards that must be met for a director of a Tennessee corporation to be eligible for advancement under the Tennessee Business Corporation Act (the “</w:t>
      </w:r>
      <w:r>
        <w:rPr>
          <w:rFonts w:ascii="Times New Roman" w:hAnsi="Times New Roman"/>
          <w:b/>
          <w:caps w:val="false"/>
          <w:smallCaps w:val="false"/>
          <w:sz w:val="20"/>
        </w:rPr>
        <w:t>TBCA</w:t>
      </w:r>
      <w:r>
        <w:rPr>
          <w:rFonts w:ascii="Times New Roman" w:hAnsi="Times New Roman"/>
          <w:caps w:val="false"/>
          <w:smallCaps w:val="false"/>
          <w:sz w:val="20"/>
        </w:rPr>
        <w:t>”) as in effect from time to time, which standards currently require pursuant to Sections 48-18-502(a) and 48-18-504(a) of the TBCA that: (i) an individual’s conduct was in good faith; and (ii) the individual reasonably believed (A) in the case of conduct in the individual’s official capacity with the Company, that the individual’s conduct was in its best interest; and (B) in all other cases, that the individual’s conduct was at least not opposed to its best interests; and (iii) in the case of any criminal proceeding, the individual had no reasonable cause to believe the individual’s conduct was unlawful.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w:t>
      </w:r>
      <w:r>
        <w:rPr>
          <w:rFonts w:ascii="Times New Roman" w:hAnsi="Times New Roman"/>
          <w:caps w:val="false"/>
          <w:smallCaps w:val="false"/>
          <w:sz w:val="20"/>
          <w:u w:val="single"/>
        </w:rPr>
        <w:t>    Indemnification for Expenses in Enforcing Rights</w:t>
      </w:r>
      <w:r>
        <w:rPr>
          <w:rFonts w:ascii="Times New Roman" w:hAnsi="Times New Roman"/>
          <w:caps w:val="false"/>
          <w:smallCaps w:val="false"/>
          <w:sz w:val="20"/>
        </w:rPr>
        <w:t>. To the fullest extent allowable under applicable law, the Company shall also indemnify against, and, if requested by Indemnitee, shall advance to Indemnitee subject to and in accordance with Section 3,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regarding of whether Indemnitee is ultimately determined to be entitled to such indemnification or insurance recovery, as the case may be; provided, however, that Indemnitee shall be required to reimburse the Company in the event that a final judicial determination is made that such action brought by Indemnitee was frivolous or not made in good faith.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5.</w:t>
      </w:r>
      <w:r>
        <w:rPr>
          <w:rFonts w:ascii="Times New Roman" w:hAnsi="Times New Roman"/>
          <w:caps w:val="false"/>
          <w:smallCaps w:val="false"/>
          <w:sz w:val="20"/>
          <w:u w:val="single"/>
        </w:rPr>
        <w:t>    Partial Indemnity</w:t>
      </w:r>
      <w:r>
        <w:rPr>
          <w:rFonts w:ascii="Times New Roman" w:hAnsi="Times New Roman"/>
          <w:caps w:val="false"/>
          <w:smallCaps w:val="false"/>
          <w:sz w:val="20"/>
        </w:rPr>
        <w:t>.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w:t>
      </w:r>
      <w:r>
        <w:rPr>
          <w:rFonts w:ascii="Times New Roman" w:hAnsi="Times New Roman"/>
          <w:caps w:val="false"/>
          <w:smallCaps w:val="false"/>
          <w:sz w:val="20"/>
          <w:u w:val="single"/>
        </w:rPr>
        <w:t>    Notification and Defense of Claims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Notification of Claims</w:t>
      </w:r>
      <w:r>
        <w:rPr>
          <w:rFonts w:ascii="Times New Roman" w:hAnsi="Times New Roman"/>
          <w:caps w:val="false"/>
          <w:smallCaps w:val="false"/>
          <w:sz w:val="20"/>
        </w:rPr>
        <w:t>. Indemnitee shall notify the Company in writing as soon as practicable of any Claim which could relate to an Indemnifiable Event or for which Indemnitee could seek Expense Advances, including a brief description (based upon information then available to Indemnitee) of the nature of, and the facts underlying, such Claim. The failure by Indemnitee to timely notify the Company hereunder shall not relieve the Company from any liability hereunder unless the Company's ability to participate in the defense of such claim was materially and adversely affected by such failure. If at the time of the receipt of such notice, the Company has directors' and officers' liability insurance in effect under which coverage for Claims related to Indemnifiable Events is potentially available, the Company shall give prompt written notice, following the Company’s awareness of such claim, to the applicable insurers in accordance with the procedures set forth in the applicable policies.</w:t>
      </w:r>
    </w:p>
    <w:p>
      <w:pPr>
        <w:pStyle w:val="TextBody"/>
        <w:spacing w:before="0" w:after="0"/>
        <w:ind w:left="0" w:right="0" w:hanging="0"/>
        <w:jc w:val="left"/>
        <w:rPr/>
      </w:pPr>
      <w:r>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Defense of Claims</w:t>
      </w:r>
      <w:r>
        <w:rPr>
          <w:rFonts w:ascii="Times New Roman" w:hAnsi="Times New Roman"/>
          <w:caps w:val="false"/>
          <w:smallCaps w:val="false"/>
          <w:sz w:val="20"/>
        </w:rPr>
        <w:t>.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in writing, (ii) Indemnitee has reasonably determined that there may be a conflict of interest between Indemnitee and the Company in the defense of such Claim, (iii) after a Change in Control, Indemnitee's engagement of its own counsel has been approved by the Independent Counsel or (iv) the Company shall not in fact have employed counsel to assume the defense of such Claim in a timely manner, in which case Indemnitee shall be entitled to retain its own separate counsel (but not more than one law firm plus, if applicable, local counsel in respect of any such Claim) and all reasonable Expenses related to such separate counsel shall be borne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7.</w:t>
      </w:r>
      <w:r>
        <w:rPr>
          <w:rFonts w:ascii="Times New Roman" w:hAnsi="Times New Roman"/>
          <w:caps w:val="false"/>
          <w:smallCaps w:val="false"/>
          <w:sz w:val="20"/>
          <w:u w:val="single"/>
        </w:rPr>
        <w:t>    Procedure upon Application for Indemnification</w:t>
      </w:r>
      <w:r>
        <w:rPr>
          <w:rFonts w:ascii="Times New Roman" w:hAnsi="Times New Roman"/>
          <w:caps w:val="false"/>
          <w:smallCaps w:val="false"/>
          <w:sz w:val="20"/>
        </w:rPr>
        <w:t>. In order to obtain 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provided that documentation and information need not be so provided to the extent that the provision thereof would undermine or otherwise jeopardize attorney-client privilege. Indemnification shall be made insofar as the Company determines Indemnitee is entitled to indemnification in accordance with Section 8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w:t>
      </w:r>
      <w:r>
        <w:rPr>
          <w:rFonts w:ascii="Times New Roman" w:hAnsi="Times New Roman"/>
          <w:caps w:val="false"/>
          <w:smallCaps w:val="false"/>
          <w:sz w:val="20"/>
          <w:u w:val="single"/>
        </w:rPr>
        <w:t>    Determination of Right to Indemnification</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xml:space="preserve">    Mandatory Indemnification; Indemnification as a Witness.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    To the extent that Indemnitee shall have been successful on the merits or otherwise in defense of any Claim relating to an Indemnifiable Event or any portion thereof or in defense of any issue or matter therein, including without limitation dismissal without prejudice, Indemnitee shall be indemnified against all Losses relating to such Claim in accordance with Section 2 to the fullest extent allowable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    To the extent that Indemnitee's involvement in a Claim relating to an Indemnifiable Event is to prepare to serve and serve as a witness, and not as a party, the Indemnitee shall be indemnified against all Losses incurred in connection therewith to the fullest extent allowable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Standard of Conduct</w:t>
      </w:r>
      <w:r>
        <w:rPr>
          <w:rFonts w:ascii="Times New Roman" w:hAnsi="Times New Roman"/>
          <w:caps w:val="false"/>
          <w:smallCaps w:val="false"/>
          <w:sz w:val="20"/>
        </w:rPr>
        <w:t>. To the extent that the provisions of Section 8(a) are inapplicable to a Claim related to an Indemnifiable Event that shall have been finally disposed of, any determination of whether Indemnitee has satisfied any applicable standard of conduct under Tennessee law that is a legally required condition to indemnification of Indemnitee hereunder against Losses relating to such Claim, and any determination that Expense Advances shall not be made by the Company, and/or must be repaid to the Company, as applicable, in accordance with Section 3 of this Agreement (a "</w:t>
      </w:r>
      <w:r>
        <w:rPr>
          <w:rFonts w:ascii="Times New Roman" w:hAnsi="Times New Roman"/>
          <w:b/>
          <w:caps w:val="false"/>
          <w:smallCaps w:val="false"/>
          <w:sz w:val="20"/>
        </w:rPr>
        <w:t>Standard of Conduct Determination</w:t>
      </w:r>
      <w:r>
        <w:rPr>
          <w:rFonts w:ascii="Times New Roman" w:hAnsi="Times New Roman"/>
          <w:caps w:val="false"/>
          <w:smallCaps w:val="false"/>
          <w:sz w:val="20"/>
        </w:rPr>
        <w:t>") shall be made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    if no Change in Control has occurred:</w:t>
      </w:r>
    </w:p>
    <w:p>
      <w:pPr>
        <w:pStyle w:val="TextBody"/>
        <w:spacing w:before="0" w:after="0"/>
        <w:ind w:left="0" w:right="0" w:hanging="0"/>
        <w:rPr>
          <w:caps w:val="false"/>
          <w:smallCaps w:val="false"/>
        </w:rPr>
      </w:pPr>
      <w:r>
        <w:rPr>
          <w:caps w:val="false"/>
          <w:smallCaps w:val="false"/>
        </w:rPr>
        <w:t> </w:t>
      </w:r>
    </w:p>
    <w:p>
      <w:pPr>
        <w:pStyle w:val="TextBody"/>
        <w:spacing w:before="0" w:after="0"/>
        <w:ind w:left="2160" w:right="0" w:firstLine="720"/>
        <w:rPr>
          <w:rFonts w:ascii="Times New Roman" w:hAnsi="Times New Roman"/>
          <w:caps w:val="false"/>
          <w:smallCaps w:val="false"/>
          <w:sz w:val="20"/>
        </w:rPr>
      </w:pPr>
      <w:r>
        <w:rPr>
          <w:rFonts w:ascii="Times New Roman" w:hAnsi="Times New Roman"/>
          <w:caps w:val="false"/>
          <w:smallCaps w:val="false"/>
          <w:sz w:val="20"/>
        </w:rPr>
        <w:t>(A) by a majority vote of the Disinterested Directors, if constituting a quorum of the Board;</w:t>
      </w:r>
    </w:p>
    <w:p>
      <w:pPr>
        <w:pStyle w:val="TextBody"/>
        <w:spacing w:before="0" w:after="0"/>
        <w:ind w:left="0" w:right="0" w:hanging="0"/>
        <w:rPr>
          <w:caps w:val="false"/>
          <w:smallCaps w:val="false"/>
        </w:rPr>
      </w:pPr>
      <w:r>
        <w:rPr>
          <w:caps w:val="false"/>
          <w:smallCaps w:val="false"/>
        </w:rPr>
        <w:t> </w:t>
      </w:r>
    </w:p>
    <w:p>
      <w:pPr>
        <w:pStyle w:val="TextBody"/>
        <w:spacing w:before="0" w:after="0"/>
        <w:ind w:left="2160" w:right="0" w:firstLine="720"/>
        <w:rPr>
          <w:rFonts w:ascii="Times New Roman" w:hAnsi="Times New Roman"/>
          <w:caps w:val="false"/>
          <w:smallCaps w:val="false"/>
          <w:sz w:val="20"/>
        </w:rPr>
      </w:pPr>
      <w:r>
        <w:rPr>
          <w:rFonts w:ascii="Times New Roman" w:hAnsi="Times New Roman"/>
          <w:caps w:val="false"/>
          <w:smallCaps w:val="false"/>
          <w:sz w:val="20"/>
        </w:rPr>
        <w:t>(B) if Disinterested Directors do not constitute a quorum of the Board, by a majority vote of a committee of two or more Disinterested Directors, which committee shall be designated by the Board (in which designation all directors (whether or not Disinterested Directors) may participate);</w:t>
      </w:r>
    </w:p>
    <w:p>
      <w:pPr>
        <w:pStyle w:val="TextBody"/>
        <w:spacing w:before="0" w:after="0"/>
        <w:ind w:left="0" w:right="0" w:hanging="0"/>
        <w:rPr>
          <w:caps w:val="false"/>
          <w:smallCaps w:val="false"/>
        </w:rPr>
      </w:pPr>
      <w:r>
        <w:rPr>
          <w:caps w:val="false"/>
          <w:smallCaps w:val="false"/>
        </w:rPr>
        <w:t> </w:t>
      </w:r>
    </w:p>
    <w:p>
      <w:pPr>
        <w:pStyle w:val="TextBody"/>
        <w:spacing w:before="0" w:after="0"/>
        <w:ind w:left="2160" w:right="0" w:firstLine="720"/>
        <w:rPr>
          <w:rFonts w:ascii="Times New Roman" w:hAnsi="Times New Roman"/>
          <w:caps w:val="false"/>
          <w:smallCaps w:val="false"/>
          <w:sz w:val="20"/>
        </w:rPr>
      </w:pPr>
      <w:r>
        <w:rPr>
          <w:rFonts w:ascii="Times New Roman" w:hAnsi="Times New Roman"/>
          <w:caps w:val="false"/>
          <w:smallCaps w:val="false"/>
          <w:sz w:val="20"/>
        </w:rPr>
        <w:t>(C) if there are not two or more Disinterested Directors, by Independent Counsel in a written opinion addressed to the Board, a copy of which shall be delivered to Indemnitee; and</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    if a Change in Control has occurred, (x) if the Indemnitee so requests in writing, by a majority vote of the Disinterested Directors pursuant to clause (i)(A) or (i)(B) of this Section 8(a) above, as applicable, or (y) otherwise, by Independent Counsel in a written opinion addressed to the Board, a copy of which shall be delivered to Indemnitee.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Making the Standard of Conduct Determination</w:t>
      </w:r>
      <w:r>
        <w:rPr>
          <w:rFonts w:ascii="Times New Roman" w:hAnsi="Times New Roman"/>
          <w:caps w:val="false"/>
          <w:smallCaps w:val="false"/>
          <w:sz w:val="20"/>
        </w:rPr>
        <w:t>. The Company shall use its reasonable best efforts to cause any Standard of Conduct Determination required under Section 8(b) to be made as promptly as practicable. If the person or persons designated to make the Standard of Conduct Determination under Section 8(b) shall not have made a determination within 30 days after the later of (A) receipt by the Company of the Indemnitee Advancement Certification pursuant to Section 3 or indemnification pursuant to Section 7 (the date of such receipt being the "</w:t>
      </w:r>
      <w:r>
        <w:rPr>
          <w:rFonts w:ascii="Times New Roman" w:hAnsi="Times New Roman"/>
          <w:b/>
          <w:caps w:val="false"/>
          <w:smallCaps w:val="false"/>
          <w:sz w:val="20"/>
        </w:rPr>
        <w:t>Notification Date</w:t>
      </w:r>
      <w:r>
        <w:rPr>
          <w:rFonts w:ascii="Times New Roman" w:hAnsi="Times New Roman"/>
          <w:caps w:val="false"/>
          <w:smallCaps w:val="false"/>
          <w:sz w:val="20"/>
        </w:rPr>
        <w:t>") and (B) the selection of an Independent Counsel, if such determination is to be made by Independent Counsel, then Indemnitee shall be deemed to have satisfied the applicable standard of conduct; provided that such 30-day period may be extended for a reasonable time, not to exceed an additional 15 days, if the person or persons making such determination in good faith requires such additional time to obtain or evaluate information relating thereto (such period, the “</w:t>
      </w:r>
      <w:r>
        <w:rPr>
          <w:rFonts w:ascii="Times New Roman" w:hAnsi="Times New Roman"/>
          <w:b/>
          <w:caps w:val="false"/>
          <w:smallCaps w:val="false"/>
          <w:sz w:val="20"/>
        </w:rPr>
        <w:t>Determination Period</w:t>
      </w:r>
      <w:r>
        <w:rPr>
          <w:rFonts w:ascii="Times New Roman" w:hAnsi="Times New Roman"/>
          <w:caps w:val="false"/>
          <w:smallCaps w:val="false"/>
          <w:sz w:val="20"/>
        </w:rPr>
        <w:t>”). Notwithstanding anything in this Agreement to the contrary, no determination as to entitlement of Indemnitee to indemnification under this Agreement shall be required to be made prior to the final disposition of any Claim.</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u w:val="single"/>
        </w:rPr>
        <w:t>    Payment of Indemnification</w:t>
      </w:r>
      <w:r>
        <w:rPr>
          <w:rFonts w:ascii="Times New Roman" w:hAnsi="Times New Roman"/>
          <w:caps w:val="false"/>
          <w:smallCaps w:val="false"/>
          <w:sz w:val="20"/>
        </w:rPr>
        <w:t>. If, in regard to any Losses: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    Indemnitee shall be entitled to indemnification pursuant to Section 8(a);</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    no Standard of Conduct Determination is legally required as a condition to indemnification of Indemnitee hereunder; or</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(iii)    Indemnitee has been determined or deemed pursuant to Section 8(b) or Section 8(c) to have satisfied the Standard of Conduct Determination with respect to the payment of any indemnification,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then the Company shall pay to Indemnitee, within 15 days after the later of (A) the Notification Date or (B) the earliest date on which the applicable criterion specified in clause (i), (ii) or (iii) is satisfied, an amount equal to such Losses.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Selection of Independent Counsel for Standard of Conduct Determination</w:t>
      </w:r>
      <w:r>
        <w:rPr>
          <w:rFonts w:ascii="Times New Roman" w:hAnsi="Times New Roman"/>
          <w:caps w:val="false"/>
          <w:smallCaps w:val="false"/>
          <w:sz w:val="20"/>
        </w:rPr>
        <w:t>. If a Standard of Conduct Determination is to be made by Independent Counsel pursuant to Section 8(b)(i), the Independent Counsel shall be selected by the Board, and the Company shall give written notice to Indemnitee advising Indemnitee of the identity of the Independent Counsel so selected. If a Standard of Conduct Determination is to be made by Independent Counsel pursuant to Section 8(b)(ii), the Independent Counsel shall be selected by Indemnitee, and Indemnitee shall give written notice to the Company advising the Company of the identity of the Independent Counsel so selected. In either case, Indemnitee or the Company, as applicable, may, within 10 days after receiving written notice of selection from the other party, deliver to such other party a written objection to such selection; provided, however, that such objection may be asserted only on the ground that the Independent Counsel so selected does not satisfy the criteria set forth in the definition of "Independent Counsel" as set forth in Section 1 hereof,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8(e) to make the Standard of Conduct Determination shall have been selected within 20 days after the Company gives its initial notice pursuant to the first sentence of this Section 8(e) or Indemnitee gives its initial notice pursuant to the second sentence of this Section 8(e), as the case may be, either the Company or Indemnitee may petition the Tennessee Courts (as defined below) to resolve any objection which shall have been made by the Company or Indemnitee to the other' party’s selection of Independent Counsel and/or to appoint as Independent Counsel a person to be selected by the Tennessee Courts or such other person as the Tennessee Courts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8(b).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(f)</w:t>
      </w:r>
      <w:r>
        <w:rPr>
          <w:rFonts w:ascii="Times New Roman" w:hAnsi="Times New Roman"/>
          <w:caps w:val="false"/>
          <w:smallCaps w:val="false"/>
          <w:sz w:val="20"/>
          <w:u w:val="single"/>
        </w:rPr>
        <w:t xml:space="preserve">    Presumptions and Defenses.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caps w:val="false"/>
          <w:smallCaps w:val="false"/>
          <w:sz w:val="20"/>
          <w:u w:val="single"/>
        </w:rPr>
        <w:t>    Indemnitee's Entitlement to Indemnification</w:t>
      </w:r>
      <w:r>
        <w:rPr>
          <w:rFonts w:ascii="Times New Roman" w:hAnsi="Times New Roman"/>
          <w:caps w:val="false"/>
          <w:smallCaps w:val="false"/>
          <w:sz w:val="20"/>
        </w:rPr>
        <w:t>. In making any 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the Tennessee Courts. No determination by the Company (including by its directors or any Independent Counsel) that Indemnitee has not satisfied any applicable standard of conduct may be used as a defense to any legal proceedings brought by Indemnitee to secure indemnification or reimbursement or advance payment of Expenses by the Company hereunder or create a presumption that Indemnitee has not met any applicable standard of conduct.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w:t>
      </w:r>
      <w:r>
        <w:rPr>
          <w:rFonts w:ascii="Times New Roman" w:hAnsi="Times New Roman"/>
          <w:caps w:val="false"/>
          <w:smallCaps w:val="false"/>
          <w:sz w:val="20"/>
          <w:u w:val="single"/>
        </w:rPr>
        <w:t>    Reliance as a Safe Harbor</w:t>
      </w:r>
      <w:r>
        <w:rPr>
          <w:rFonts w:ascii="Times New Roman" w:hAnsi="Times New Roman"/>
          <w:caps w:val="false"/>
          <w:smallCaps w:val="false"/>
          <w:sz w:val="20"/>
        </w:rPr>
        <w:t>. For purposes of this Agreement, and without creating any presumption as to a lack of good faith if the following circumstances do not exist, Indemnitee shall be deemed to have acted in good faith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other director, officer, agent or employee of the Company shall not be imputed to Indemnitee for purposes of determining the right to indemnity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(iii)</w:t>
      </w:r>
      <w:r>
        <w:rPr>
          <w:rFonts w:ascii="Times New Roman" w:hAnsi="Times New Roman"/>
          <w:caps w:val="false"/>
          <w:smallCaps w:val="false"/>
          <w:sz w:val="20"/>
          <w:u w:val="single"/>
        </w:rPr>
        <w:t>    No Other Presumptions</w:t>
      </w:r>
      <w:r>
        <w:rPr>
          <w:rFonts w:ascii="Times New Roman" w:hAnsi="Times New Roman"/>
          <w:caps w:val="false"/>
          <w:smallCaps w:val="false"/>
          <w:sz w:val="20"/>
        </w:rPr>
        <w:t>. For purposes of this Agreement, the termination of any Claim by judgment, order, settlement (whether with or without court approval) or conviction, or upon a plea of nolo contendere or its equivalent, will not create a presumption that Indemnitee did not meet any applicable standard of conduct or have any particular belief, or that indemnification hereunder is otherwise not permitted.</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(iv)</w:t>
      </w:r>
      <w:r>
        <w:rPr>
          <w:rFonts w:ascii="Times New Roman" w:hAnsi="Times New Roman"/>
          <w:caps w:val="false"/>
          <w:smallCaps w:val="false"/>
          <w:sz w:val="20"/>
          <w:u w:val="single"/>
        </w:rPr>
        <w:t>    Defense to Indemnification and Burden of Proof</w:t>
      </w:r>
      <w:r>
        <w:rPr>
          <w:rFonts w:ascii="Times New Roman" w:hAnsi="Times New Roman"/>
          <w:caps w:val="false"/>
          <w:smallCaps w:val="false"/>
          <w:sz w:val="20"/>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9.</w:t>
      </w:r>
      <w:r>
        <w:rPr>
          <w:rFonts w:ascii="Times New Roman" w:hAnsi="Times New Roman"/>
          <w:caps w:val="false"/>
          <w:smallCaps w:val="false"/>
          <w:sz w:val="20"/>
          <w:u w:val="single"/>
        </w:rPr>
        <w:t>    Exclusions from Indemnification</w:t>
      </w:r>
      <w:r>
        <w:rPr>
          <w:rFonts w:ascii="Times New Roman" w:hAnsi="Times New Roman"/>
          <w:caps w:val="false"/>
          <w:smallCaps w:val="false"/>
          <w:sz w:val="20"/>
        </w:rPr>
        <w:t>. Notwithstanding anything in this Agreement to the contrary, the Company shall not be obligated to:</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(a)    indemnify or advance funds to Indemnitee for Expenses or Losses with respect to proceedings initiated by Indemnitee, including any proceedings against the Company or its directors, officers, employees or other indemnitees and not by way of defense, except: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    proceedings referenced in Section 4 above [(unless a final judicial determination is made that such action brought by Indemnitee was not made in good faith or was frivolous)]; or</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    where the Company has joined in or the Board has consented to the initiation of such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(b)    indemnify Indemnitee for Losses if a final decision by a court of competent jurisdiction determines that such indemnification is prohibited by applicable law, including (to the extent then in effect) to the extent prohibited by Section 48-18-509(a)(1) of the TBCA (or any successor provision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(c)    [except with respect to Indemnification of Expenses in connection with whole or partial success on the merits or otherwise in connection with defending any Claim, indemnify Indemnitee for the disgorgement of profits arising from the purchase or sale by Indemnitee of securities of the Company in violation of Section 16(b) of the Exchange Act, or any similar successor statute.]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(d)    [except with respect to Indemnification of Expenses in connection with whole or partial success on the merits or otherwise in connection with defending any Claim, indemnify or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(e)    except with respect to Indemnification of Expenses in connection with whole or partial success on the merits or otherwise in connection with defending any Claim, indemnify Indemnitee for Indemnitee’s reimbursement to the Company of any incentive-based compensation or other amounts payable by the Company pursuant to (i) the Company’s recoupment policy, as it may be amended from time to time, and/or (ii) any other clawback or recoupment policy to which Indemnitee may hereafter be subject, including any such policy or amended policy adopted by the Compay to comply with any applicable laws, rules, regulations or listing standards, including pursuant to final SEC rules under the Dodd-Frank Wall Street Reform and Consumer Protection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10.</w:t>
      </w:r>
      <w:r>
        <w:rPr>
          <w:rFonts w:ascii="Times New Roman" w:hAnsi="Times New Roman"/>
          <w:caps w:val="false"/>
          <w:smallCaps w:val="false"/>
          <w:sz w:val="20"/>
          <w:u w:val="single"/>
        </w:rPr>
        <w:t>    Settlement of Claims</w:t>
      </w:r>
      <w:r>
        <w:rPr>
          <w:rFonts w:ascii="Times New Roman" w:hAnsi="Times New Roman"/>
          <w:caps w:val="false"/>
          <w:smallCaps w:val="false"/>
          <w:sz w:val="20"/>
        </w:rPr>
        <w:t>. The Company shall not be liable to Indemnitee under this Agreement for any amounts paid in settlement of any threatened or pending Claim related to an Indemnifiable Event effected without the Company's prior written consent, which shall not be unreasonably withheld; provided, however, that if a Change in Control has occurred, the Company shall be liable for indemnification of the Indemnitee for amounts paid in settlement if an Independent Counsel has approved the settlement. The Company shall not settle any Claim related to an Indemnifiable Event in any manner that would impose any Losses on the Indemnitee without the Indemnitee's prior written consent[, which consent shall not be unreasonably withheld.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11.</w:t>
      </w:r>
      <w:r>
        <w:rPr>
          <w:rFonts w:ascii="Times New Roman" w:hAnsi="Times New Roman"/>
          <w:caps w:val="false"/>
          <w:smallCaps w:val="false"/>
          <w:sz w:val="20"/>
          <w:u w:val="single"/>
        </w:rPr>
        <w:t>    Duration</w:t>
      </w:r>
      <w:r>
        <w:rPr>
          <w:rFonts w:ascii="Times New Roman" w:hAnsi="Times New Roman"/>
          <w:caps w:val="false"/>
          <w:smallCaps w:val="false"/>
          <w:sz w:val="20"/>
        </w:rPr>
        <w:t>. All agreements and obligations of the Company contained herein shall continue during the period that Indemnitee is a director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12.</w:t>
      </w:r>
      <w:r>
        <w:rPr>
          <w:rFonts w:ascii="Times New Roman" w:hAnsi="Times New Roman"/>
          <w:caps w:val="false"/>
          <w:smallCaps w:val="false"/>
          <w:sz w:val="20"/>
          <w:u w:val="single"/>
        </w:rPr>
        <w:t>    Non-Exclusivity</w:t>
      </w:r>
      <w:r>
        <w:rPr>
          <w:rFonts w:ascii="Times New Roman" w:hAnsi="Times New Roman"/>
          <w:caps w:val="false"/>
          <w:smallCaps w:val="false"/>
          <w:sz w:val="20"/>
        </w:rPr>
        <w:t>. This Agreement constitutes the entire agreement among the parties with respect to the subject matter hereof and supersedes any prior indemnification agreements between Indemnitee and the Company (“</w:t>
      </w:r>
      <w:r>
        <w:rPr>
          <w:rFonts w:ascii="Times New Roman" w:hAnsi="Times New Roman"/>
          <w:b/>
          <w:caps w:val="false"/>
          <w:smallCaps w:val="false"/>
          <w:sz w:val="20"/>
        </w:rPr>
        <w:t>Prior Indemnification Agreement</w:t>
      </w:r>
      <w:r>
        <w:rPr>
          <w:rFonts w:ascii="Times New Roman" w:hAnsi="Times New Roman"/>
          <w:caps w:val="false"/>
          <w:smallCaps w:val="false"/>
          <w:sz w:val="20"/>
        </w:rPr>
        <w:t>”); provided, however, the rights of Indemnitee hereunder will be in addition to any other rights Indemnitee may have under the Constituent Documents, the TBCA, any other contract (excluding any Prior Indemnification Agreement) or otherwise (collectively, "</w:t>
      </w:r>
      <w:r>
        <w:rPr>
          <w:rFonts w:ascii="Times New Roman" w:hAnsi="Times New Roman"/>
          <w:b/>
          <w:caps w:val="false"/>
          <w:smallCaps w:val="false"/>
          <w:sz w:val="20"/>
        </w:rPr>
        <w:t>Other Indemnity Provisions</w:t>
      </w:r>
      <w:r>
        <w:rPr>
          <w:rFonts w:ascii="Times New Roman" w:hAnsi="Times New Roman"/>
          <w:caps w:val="false"/>
          <w:smallCaps w:val="false"/>
          <w:sz w:val="20"/>
        </w:rPr>
        <w:t>"); provided, further, that (a) to the extent that Indemnitee otherwise would have any greater right to indemnification under any Other Indemnity Provision, Indemnitee will be deemed to have such greater right hereunder and (b) to the extent that any change is made to any Other Indemnity Provision which permits any greater right to indemnification than that provided under this Agreement as of the date hereof, Indemnitee will be deemed to have such greater right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13.</w:t>
      </w:r>
      <w:r>
        <w:rPr>
          <w:rFonts w:ascii="Times New Roman" w:hAnsi="Times New Roman"/>
          <w:caps w:val="false"/>
          <w:smallCaps w:val="false"/>
          <w:sz w:val="20"/>
          <w:u w:val="single"/>
        </w:rPr>
        <w:t>    Liability Insurance</w:t>
      </w:r>
      <w:r>
        <w:rPr>
          <w:rFonts w:ascii="Times New Roman" w:hAnsi="Times New Roman"/>
          <w:caps w:val="false"/>
          <w:smallCaps w:val="false"/>
          <w:sz w:val="20"/>
        </w:rPr>
        <w:t>. For the duration of Indemnitee's service as a director of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that is at least substantially comparable in scope and amount to that provided by the Company's current policies of directors' and officers' liability insurance. In all policies of directors' and officers' liability insurance maintained by the Company, Indemnitee shall be named as an insured in such a manner as to provide Indemnitee the same rights and benefits as are provided to the most favorably insured of the Company's directors, if Indemnitee is a director. Upon request, the Company will provide to Indemnitee copies of all directors' and officers' liability insurance applications, binders, policies, declarations, endorsements and other related materials.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14.</w:t>
      </w:r>
      <w:r>
        <w:rPr>
          <w:rFonts w:ascii="Times New Roman" w:hAnsi="Times New Roman"/>
          <w:caps w:val="false"/>
          <w:smallCaps w:val="false"/>
          <w:sz w:val="20"/>
          <w:u w:val="single"/>
        </w:rPr>
        <w:t>    Contribution</w:t>
      </w:r>
      <w:r>
        <w:rPr>
          <w:rFonts w:ascii="Times New Roman" w:hAnsi="Times New Roman"/>
          <w:caps w:val="false"/>
          <w:smallCaps w:val="false"/>
          <w:sz w:val="20"/>
        </w:rPr>
        <w:t>. To the fullest extent permitted by applicable law, if the indemnification provided for in this Agreement is unavailable to Indemnitee for any reason whatsoever, the Company, in lieu of indemnifying Indemnitee, shall contribute to the amount incurred by Indemnitee, for any and all Losses, in connection with any Claim relating to an Indemnifiable Event under this Agreement, in such proportion as is deemed fair and reasonable in light of all of the circumstances of such Claim in order to reflect (i) the relative benefits received by the Company, on the one hand, and Indemnitee, on the other hand, as a result of the event(s) and/or transaction(s) giving cause to such Claim; and/or (ii) the relative fault of the Company (and its directors, officers, employees and agents), on the one hand, and Indemnitee, on the other hand, in connection with such event(s) and/or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15.</w:t>
      </w:r>
      <w:r>
        <w:rPr>
          <w:rFonts w:ascii="Times New Roman" w:hAnsi="Times New Roman"/>
          <w:caps w:val="false"/>
          <w:smallCaps w:val="false"/>
          <w:sz w:val="20"/>
          <w:u w:val="single"/>
        </w:rPr>
        <w:t>    No Duplication of Payments</w:t>
      </w:r>
      <w:r>
        <w:rPr>
          <w:rFonts w:ascii="Times New Roman" w:hAnsi="Times New Roman"/>
          <w:caps w:val="false"/>
          <w:smallCaps w:val="false"/>
          <w:sz w:val="20"/>
        </w:rPr>
        <w:t>. The Company shall not be liable under this Agreement to make any payment to Indemnitee in respect of any Losses to the extent Indemnitee has otherwise received payment under any insurance policy, the Constituent Documents, Other Indemnity Provisions or otherwise of the amounts otherwise indemnifiable by the Company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16.</w:t>
      </w:r>
      <w:r>
        <w:rPr>
          <w:rFonts w:ascii="Times New Roman" w:hAnsi="Times New Roman"/>
          <w:caps w:val="false"/>
          <w:smallCaps w:val="false"/>
          <w:sz w:val="20"/>
          <w:u w:val="single"/>
        </w:rPr>
        <w:t>    Subrogation</w:t>
      </w:r>
      <w:r>
        <w:rPr>
          <w:rFonts w:ascii="Times New Roman" w:hAnsi="Times New Roman"/>
          <w:caps w:val="false"/>
          <w:smallCaps w:val="false"/>
          <w:sz w:val="20"/>
        </w:rPr>
        <w:t>. In the event of payment to Indemnitee under this Agreement, the Company shall be subrogated to the extent of such payment to all of the rights of recovery of Indemnitee. Indemnitee shall execute all papers required and shall do everything that may be necessary to secure such rights, including the execution of such documents necessary to enable the Company effectively to bring suit to enforce such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17.</w:t>
      </w:r>
      <w:r>
        <w:rPr>
          <w:rFonts w:ascii="Times New Roman" w:hAnsi="Times New Roman"/>
          <w:caps w:val="false"/>
          <w:smallCaps w:val="false"/>
          <w:sz w:val="20"/>
          <w:u w:val="single"/>
        </w:rPr>
        <w:t>    Amendments</w:t>
      </w:r>
      <w:r>
        <w:rPr>
          <w:rFonts w:ascii="Times New Roman" w:hAnsi="Times New Roman"/>
          <w:caps w:val="false"/>
          <w:smallCaps w:val="false"/>
          <w:sz w:val="20"/>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 The Company expressly confirms and agree that the Company has entered into this Agreement and assumes the obligations imposed on the Company hereby in order to induce Indemnitee to continue to serve as a director of the Company, and the Company acknowledges that Indemnitte is relying upon this Agreement in connection with continuing to serve as a director.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18.</w:t>
      </w:r>
      <w:r>
        <w:rPr>
          <w:rFonts w:ascii="Times New Roman" w:hAnsi="Times New Roman"/>
          <w:caps w:val="false"/>
          <w:smallCaps w:val="false"/>
          <w:sz w:val="20"/>
          <w:u w:val="single"/>
        </w:rPr>
        <w:t>    Binding Effect</w:t>
      </w:r>
      <w:r>
        <w:rPr>
          <w:rFonts w:ascii="Times New Roman" w:hAnsi="Times New Roman"/>
          <w:caps w:val="false"/>
          <w:smallCaps w:val="false"/>
          <w:sz w:val="20"/>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in any such transaction where the obligations of the Company hereunder are not automatically assumed by operation of law, to expressly assume and agree, by written agreement in form and substances reasonably satisfactory to Indemnitee, to perform this Agreement in the same manner and to the same extent that the Company would be required to perform if no such succession had taken place.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19.</w:t>
      </w:r>
      <w:r>
        <w:rPr>
          <w:rFonts w:ascii="Times New Roman" w:hAnsi="Times New Roman"/>
          <w:caps w:val="false"/>
          <w:smallCaps w:val="false"/>
          <w:sz w:val="20"/>
          <w:u w:val="single"/>
        </w:rPr>
        <w:t>    Severability</w:t>
      </w:r>
      <w:r>
        <w:rPr>
          <w:rFonts w:ascii="Times New Roman" w:hAnsi="Times New Roman"/>
          <w:caps w:val="false"/>
          <w:smallCaps w:val="false"/>
          <w:sz w:val="20"/>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20.</w:t>
      </w:r>
      <w:r>
        <w:rPr>
          <w:rFonts w:ascii="Times New Roman" w:hAnsi="Times New Roman"/>
          <w:caps w:val="false"/>
          <w:smallCaps w:val="false"/>
          <w:sz w:val="20"/>
          <w:u w:val="single"/>
        </w:rPr>
        <w:t>    Notices</w:t>
      </w:r>
      <w:r>
        <w:rPr>
          <w:rFonts w:ascii="Times New Roman" w:hAnsi="Times New Roman"/>
          <w:caps w:val="false"/>
          <w:smallCaps w:val="false"/>
          <w:sz w:val="20"/>
        </w:rPr>
        <w:t>. All notices, consents, waivers, and other communications under this Agreement must be in writing and will be deemed to have been duly given when (a) delivered by hand (with written confirmation of receipt), (b) received by the addressee, if sent by certified mail, return receipt requested, or (c) received by the addressee, if sent by a nationally recognized overnight delivery service, return receipt requested, in each case to the appropriate addresses or e-mail addresses set forth below (or to such other addresses as a party may designate by notice to the other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(a)    if to Indemnitee, to the address set forth on the signature page hereto.</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(b)    if to the Company, to:</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HealthStream, Inc.</w:t>
      </w:r>
    </w:p>
    <w:p>
      <w:pPr>
        <w:pStyle w:val="TextBody"/>
        <w:spacing w:lineRule="auto" w:line="288"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500 11th Avenue, North</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Suite 1000</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Nashville, TN 37203</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Attention: General Counsel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21.</w:t>
      </w:r>
      <w:r>
        <w:rPr>
          <w:rFonts w:ascii="Times New Roman" w:hAnsi="Times New Roman"/>
          <w:caps w:val="false"/>
          <w:smallCaps w:val="false"/>
          <w:sz w:val="20"/>
          <w:u w:val="single"/>
        </w:rPr>
        <w:t>    Governing Law and Forum</w:t>
      </w:r>
      <w:r>
        <w:rPr>
          <w:rFonts w:ascii="Times New Roman" w:hAnsi="Times New Roman"/>
          <w:caps w:val="false"/>
          <w:smallCaps w:val="false"/>
          <w:sz w:val="20"/>
        </w:rPr>
        <w:t>. This Agreement shall be governed by and construed and enforced in accordance with the laws of the State of Tenneesse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state chancery courts located in Davidson County, Tennessee and the United States District Court for the Middle District of Tennessee located in Davidson County, Tennessee, so long as one of such courts shall have subject matter jurisdiction over such action (the “</w:t>
      </w:r>
      <w:r>
        <w:rPr>
          <w:rFonts w:ascii="Times New Roman" w:hAnsi="Times New Roman"/>
          <w:b/>
          <w:caps w:val="false"/>
          <w:smallCaps w:val="false"/>
          <w:sz w:val="20"/>
        </w:rPr>
        <w:t>Tennessee Courts</w:t>
      </w:r>
      <w:r>
        <w:rPr>
          <w:rFonts w:ascii="Times New Roman" w:hAnsi="Times New Roman"/>
          <w:caps w:val="false"/>
          <w:smallCaps w:val="false"/>
          <w:sz w:val="20"/>
        </w:rPr>
        <w:t>”) and not in any other state or federal court in the United States, (b) consent to submit to the exclusive jurisdiction and venue of the Tennessee Courts for purposes of any action or proceeding arising out of or in connection with this Agreement, and (c) waive, and agree not to plead or make, any claim that the Tennessee Court lacks venue or that any such action or proceeding brought in the Tennessee Court has been brought in an improper or inconvenient forum.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22.</w:t>
      </w:r>
      <w:r>
        <w:rPr>
          <w:rFonts w:ascii="Times New Roman" w:hAnsi="Times New Roman"/>
          <w:caps w:val="false"/>
          <w:smallCaps w:val="false"/>
          <w:sz w:val="20"/>
          <w:u w:val="single"/>
        </w:rPr>
        <w:t>    Headings</w:t>
      </w:r>
      <w:r>
        <w:rPr>
          <w:rFonts w:ascii="Times New Roman" w:hAnsi="Times New Roman"/>
          <w:caps w:val="false"/>
          <w:smallCaps w:val="false"/>
          <w:sz w:val="20"/>
        </w:rPr>
        <w:t>. The headings of the sections and paragraphs of this Agreement are inserted for convenience only and shall not be deemed to constitute part of this Agreement or to affect the construction or interpretation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23.</w:t>
      </w:r>
      <w:r>
        <w:rPr>
          <w:rFonts w:ascii="Times New Roman" w:hAnsi="Times New Roman"/>
          <w:caps w:val="false"/>
          <w:smallCaps w:val="false"/>
          <w:sz w:val="20"/>
          <w:u w:val="single"/>
        </w:rPr>
        <w:t>    Counterparts</w:t>
      </w:r>
      <w:r>
        <w:rPr>
          <w:rFonts w:ascii="Times New Roman" w:hAnsi="Times New Roman"/>
          <w:caps w:val="false"/>
          <w:smallCaps w:val="false"/>
          <w:sz w:val="20"/>
        </w:rPr>
        <w:t>. This Agreement may be executed in one or more counterparts, each of which shall for all purposes be deemed to be an original, but all of which together shall constitute one and the same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[remainder of page intentionally left blank]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pPr>
      <w:r>
        <w:rPr/>
        <w:t>10</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Indemnification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WITNESS WHEREOF, the parties hereto have executed this Agreement as of the date first above written.</w:t>
      </w:r>
    </w:p>
    <w:p>
      <w:pPr>
        <w:pStyle w:val="TextBody"/>
        <w:spacing w:before="0" w:after="0"/>
        <w:ind w:left="0" w:right="0" w:hanging="0"/>
        <w:rPr>
          <w:caps w:val="false"/>
          <w:smallCaps w:val="false"/>
        </w:rPr>
      </w:pPr>
      <w:r>
        <w:rPr>
          <w:caps w:val="false"/>
          <w:smallCaps w:val="false"/>
        </w:rPr>
        <w:t> </w:t>
      </w:r>
    </w:p>
    <w:p>
      <w:pPr>
        <w:pStyle w:val="TextBody"/>
        <w:spacing w:before="0" w:after="0"/>
        <w:ind w:left="4320" w:right="0" w:firstLine="720"/>
        <w:rPr>
          <w:rFonts w:ascii="Times New Roman" w:hAnsi="Times New Roman"/>
          <w:caps w:val="false"/>
          <w:smallCaps w:val="false"/>
          <w:sz w:val="20"/>
        </w:rPr>
      </w:pPr>
      <w:r>
        <w:rPr>
          <w:rFonts w:ascii="Times New Roman" w:hAnsi="Times New Roman"/>
          <w:caps w:val="false"/>
          <w:smallCaps w:val="false"/>
          <w:sz w:val="20"/>
        </w:rPr>
        <w:t>COMPANY:</w:t>
      </w:r>
    </w:p>
    <w:p>
      <w:pPr>
        <w:pStyle w:val="TextBody"/>
        <w:spacing w:before="0" w:after="0"/>
        <w:ind w:left="4320" w:right="0" w:firstLine="720"/>
        <w:rPr>
          <w:rFonts w:ascii="Times New Roman" w:hAnsi="Times New Roman"/>
          <w:caps w:val="false"/>
          <w:smallCaps w:val="false"/>
          <w:sz w:val="20"/>
        </w:rPr>
      </w:pPr>
      <w:r>
        <w:rPr>
          <w:rFonts w:ascii="Times New Roman" w:hAnsi="Times New Roman"/>
          <w:caps w:val="false"/>
          <w:smallCaps w:val="false"/>
          <w:sz w:val="20"/>
        </w:rPr>
        <w:t>HealthStream, Inc.</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900"/>
        <w:rPr>
          <w:rFonts w:ascii="Times New Roman" w:hAnsi="Times New Roman"/>
          <w:caps w:val="false"/>
          <w:smallCaps w:val="false"/>
          <w:sz w:val="20"/>
        </w:rPr>
      </w:pPr>
      <w:r>
        <w:rPr>
          <w:rFonts w:ascii="Times New Roman" w:hAnsi="Times New Roman"/>
          <w:caps w:val="false"/>
          <w:smallCaps w:val="false"/>
          <w:sz w:val="20"/>
        </w:rPr>
        <w:t>By:______________________________</w:t>
      </w:r>
    </w:p>
    <w:p>
      <w:pPr>
        <w:pStyle w:val="TextBody"/>
        <w:spacing w:before="0" w:after="0"/>
        <w:ind w:left="1440" w:right="0" w:firstLine="900"/>
        <w:rPr>
          <w:rFonts w:ascii="Times New Roman" w:hAnsi="Times New Roman"/>
          <w:caps w:val="false"/>
          <w:smallCaps w:val="false"/>
          <w:sz w:val="20"/>
        </w:rPr>
      </w:pPr>
      <w:r>
        <w:rPr>
          <w:rFonts w:ascii="Times New Roman" w:hAnsi="Times New Roman"/>
          <w:caps w:val="false"/>
          <w:smallCaps w:val="false"/>
          <w:sz w:val="20"/>
        </w:rPr>
        <w:t>Name:___________________________</w:t>
      </w:r>
    </w:p>
    <w:p>
      <w:pPr>
        <w:pStyle w:val="TextBody"/>
        <w:spacing w:before="0" w:after="0"/>
        <w:ind w:left="1440" w:right="0" w:firstLine="900"/>
        <w:rPr>
          <w:rFonts w:ascii="Times New Roman" w:hAnsi="Times New Roman"/>
          <w:caps w:val="false"/>
          <w:smallCaps w:val="false"/>
          <w:sz w:val="20"/>
        </w:rPr>
      </w:pPr>
      <w:r>
        <w:rPr>
          <w:rFonts w:ascii="Times New Roman" w:hAnsi="Times New Roman"/>
          <w:caps w:val="false"/>
          <w:smallCaps w:val="false"/>
          <w:sz w:val="20"/>
        </w:rPr>
        <w:t>Its:______________________________</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900"/>
        <w:rPr>
          <w:rFonts w:ascii="Times New Roman" w:hAnsi="Times New Roman"/>
          <w:caps w:val="false"/>
          <w:smallCaps w:val="false"/>
          <w:sz w:val="20"/>
        </w:rPr>
      </w:pPr>
      <w:r>
        <w:rPr>
          <w:rFonts w:ascii="Times New Roman" w:hAnsi="Times New Roman"/>
          <w:caps w:val="false"/>
          <w:smallCaps w:val="false"/>
          <w:sz w:val="20"/>
        </w:rPr>
        <w:t>INDEMNITEE: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900"/>
        <w:rPr>
          <w:rFonts w:ascii="Times New Roman" w:hAnsi="Times New Roman"/>
          <w:caps w:val="false"/>
          <w:smallCaps w:val="false"/>
          <w:sz w:val="20"/>
        </w:rPr>
      </w:pPr>
      <w:r>
        <w:rPr>
          <w:rFonts w:ascii="Times New Roman" w:hAnsi="Times New Roman"/>
          <w:caps w:val="false"/>
          <w:smallCaps w:val="false"/>
          <w:sz w:val="20"/>
        </w:rPr>
        <w:t>________________________________</w:t>
      </w:r>
    </w:p>
    <w:p>
      <w:pPr>
        <w:pStyle w:val="TextBody"/>
        <w:spacing w:before="0" w:after="0"/>
        <w:ind w:left="1440" w:right="0" w:firstLine="900"/>
        <w:rPr>
          <w:rFonts w:ascii="Times New Roman" w:hAnsi="Times New Roman"/>
          <w:caps w:val="false"/>
          <w:smallCaps w:val="false"/>
          <w:sz w:val="20"/>
        </w:rPr>
      </w:pPr>
      <w:r>
        <w:rPr>
          <w:rFonts w:ascii="Times New Roman" w:hAnsi="Times New Roman"/>
          <w:caps w:val="false"/>
          <w:smallCaps w:val="false"/>
          <w:sz w:val="20"/>
        </w:rPr>
        <w:t>{Name of Director}</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900"/>
        <w:rPr>
          <w:rFonts w:ascii="Times New Roman" w:hAnsi="Times New Roman"/>
          <w:caps w:val="false"/>
          <w:smallCaps w:val="false"/>
          <w:sz w:val="20"/>
        </w:rPr>
      </w:pPr>
      <w:r>
        <w:rPr>
          <w:rFonts w:ascii="Times New Roman" w:hAnsi="Times New Roman"/>
          <w:caps w:val="false"/>
          <w:smallCaps w:val="false"/>
          <w:sz w:val="20"/>
        </w:rPr>
        <w:t>Address:</w:t>
      </w:r>
    </w:p>
    <w:p>
      <w:pPr>
        <w:pStyle w:val="TextBody"/>
        <w:spacing w:before="0" w:after="0"/>
        <w:ind w:left="0" w:right="0" w:firstLine="720"/>
        <w:rPr>
          <w:caps w:val="false"/>
          <w:smallCaps w:val="false"/>
        </w:rPr>
      </w:pPr>
      <w:r>
        <w:rPr>
          <w:caps w:val="false"/>
          <w:smallCaps w:val="false"/>
        </w:rPr>
        <w:t> </w:t>
      </w:r>
    </w:p>
    <w:p>
      <w:pPr>
        <w:pStyle w:val="TextBody"/>
        <w:spacing w:before="0" w:after="0"/>
        <w:ind w:left="1440" w:right="0" w:firstLine="900"/>
        <w:rPr>
          <w:rFonts w:ascii="Times New Roman" w:hAnsi="Times New Roman"/>
          <w:caps w:val="false"/>
          <w:smallCaps w:val="false"/>
          <w:sz w:val="20"/>
        </w:rPr>
      </w:pPr>
      <w:r>
        <w:rPr>
          <w:rFonts w:ascii="Times New Roman" w:hAnsi="Times New Roman"/>
          <w:caps w:val="false"/>
          <w:smallCaps w:val="false"/>
          <w:sz w:val="20"/>
        </w:rPr>
        <w:t>_______________________________</w:t>
      </w:r>
    </w:p>
    <w:p>
      <w:pPr>
        <w:pStyle w:val="TextBody"/>
        <w:spacing w:before="0" w:after="0"/>
        <w:ind w:left="1440" w:right="0" w:firstLine="900"/>
        <w:rPr>
          <w:rFonts w:ascii="Times New Roman" w:hAnsi="Times New Roman"/>
          <w:caps w:val="false"/>
          <w:smallCaps w:val="false"/>
          <w:sz w:val="20"/>
        </w:rPr>
      </w:pPr>
      <w:r>
        <w:rPr>
          <w:rFonts w:ascii="Times New Roman" w:hAnsi="Times New Roman"/>
          <w:caps w:val="false"/>
          <w:smallCaps w:val="false"/>
          <w:sz w:val="20"/>
        </w:rPr>
        <w:t>_______________________________</w:t>
      </w:r>
    </w:p>
    <w:p>
      <w:pPr>
        <w:pStyle w:val="TextBody"/>
        <w:spacing w:before="0" w:after="0"/>
        <w:ind w:left="1440" w:right="0" w:firstLine="900"/>
        <w:rPr>
          <w:rFonts w:ascii="Times New Roman" w:hAnsi="Times New Roman"/>
          <w:caps w:val="false"/>
          <w:smallCaps w:val="false"/>
          <w:sz w:val="20"/>
        </w:rPr>
      </w:pPr>
      <w:r>
        <w:rPr>
          <w:rFonts w:ascii="Times New Roman" w:hAnsi="Times New Roman"/>
          <w:caps w:val="false"/>
          <w:smallCaps w:val="false"/>
          <w:sz w:val="20"/>
        </w:rPr>
        <w:t>_______________________________</w:t>
      </w:r>
    </w:p>
    <w:p>
      <w:pPr>
        <w:pStyle w:val="TextBody"/>
        <w:spacing w:before="0" w:after="0"/>
        <w:ind w:left="1440" w:right="0" w:firstLine="900"/>
        <w:rPr>
          <w:caps w:val="false"/>
          <w:smallCaps w:val="false"/>
        </w:rPr>
      </w:pPr>
      <w:r>
        <w:rPr>
          <w:caps w:val="false"/>
          <w:smallCaps w:val="false"/>
        </w:rPr>
        <w:t> </w:t>
      </w:r>
    </w:p>
    <w:p>
      <w:pPr>
        <w:pStyle w:val="TextBody"/>
        <w:spacing w:before="0" w:after="0"/>
        <w:ind w:left="1440" w:right="0" w:firstLine="900"/>
        <w:rPr>
          <w:caps w:val="false"/>
          <w:smallCaps w:val="false"/>
        </w:rPr>
      </w:pPr>
      <w:r>
        <w:rPr>
          <w:caps w:val="false"/>
          <w:smallCaps w:val="false"/>
        </w:rPr>
        <w:t> </w:t>
      </w:r>
    </w:p>
    <w:p>
      <w:pPr>
        <w:pStyle w:val="TextBody"/>
        <w:spacing w:before="0" w:after="0"/>
        <w:ind w:left="1440" w:right="0" w:firstLine="90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11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caps w:val="false"/>
          <w:smallCaps w:val="false"/>
          <w:sz w:val="20"/>
        </w:rPr>
      </w:pPr>
      <w:bookmarkStart w:id="38" w:name="ex_313289.htm"/>
      <w:bookmarkStart w:id="39" w:name="ksex_313289"/>
      <w:bookmarkEnd w:id="38"/>
      <w:bookmarkEnd w:id="39"/>
      <w:r>
        <w:rPr>
          <w:rFonts w:ascii="Times New Roman" w:hAnsi="Times New Roman"/>
          <w:caps w:val="false"/>
          <w:smallCaps w:val="false"/>
          <w:sz w:val="20"/>
        </w:rPr>
        <w:t>EXHIBIT 10.4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 of Director and Executive Officer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b/>
          <w:caps w:val="false"/>
          <w:smallCaps w:val="false"/>
          <w:sz w:val="20"/>
        </w:rPr>
        <w:t>Director Compensation</w:t>
      </w:r>
      <w:r>
        <w:rPr>
          <w:rFonts w:ascii="Times New Roman" w:hAnsi="Times New Roman"/>
          <w:caps w:val="false"/>
          <w:smallCaps w:val="false"/>
          <w:sz w:val="20"/>
        </w:rPr>
        <w:t xml:space="preserve">. Directors who are employees of the Company do not receive additional compensation for serving as directors of the Company. For fiscal year </w:t>
      </w:r>
      <w:bookmarkStart w:id="40" w:name="led198663F20211161638823766537"/>
      <w:bookmarkEnd w:id="40"/>
      <w:r>
        <w:rPr>
          <w:rFonts w:ascii="Times New Roman" w:hAnsi="Times New Roman"/>
          <w:caps w:val="false"/>
          <w:smallCaps w:val="false"/>
          <w:sz w:val="20"/>
        </w:rPr>
        <w:t>2021, each director received an annual retainer of $5,000, except for the Audit Committee Chair and Nominating and Corporate Governance Chair, who received an additional annual retainer of $7,500, and the Compensation Committee Chair, who received an additional annual retainer of $2,000. Non-employee directors also received a $20,000 flat-fee, except for members of the Audit Committee who received $22,500, for board and committee meeting attendance and participation in lieu of per meeting fees.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cash compensation set forth above, each non-employee director is eligible to receive a nondiscretionary annual grant of restricted share units. The restricted share units are granted annually and vest ratably over a three-year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 compensation for 2022 has not yet been determined by the Compensation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b/>
          <w:caps w:val="false"/>
          <w:smallCaps w:val="false"/>
          <w:sz w:val="20"/>
        </w:rPr>
        <w:t>Executive Officer Compensation</w:t>
      </w:r>
      <w:r>
        <w:rPr>
          <w:rFonts w:ascii="Times New Roman" w:hAnsi="Times New Roman"/>
          <w:caps w:val="false"/>
          <w:smallCaps w:val="false"/>
          <w:sz w:val="20"/>
        </w:rPr>
        <w:t xml:space="preserve">. The following table sets forth the current base salaries and fiscal </w:t>
      </w:r>
      <w:bookmarkStart w:id="41" w:name="led198663F202111616388237665371"/>
      <w:bookmarkEnd w:id="41"/>
      <w:r>
        <w:rPr>
          <w:rFonts w:ascii="Times New Roman" w:hAnsi="Times New Roman"/>
          <w:caps w:val="false"/>
          <w:smallCaps w:val="false"/>
          <w:sz w:val="20"/>
        </w:rPr>
        <w:t>2021 performance bonuses to be provided to our executive officers upon review and approval by the Compensation Committee, including the individuals who the Company expects to be its Named Executive Officers for 2022.</w:t>
      </w:r>
    </w:p>
    <w:p>
      <w:pPr>
        <w:pStyle w:val="TextBody"/>
        <w:spacing w:before="0" w:after="0"/>
        <w:ind w:left="0" w:right="0" w:hanging="0"/>
        <w:rPr>
          <w:caps w:val="false"/>
          <w:smallCaps w:val="false"/>
        </w:rPr>
      </w:pPr>
      <w:r>
        <w:rPr>
          <w:caps w:val="false"/>
          <w:smallCaps w:val="false"/>
        </w:rPr>
        <w:t> </w:t>
      </w:r>
    </w:p>
    <w:tbl>
      <w:tblPr>
        <w:tblW w:w="6268" w:type="dxa"/>
        <w:jc w:val="left"/>
        <w:tblInd w:w="0" w:type="dxa"/>
        <w:tblCellMar>
          <w:top w:w="0" w:type="dxa"/>
          <w:left w:w="0" w:type="dxa"/>
          <w:bottom w:w="28" w:type="dxa"/>
          <w:right w:w="0" w:type="dxa"/>
        </w:tblCellMar>
      </w:tblPr>
      <w:tblGrid>
        <w:gridCol w:w="1895"/>
        <w:gridCol w:w="60"/>
        <w:gridCol w:w="268"/>
        <w:gridCol w:w="1491"/>
        <w:gridCol w:w="60"/>
        <w:gridCol w:w="60"/>
        <w:gridCol w:w="362"/>
        <w:gridCol w:w="2012"/>
        <w:gridCol w:w="60"/>
      </w:tblGrid>
      <w:tr>
        <w:trPr/>
        <w:tc>
          <w:tcPr>
            <w:tcW w:w="1895" w:type="dxa"/>
            <w:tcBorders>
              <w:bottom w:val="single" w:sz="2" w:space="0" w:color="000000"/>
            </w:tcBorders>
            <w:shd w:fill="auto"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Executive Officer</w:t>
            </w:r>
            <w:bookmarkStart w:id="42" w:name=".lead.D2"/>
            <w:bookmarkEnd w:id="42"/>
          </w:p>
        </w:tc>
        <w:tc>
          <w:tcPr>
            <w:tcW w:w="60" w:type="dxa"/>
            <w:tcBorders>
              <w:bottom w:val="single" w:sz="2" w:space="0" w:color="000000"/>
            </w:tcBorders>
            <w:shd w:fill="auto" w:val="clear"/>
            <w:vAlign w:val="center"/>
          </w:tcPr>
          <w:p>
            <w:pPr>
              <w:pStyle w:val="TableContents"/>
              <w:spacing w:before="0" w:after="283"/>
              <w:ind w:left="0" w:right="0" w:hanging="0"/>
              <w:rPr/>
            </w:pPr>
            <w:r>
              <w:rPr/>
              <w:t> </w:t>
            </w:r>
            <w:bookmarkStart w:id="43" w:name=".amt.D2"/>
            <w:bookmarkEnd w:id="43"/>
          </w:p>
        </w:tc>
        <w:tc>
          <w:tcPr>
            <w:tcW w:w="1759"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Base Salary</w:t>
            </w:r>
            <w:bookmarkStart w:id="44" w:name=".trail.D2"/>
            <w:bookmarkEnd w:id="44"/>
          </w:p>
        </w:tc>
        <w:tc>
          <w:tcPr>
            <w:tcW w:w="60" w:type="dxa"/>
            <w:tcBorders>
              <w:bottom w:val="single" w:sz="2" w:space="0" w:color="000000"/>
            </w:tcBorders>
            <w:shd w:fill="auto" w:val="clear"/>
            <w:vAlign w:val="center"/>
          </w:tcPr>
          <w:p>
            <w:pPr>
              <w:pStyle w:val="TableContents"/>
              <w:spacing w:before="0" w:after="283"/>
              <w:rPr/>
            </w:pPr>
            <w:r>
              <w:rPr/>
              <w:t> </w:t>
            </w:r>
            <w:bookmarkStart w:id="45" w:name=".lead.D3"/>
            <w:bookmarkEnd w:id="45"/>
          </w:p>
        </w:tc>
        <w:tc>
          <w:tcPr>
            <w:tcW w:w="60" w:type="dxa"/>
            <w:tcBorders>
              <w:bottom w:val="single" w:sz="2" w:space="0" w:color="000000"/>
            </w:tcBorders>
            <w:shd w:fill="auto" w:val="clear"/>
            <w:vAlign w:val="center"/>
          </w:tcPr>
          <w:p>
            <w:pPr>
              <w:pStyle w:val="TableContents"/>
              <w:spacing w:before="0" w:after="283"/>
              <w:ind w:left="0" w:right="0" w:hanging="0"/>
              <w:rPr/>
            </w:pPr>
            <w:r>
              <w:rPr/>
              <w:t> </w:t>
            </w:r>
            <w:bookmarkStart w:id="46" w:name=".amt.D3"/>
            <w:bookmarkEnd w:id="46"/>
          </w:p>
        </w:tc>
        <w:tc>
          <w:tcPr>
            <w:tcW w:w="2374" w:type="dxa"/>
            <w:gridSpan w:val="2"/>
            <w:tcBorders>
              <w:bottom w:val="single" w:sz="2" w:space="0" w:color="000000"/>
            </w:tcBorders>
            <w:shd w:fill="auto" w:val="clear"/>
            <w:vAlign w:val="center"/>
          </w:tcPr>
          <w:p>
            <w:pPr>
              <w:pStyle w:val="TableContents"/>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2021 Bonus Amount</w:t>
            </w:r>
            <w:r>
              <w:rPr>
                <w:rFonts w:ascii="Times New Roman" w:hAnsi="Times New Roman"/>
                <w:b/>
                <w:caps w:val="false"/>
                <w:smallCaps w:val="false"/>
                <w:sz w:val="18"/>
              </w:rPr>
              <w:t>1</w:t>
            </w:r>
            <w:bookmarkStart w:id="47" w:name=".trail.D3"/>
            <w:bookmarkEnd w:id="47"/>
          </w:p>
        </w:tc>
        <w:tc>
          <w:tcPr>
            <w:tcW w:w="60" w:type="dxa"/>
            <w:tcBorders/>
            <w:shd w:fill="auto" w:val="clear"/>
            <w:tcMar>
              <w:bottom w:w="0" w:type="dxa"/>
            </w:tcMar>
            <w:vAlign w:val="center"/>
          </w:tcPr>
          <w:p>
            <w:pPr>
              <w:pStyle w:val="TableContents"/>
              <w:spacing w:before="0" w:after="283"/>
              <w:rPr/>
            </w:pPr>
            <w:r>
              <w:rPr/>
              <w:t> </w:t>
            </w:r>
          </w:p>
        </w:tc>
      </w:tr>
      <w:tr>
        <w:trPr/>
        <w:tc>
          <w:tcPr>
            <w:tcW w:w="1895" w:type="dxa"/>
            <w:tcBorders/>
            <w:shd w:fill="auto" w:val="clear"/>
            <w:tcMar>
              <w:bottom w:w="0" w:type="dxa"/>
            </w:tcM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Robert A. Frist, Jr.</w:t>
            </w:r>
            <w:bookmarkStart w:id="48" w:name=".lead.2"/>
            <w:bookmarkEnd w:id="48"/>
          </w:p>
        </w:tc>
        <w:tc>
          <w:tcPr>
            <w:tcW w:w="60" w:type="dxa"/>
            <w:tcBorders/>
            <w:shd w:fill="auto" w:val="clear"/>
            <w:tcMar>
              <w:bottom w:w="0" w:type="dxa"/>
            </w:tcMar>
            <w:vAlign w:val="center"/>
          </w:tcPr>
          <w:p>
            <w:pPr>
              <w:pStyle w:val="TableContents"/>
              <w:spacing w:before="0" w:after="283"/>
              <w:ind w:left="0" w:right="0" w:hanging="0"/>
              <w:rPr/>
            </w:pPr>
            <w:r>
              <w:rPr/>
              <w:t> </w:t>
            </w:r>
            <w:bookmarkStart w:id="49" w:name=".symb.2"/>
            <w:bookmarkEnd w:id="49"/>
          </w:p>
        </w:tc>
        <w:tc>
          <w:tcPr>
            <w:tcW w:w="268"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50" w:name=".amt.2"/>
            <w:bookmarkEnd w:id="50"/>
          </w:p>
        </w:tc>
        <w:tc>
          <w:tcPr>
            <w:tcW w:w="1491"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365,000</w:t>
            </w:r>
            <w:bookmarkStart w:id="51" w:name=".trail.2"/>
            <w:bookmarkEnd w:id="51"/>
          </w:p>
        </w:tc>
        <w:tc>
          <w:tcPr>
            <w:tcW w:w="60" w:type="dxa"/>
            <w:tcBorders/>
            <w:shd w:fill="auto" w:val="clear"/>
            <w:tcMar>
              <w:bottom w:w="0" w:type="dxa"/>
            </w:tcMar>
            <w:vAlign w:val="center"/>
          </w:tcPr>
          <w:p>
            <w:pPr>
              <w:pStyle w:val="TableContents"/>
              <w:spacing w:before="0" w:after="283"/>
              <w:rPr/>
            </w:pPr>
            <w:r>
              <w:rPr/>
              <w:t> </w:t>
            </w:r>
            <w:bookmarkStart w:id="52" w:name=".lead.3"/>
            <w:bookmarkEnd w:id="52"/>
          </w:p>
        </w:tc>
        <w:tc>
          <w:tcPr>
            <w:tcW w:w="60" w:type="dxa"/>
            <w:tcBorders/>
            <w:shd w:fill="auto" w:val="clear"/>
            <w:tcMar>
              <w:bottom w:w="0" w:type="dxa"/>
            </w:tcMar>
            <w:vAlign w:val="center"/>
          </w:tcPr>
          <w:p>
            <w:pPr>
              <w:pStyle w:val="TableContents"/>
              <w:spacing w:before="0" w:after="283"/>
              <w:ind w:left="0" w:right="0" w:hanging="0"/>
              <w:rPr/>
            </w:pPr>
            <w:r>
              <w:rPr/>
              <w:t> </w:t>
            </w:r>
            <w:bookmarkStart w:id="53" w:name=".symb.3"/>
            <w:bookmarkEnd w:id="53"/>
          </w:p>
        </w:tc>
        <w:tc>
          <w:tcPr>
            <w:tcW w:w="362"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54" w:name=".amt.3"/>
            <w:bookmarkEnd w:id="54"/>
          </w:p>
        </w:tc>
        <w:tc>
          <w:tcPr>
            <w:tcW w:w="2012"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146,000</w:t>
            </w:r>
            <w:bookmarkStart w:id="55" w:name=".trail.3"/>
            <w:bookmarkEnd w:id="55"/>
          </w:p>
        </w:tc>
        <w:tc>
          <w:tcPr>
            <w:tcW w:w="60" w:type="dxa"/>
            <w:tcBorders/>
            <w:shd w:fill="auto" w:val="clear"/>
            <w:tcMar>
              <w:bottom w:w="0" w:type="dxa"/>
            </w:tcMar>
            <w:vAlign w:val="center"/>
          </w:tcPr>
          <w:p>
            <w:pPr>
              <w:pStyle w:val="TableContents"/>
              <w:spacing w:before="0" w:after="283"/>
              <w:rPr/>
            </w:pPr>
            <w:r>
              <w:rPr/>
              <w:t> </w:t>
            </w:r>
          </w:p>
        </w:tc>
      </w:tr>
      <w:tr>
        <w:trPr/>
        <w:tc>
          <w:tcPr>
            <w:tcW w:w="1895" w:type="dxa"/>
            <w:tcBorders/>
            <w:shd w:fill="auto" w:val="clear"/>
            <w:tcMar>
              <w:bottom w:w="0" w:type="dxa"/>
            </w:tcM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J. Edward Pearson</w:t>
            </w:r>
            <w:bookmarkStart w:id="56" w:name=".lead.21"/>
            <w:bookmarkStart w:id="57" w:name=".lead.22"/>
            <w:bookmarkEnd w:id="56"/>
            <w:bookmarkEnd w:id="57"/>
          </w:p>
        </w:tc>
        <w:tc>
          <w:tcPr>
            <w:tcW w:w="60" w:type="dxa"/>
            <w:tcBorders/>
            <w:shd w:fill="auto" w:val="clear"/>
            <w:tcMar>
              <w:bottom w:w="0" w:type="dxa"/>
            </w:tcMar>
            <w:vAlign w:val="center"/>
          </w:tcPr>
          <w:p>
            <w:pPr>
              <w:pStyle w:val="TableContents"/>
              <w:spacing w:before="0" w:after="283"/>
              <w:ind w:left="0" w:right="0" w:hanging="0"/>
              <w:rPr/>
            </w:pPr>
            <w:r>
              <w:rPr/>
              <w:t> </w:t>
            </w:r>
            <w:bookmarkStart w:id="58" w:name=".symb.21"/>
            <w:bookmarkStart w:id="59" w:name=".symb.22"/>
            <w:bookmarkEnd w:id="58"/>
            <w:bookmarkEnd w:id="59"/>
          </w:p>
        </w:tc>
        <w:tc>
          <w:tcPr>
            <w:tcW w:w="268"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60" w:name=".amt.21"/>
            <w:bookmarkStart w:id="61" w:name=".amt.22"/>
            <w:bookmarkEnd w:id="60"/>
            <w:bookmarkEnd w:id="61"/>
          </w:p>
        </w:tc>
        <w:tc>
          <w:tcPr>
            <w:tcW w:w="1491"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355,000</w:t>
            </w:r>
            <w:bookmarkStart w:id="62" w:name=".trail.21"/>
            <w:bookmarkStart w:id="63" w:name=".trail.22"/>
            <w:bookmarkEnd w:id="62"/>
            <w:bookmarkEnd w:id="63"/>
          </w:p>
        </w:tc>
        <w:tc>
          <w:tcPr>
            <w:tcW w:w="60" w:type="dxa"/>
            <w:tcBorders/>
            <w:shd w:fill="auto" w:val="clear"/>
            <w:tcMar>
              <w:bottom w:w="0" w:type="dxa"/>
            </w:tcMar>
            <w:vAlign w:val="center"/>
          </w:tcPr>
          <w:p>
            <w:pPr>
              <w:pStyle w:val="TableContents"/>
              <w:spacing w:before="0" w:after="283"/>
              <w:rPr/>
            </w:pPr>
            <w:r>
              <w:rPr/>
              <w:t> </w:t>
            </w:r>
            <w:bookmarkStart w:id="64" w:name=".lead.31"/>
            <w:bookmarkStart w:id="65" w:name=".lead.32"/>
            <w:bookmarkEnd w:id="64"/>
            <w:bookmarkEnd w:id="65"/>
          </w:p>
        </w:tc>
        <w:tc>
          <w:tcPr>
            <w:tcW w:w="60" w:type="dxa"/>
            <w:tcBorders/>
            <w:shd w:fill="auto" w:val="clear"/>
            <w:tcMar>
              <w:bottom w:w="0" w:type="dxa"/>
            </w:tcMar>
            <w:vAlign w:val="center"/>
          </w:tcPr>
          <w:p>
            <w:pPr>
              <w:pStyle w:val="TableContents"/>
              <w:spacing w:before="0" w:after="283"/>
              <w:ind w:left="0" w:right="0" w:hanging="0"/>
              <w:rPr/>
            </w:pPr>
            <w:r>
              <w:rPr/>
              <w:t> </w:t>
            </w:r>
            <w:bookmarkStart w:id="66" w:name=".symb.31"/>
            <w:bookmarkStart w:id="67" w:name=".symb.32"/>
            <w:bookmarkEnd w:id="66"/>
            <w:bookmarkEnd w:id="67"/>
          </w:p>
        </w:tc>
        <w:tc>
          <w:tcPr>
            <w:tcW w:w="362"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68" w:name=".amt.31"/>
            <w:bookmarkStart w:id="69" w:name=".amt.32"/>
            <w:bookmarkEnd w:id="68"/>
            <w:bookmarkEnd w:id="69"/>
          </w:p>
        </w:tc>
        <w:tc>
          <w:tcPr>
            <w:tcW w:w="2012"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142,000</w:t>
            </w:r>
            <w:bookmarkStart w:id="70" w:name=".trail.31"/>
            <w:bookmarkStart w:id="71" w:name=".trail.32"/>
            <w:bookmarkEnd w:id="70"/>
            <w:bookmarkEnd w:id="71"/>
          </w:p>
        </w:tc>
        <w:tc>
          <w:tcPr>
            <w:tcW w:w="60" w:type="dxa"/>
            <w:tcBorders/>
            <w:shd w:fill="auto" w:val="clear"/>
            <w:tcMar>
              <w:bottom w:w="0" w:type="dxa"/>
            </w:tcMar>
            <w:vAlign w:val="center"/>
          </w:tcPr>
          <w:p>
            <w:pPr>
              <w:pStyle w:val="TableContents"/>
              <w:spacing w:before="0" w:after="283"/>
              <w:rPr/>
            </w:pPr>
            <w:r>
              <w:rPr/>
              <w:t> </w:t>
            </w:r>
          </w:p>
        </w:tc>
      </w:tr>
      <w:tr>
        <w:trPr/>
        <w:tc>
          <w:tcPr>
            <w:tcW w:w="1895" w:type="dxa"/>
            <w:tcBorders/>
            <w:shd w:fill="auto" w:val="clear"/>
            <w:tcMar>
              <w:bottom w:w="0" w:type="dxa"/>
            </w:tcM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Michael Sousa</w:t>
            </w:r>
            <w:bookmarkStart w:id="72" w:name=".lead.23"/>
            <w:bookmarkStart w:id="73" w:name=".lead.24"/>
            <w:bookmarkEnd w:id="72"/>
            <w:bookmarkEnd w:id="73"/>
          </w:p>
        </w:tc>
        <w:tc>
          <w:tcPr>
            <w:tcW w:w="60" w:type="dxa"/>
            <w:tcBorders/>
            <w:shd w:fill="auto" w:val="clear"/>
            <w:tcMar>
              <w:bottom w:w="0" w:type="dxa"/>
            </w:tcMar>
            <w:vAlign w:val="center"/>
          </w:tcPr>
          <w:p>
            <w:pPr>
              <w:pStyle w:val="TableContents"/>
              <w:spacing w:before="0" w:after="283"/>
              <w:ind w:left="0" w:right="0" w:hanging="0"/>
              <w:rPr/>
            </w:pPr>
            <w:r>
              <w:rPr/>
              <w:t> </w:t>
            </w:r>
            <w:bookmarkStart w:id="74" w:name=".symb.23"/>
            <w:bookmarkStart w:id="75" w:name=".symb.24"/>
            <w:bookmarkEnd w:id="74"/>
            <w:bookmarkEnd w:id="75"/>
          </w:p>
        </w:tc>
        <w:tc>
          <w:tcPr>
            <w:tcW w:w="268"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76" w:name=".amt.23"/>
            <w:bookmarkStart w:id="77" w:name=".amt.24"/>
            <w:bookmarkEnd w:id="76"/>
            <w:bookmarkEnd w:id="77"/>
          </w:p>
        </w:tc>
        <w:tc>
          <w:tcPr>
            <w:tcW w:w="1491"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355,000</w:t>
            </w:r>
            <w:bookmarkStart w:id="78" w:name=".trail.23"/>
            <w:bookmarkStart w:id="79" w:name=".trail.24"/>
            <w:bookmarkEnd w:id="78"/>
            <w:bookmarkEnd w:id="79"/>
          </w:p>
        </w:tc>
        <w:tc>
          <w:tcPr>
            <w:tcW w:w="60" w:type="dxa"/>
            <w:tcBorders/>
            <w:shd w:fill="auto" w:val="clear"/>
            <w:tcMar>
              <w:bottom w:w="0" w:type="dxa"/>
            </w:tcMar>
            <w:vAlign w:val="center"/>
          </w:tcPr>
          <w:p>
            <w:pPr>
              <w:pStyle w:val="TableContents"/>
              <w:spacing w:before="0" w:after="283"/>
              <w:rPr/>
            </w:pPr>
            <w:r>
              <w:rPr/>
              <w:t> </w:t>
            </w:r>
            <w:bookmarkStart w:id="80" w:name=".lead.33"/>
            <w:bookmarkStart w:id="81" w:name=".lead.34"/>
            <w:bookmarkEnd w:id="80"/>
            <w:bookmarkEnd w:id="81"/>
          </w:p>
        </w:tc>
        <w:tc>
          <w:tcPr>
            <w:tcW w:w="60" w:type="dxa"/>
            <w:tcBorders/>
            <w:shd w:fill="auto" w:val="clear"/>
            <w:tcMar>
              <w:bottom w:w="0" w:type="dxa"/>
            </w:tcMar>
            <w:vAlign w:val="center"/>
          </w:tcPr>
          <w:p>
            <w:pPr>
              <w:pStyle w:val="TableContents"/>
              <w:spacing w:before="0" w:after="283"/>
              <w:ind w:left="0" w:right="0" w:hanging="0"/>
              <w:rPr/>
            </w:pPr>
            <w:r>
              <w:rPr/>
              <w:t> </w:t>
            </w:r>
            <w:bookmarkStart w:id="82" w:name=".symb.33"/>
            <w:bookmarkStart w:id="83" w:name=".symb.34"/>
            <w:bookmarkEnd w:id="82"/>
            <w:bookmarkEnd w:id="83"/>
          </w:p>
        </w:tc>
        <w:tc>
          <w:tcPr>
            <w:tcW w:w="362"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84" w:name=".amt.33"/>
            <w:bookmarkStart w:id="85" w:name=".amt.34"/>
            <w:bookmarkEnd w:id="84"/>
            <w:bookmarkEnd w:id="85"/>
          </w:p>
        </w:tc>
        <w:tc>
          <w:tcPr>
            <w:tcW w:w="2012"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142,000</w:t>
            </w:r>
            <w:bookmarkStart w:id="86" w:name=".trail.33"/>
            <w:bookmarkStart w:id="87" w:name=".trail.34"/>
            <w:bookmarkEnd w:id="86"/>
            <w:bookmarkEnd w:id="87"/>
          </w:p>
        </w:tc>
        <w:tc>
          <w:tcPr>
            <w:tcW w:w="60" w:type="dxa"/>
            <w:tcBorders/>
            <w:shd w:fill="auto" w:val="clear"/>
            <w:tcMar>
              <w:bottom w:w="0" w:type="dxa"/>
            </w:tcMar>
            <w:vAlign w:val="center"/>
          </w:tcPr>
          <w:p>
            <w:pPr>
              <w:pStyle w:val="TableContents"/>
              <w:spacing w:before="0" w:after="283"/>
              <w:rPr/>
            </w:pPr>
            <w:r>
              <w:rPr/>
              <w:t> </w:t>
            </w:r>
          </w:p>
        </w:tc>
      </w:tr>
      <w:tr>
        <w:trPr/>
        <w:tc>
          <w:tcPr>
            <w:tcW w:w="1895" w:type="dxa"/>
            <w:tcBorders/>
            <w:shd w:fill="auto" w:val="clear"/>
            <w:tcMar>
              <w:bottom w:w="0" w:type="dxa"/>
            </w:tcM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Scott A. Roberts</w:t>
            </w:r>
            <w:bookmarkStart w:id="88" w:name=".lead.25"/>
            <w:bookmarkStart w:id="89" w:name=".lead.26"/>
            <w:bookmarkEnd w:id="88"/>
            <w:bookmarkEnd w:id="89"/>
          </w:p>
        </w:tc>
        <w:tc>
          <w:tcPr>
            <w:tcW w:w="60" w:type="dxa"/>
            <w:tcBorders/>
            <w:shd w:fill="auto" w:val="clear"/>
            <w:tcMar>
              <w:bottom w:w="0" w:type="dxa"/>
            </w:tcMar>
            <w:vAlign w:val="center"/>
          </w:tcPr>
          <w:p>
            <w:pPr>
              <w:pStyle w:val="TableContents"/>
              <w:spacing w:before="0" w:after="283"/>
              <w:ind w:left="0" w:right="0" w:hanging="0"/>
              <w:rPr/>
            </w:pPr>
            <w:r>
              <w:rPr/>
              <w:t> </w:t>
            </w:r>
            <w:bookmarkStart w:id="90" w:name=".symb.25"/>
            <w:bookmarkStart w:id="91" w:name=".symb.26"/>
            <w:bookmarkEnd w:id="90"/>
            <w:bookmarkEnd w:id="91"/>
          </w:p>
        </w:tc>
        <w:tc>
          <w:tcPr>
            <w:tcW w:w="268"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92" w:name=".amt.25"/>
            <w:bookmarkStart w:id="93" w:name=".amt.26"/>
            <w:bookmarkEnd w:id="92"/>
            <w:bookmarkEnd w:id="93"/>
          </w:p>
        </w:tc>
        <w:tc>
          <w:tcPr>
            <w:tcW w:w="1491"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275,000</w:t>
            </w:r>
            <w:bookmarkStart w:id="94" w:name=".trail.25"/>
            <w:bookmarkStart w:id="95" w:name=".trail.26"/>
            <w:bookmarkEnd w:id="94"/>
            <w:bookmarkEnd w:id="95"/>
          </w:p>
        </w:tc>
        <w:tc>
          <w:tcPr>
            <w:tcW w:w="60" w:type="dxa"/>
            <w:tcBorders/>
            <w:shd w:fill="auto" w:val="clear"/>
            <w:tcMar>
              <w:bottom w:w="0" w:type="dxa"/>
            </w:tcMar>
            <w:vAlign w:val="center"/>
          </w:tcPr>
          <w:p>
            <w:pPr>
              <w:pStyle w:val="TableContents"/>
              <w:spacing w:before="0" w:after="283"/>
              <w:rPr/>
            </w:pPr>
            <w:r>
              <w:rPr/>
              <w:t> </w:t>
            </w:r>
            <w:bookmarkStart w:id="96" w:name=".lead.35"/>
            <w:bookmarkStart w:id="97" w:name=".lead.36"/>
            <w:bookmarkEnd w:id="96"/>
            <w:bookmarkEnd w:id="97"/>
          </w:p>
        </w:tc>
        <w:tc>
          <w:tcPr>
            <w:tcW w:w="60" w:type="dxa"/>
            <w:tcBorders/>
            <w:shd w:fill="auto" w:val="clear"/>
            <w:tcMar>
              <w:bottom w:w="0" w:type="dxa"/>
            </w:tcMar>
            <w:vAlign w:val="center"/>
          </w:tcPr>
          <w:p>
            <w:pPr>
              <w:pStyle w:val="TableContents"/>
              <w:spacing w:before="0" w:after="283"/>
              <w:ind w:left="0" w:right="0" w:hanging="0"/>
              <w:rPr/>
            </w:pPr>
            <w:r>
              <w:rPr/>
              <w:t> </w:t>
            </w:r>
            <w:bookmarkStart w:id="98" w:name=".symb.35"/>
            <w:bookmarkStart w:id="99" w:name=".symb.36"/>
            <w:bookmarkEnd w:id="98"/>
            <w:bookmarkEnd w:id="99"/>
          </w:p>
        </w:tc>
        <w:tc>
          <w:tcPr>
            <w:tcW w:w="362"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00" w:name=".amt.35"/>
            <w:bookmarkStart w:id="101" w:name=".amt.36"/>
            <w:bookmarkEnd w:id="100"/>
            <w:bookmarkEnd w:id="101"/>
          </w:p>
        </w:tc>
        <w:tc>
          <w:tcPr>
            <w:tcW w:w="2012"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82,500</w:t>
            </w:r>
            <w:bookmarkStart w:id="102" w:name=".trail.35"/>
            <w:bookmarkStart w:id="103" w:name=".trail.36"/>
            <w:bookmarkEnd w:id="102"/>
            <w:bookmarkEnd w:id="103"/>
          </w:p>
        </w:tc>
        <w:tc>
          <w:tcPr>
            <w:tcW w:w="60" w:type="dxa"/>
            <w:tcBorders/>
            <w:shd w:fill="auto" w:val="clear"/>
            <w:tcMar>
              <w:bottom w:w="0" w:type="dxa"/>
            </w:tcMar>
            <w:vAlign w:val="center"/>
          </w:tcPr>
          <w:p>
            <w:pPr>
              <w:pStyle w:val="TableContents"/>
              <w:spacing w:before="0" w:after="283"/>
              <w:rPr/>
            </w:pPr>
            <w:r>
              <w:rPr/>
              <w:t> </w:t>
            </w:r>
          </w:p>
        </w:tc>
      </w:tr>
      <w:tr>
        <w:trPr/>
        <w:tc>
          <w:tcPr>
            <w:tcW w:w="1895" w:type="dxa"/>
            <w:tcBorders/>
            <w:shd w:fill="auto" w:val="clear"/>
            <w:tcMar>
              <w:bottom w:w="0" w:type="dxa"/>
            </w:tcM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Jeffrey D. Cunningham</w:t>
            </w:r>
            <w:bookmarkStart w:id="104" w:name=".lead.27"/>
            <w:bookmarkStart w:id="105" w:name=".lead.28"/>
            <w:bookmarkEnd w:id="104"/>
            <w:bookmarkEnd w:id="105"/>
          </w:p>
        </w:tc>
        <w:tc>
          <w:tcPr>
            <w:tcW w:w="60" w:type="dxa"/>
            <w:tcBorders/>
            <w:shd w:fill="auto" w:val="clear"/>
            <w:tcMar>
              <w:bottom w:w="0" w:type="dxa"/>
            </w:tcMar>
            <w:vAlign w:val="center"/>
          </w:tcPr>
          <w:p>
            <w:pPr>
              <w:pStyle w:val="TableContents"/>
              <w:spacing w:before="0" w:after="283"/>
              <w:ind w:left="0" w:right="0" w:hanging="0"/>
              <w:rPr/>
            </w:pPr>
            <w:r>
              <w:rPr/>
              <w:t> </w:t>
            </w:r>
            <w:bookmarkStart w:id="106" w:name=".symb.27"/>
            <w:bookmarkStart w:id="107" w:name=".symb.28"/>
            <w:bookmarkEnd w:id="106"/>
            <w:bookmarkEnd w:id="107"/>
          </w:p>
        </w:tc>
        <w:tc>
          <w:tcPr>
            <w:tcW w:w="268"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08" w:name=".amt.27"/>
            <w:bookmarkStart w:id="109" w:name=".amt.28"/>
            <w:bookmarkEnd w:id="108"/>
            <w:bookmarkEnd w:id="109"/>
          </w:p>
        </w:tc>
        <w:tc>
          <w:tcPr>
            <w:tcW w:w="1491"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300,000</w:t>
            </w:r>
            <w:bookmarkStart w:id="110" w:name=".trail.27"/>
            <w:bookmarkStart w:id="111" w:name=".trail.28"/>
            <w:bookmarkEnd w:id="110"/>
            <w:bookmarkEnd w:id="111"/>
          </w:p>
        </w:tc>
        <w:tc>
          <w:tcPr>
            <w:tcW w:w="60" w:type="dxa"/>
            <w:tcBorders/>
            <w:shd w:fill="auto" w:val="clear"/>
            <w:tcMar>
              <w:bottom w:w="0" w:type="dxa"/>
            </w:tcMar>
            <w:vAlign w:val="center"/>
          </w:tcPr>
          <w:p>
            <w:pPr>
              <w:pStyle w:val="TableContents"/>
              <w:spacing w:before="0" w:after="283"/>
              <w:rPr/>
            </w:pPr>
            <w:r>
              <w:rPr/>
              <w:t> </w:t>
            </w:r>
            <w:bookmarkStart w:id="112" w:name=".lead.37"/>
            <w:bookmarkStart w:id="113" w:name=".lead.38"/>
            <w:bookmarkEnd w:id="112"/>
            <w:bookmarkEnd w:id="113"/>
          </w:p>
        </w:tc>
        <w:tc>
          <w:tcPr>
            <w:tcW w:w="60" w:type="dxa"/>
            <w:tcBorders/>
            <w:shd w:fill="auto" w:val="clear"/>
            <w:tcMar>
              <w:bottom w:w="0" w:type="dxa"/>
            </w:tcMar>
            <w:vAlign w:val="center"/>
          </w:tcPr>
          <w:p>
            <w:pPr>
              <w:pStyle w:val="TableContents"/>
              <w:spacing w:before="0" w:after="283"/>
              <w:ind w:left="0" w:right="0" w:hanging="0"/>
              <w:rPr/>
            </w:pPr>
            <w:r>
              <w:rPr/>
              <w:t> </w:t>
            </w:r>
            <w:bookmarkStart w:id="114" w:name=".symb.37"/>
            <w:bookmarkStart w:id="115" w:name=".symb.38"/>
            <w:bookmarkEnd w:id="114"/>
            <w:bookmarkEnd w:id="115"/>
          </w:p>
        </w:tc>
        <w:tc>
          <w:tcPr>
            <w:tcW w:w="362"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16" w:name=".amt.37"/>
            <w:bookmarkStart w:id="117" w:name=".amt.38"/>
            <w:bookmarkEnd w:id="116"/>
            <w:bookmarkEnd w:id="117"/>
          </w:p>
        </w:tc>
        <w:tc>
          <w:tcPr>
            <w:tcW w:w="2012"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90,000</w:t>
            </w:r>
            <w:bookmarkStart w:id="118" w:name=".trail.37"/>
            <w:bookmarkStart w:id="119" w:name=".trail.38"/>
            <w:bookmarkEnd w:id="118"/>
            <w:bookmarkEnd w:id="119"/>
          </w:p>
        </w:tc>
        <w:tc>
          <w:tcPr>
            <w:tcW w:w="60" w:type="dxa"/>
            <w:tcBorders/>
            <w:shd w:fill="auto" w:val="clear"/>
            <w:tcMar>
              <w:bottom w:w="0" w:type="dxa"/>
            </w:tcMar>
            <w:vAlign w:val="center"/>
          </w:tcPr>
          <w:p>
            <w:pPr>
              <w:pStyle w:val="TableContents"/>
              <w:spacing w:before="0" w:after="283"/>
              <w:rPr/>
            </w:pPr>
            <w:r>
              <w:rPr/>
              <w:t> </w:t>
            </w:r>
          </w:p>
        </w:tc>
      </w:tr>
      <w:tr>
        <w:trPr/>
        <w:tc>
          <w:tcPr>
            <w:tcW w:w="1895" w:type="dxa"/>
            <w:tcBorders/>
            <w:shd w:fill="auto" w:val="clear"/>
            <w:tcMar>
              <w:bottom w:w="0" w:type="dxa"/>
            </w:tcM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Michael M. Collier</w:t>
            </w:r>
            <w:bookmarkStart w:id="120" w:name=".lead.29"/>
            <w:bookmarkStart w:id="121" w:name=".lead.210"/>
            <w:bookmarkEnd w:id="120"/>
            <w:bookmarkEnd w:id="121"/>
          </w:p>
        </w:tc>
        <w:tc>
          <w:tcPr>
            <w:tcW w:w="60" w:type="dxa"/>
            <w:tcBorders/>
            <w:shd w:fill="auto" w:val="clear"/>
            <w:tcMar>
              <w:bottom w:w="0" w:type="dxa"/>
            </w:tcMar>
            <w:vAlign w:val="center"/>
          </w:tcPr>
          <w:p>
            <w:pPr>
              <w:pStyle w:val="TableContents"/>
              <w:spacing w:before="0" w:after="283"/>
              <w:ind w:left="0" w:right="0" w:hanging="0"/>
              <w:rPr/>
            </w:pPr>
            <w:r>
              <w:rPr/>
              <w:t> </w:t>
            </w:r>
            <w:bookmarkStart w:id="122" w:name=".symb.29"/>
            <w:bookmarkStart w:id="123" w:name=".symb.210"/>
            <w:bookmarkEnd w:id="122"/>
            <w:bookmarkEnd w:id="123"/>
          </w:p>
        </w:tc>
        <w:tc>
          <w:tcPr>
            <w:tcW w:w="268"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24" w:name=".amt.29"/>
            <w:bookmarkStart w:id="125" w:name=".amt.210"/>
            <w:bookmarkEnd w:id="124"/>
            <w:bookmarkEnd w:id="125"/>
          </w:p>
        </w:tc>
        <w:tc>
          <w:tcPr>
            <w:tcW w:w="1491"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300,000</w:t>
            </w:r>
            <w:bookmarkStart w:id="126" w:name=".trail.29"/>
            <w:bookmarkStart w:id="127" w:name=".trail.210"/>
            <w:bookmarkEnd w:id="126"/>
            <w:bookmarkEnd w:id="127"/>
          </w:p>
        </w:tc>
        <w:tc>
          <w:tcPr>
            <w:tcW w:w="60" w:type="dxa"/>
            <w:tcBorders/>
            <w:shd w:fill="auto" w:val="clear"/>
            <w:tcMar>
              <w:bottom w:w="0" w:type="dxa"/>
            </w:tcMar>
            <w:vAlign w:val="center"/>
          </w:tcPr>
          <w:p>
            <w:pPr>
              <w:pStyle w:val="TableContents"/>
              <w:spacing w:before="0" w:after="283"/>
              <w:rPr/>
            </w:pPr>
            <w:r>
              <w:rPr/>
              <w:t> </w:t>
            </w:r>
            <w:bookmarkStart w:id="128" w:name=".lead.39"/>
            <w:bookmarkStart w:id="129" w:name=".lead.310"/>
            <w:bookmarkEnd w:id="128"/>
            <w:bookmarkEnd w:id="129"/>
          </w:p>
        </w:tc>
        <w:tc>
          <w:tcPr>
            <w:tcW w:w="60" w:type="dxa"/>
            <w:tcBorders/>
            <w:shd w:fill="auto" w:val="clear"/>
            <w:tcMar>
              <w:bottom w:w="0" w:type="dxa"/>
            </w:tcMar>
            <w:vAlign w:val="center"/>
          </w:tcPr>
          <w:p>
            <w:pPr>
              <w:pStyle w:val="TableContents"/>
              <w:spacing w:before="0" w:after="283"/>
              <w:ind w:left="0" w:right="0" w:hanging="0"/>
              <w:rPr/>
            </w:pPr>
            <w:r>
              <w:rPr/>
              <w:t> </w:t>
            </w:r>
            <w:bookmarkStart w:id="130" w:name=".symb.39"/>
            <w:bookmarkStart w:id="131" w:name=".symb.310"/>
            <w:bookmarkEnd w:id="130"/>
            <w:bookmarkEnd w:id="131"/>
          </w:p>
        </w:tc>
        <w:tc>
          <w:tcPr>
            <w:tcW w:w="362"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32" w:name=".amt.39"/>
            <w:bookmarkStart w:id="133" w:name=".amt.310"/>
            <w:bookmarkEnd w:id="132"/>
            <w:bookmarkEnd w:id="133"/>
          </w:p>
        </w:tc>
        <w:tc>
          <w:tcPr>
            <w:tcW w:w="2012"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90,000</w:t>
            </w:r>
            <w:bookmarkStart w:id="134" w:name=".trail.39"/>
            <w:bookmarkStart w:id="135" w:name=".trail.310"/>
            <w:bookmarkEnd w:id="134"/>
            <w:bookmarkEnd w:id="135"/>
          </w:p>
        </w:tc>
        <w:tc>
          <w:tcPr>
            <w:tcW w:w="60" w:type="dxa"/>
            <w:tcBorders/>
            <w:shd w:fill="auto" w:val="clear"/>
            <w:tcMar>
              <w:bottom w:w="0" w:type="dxa"/>
            </w:tcMar>
            <w:vAlign w:val="center"/>
          </w:tcPr>
          <w:p>
            <w:pPr>
              <w:pStyle w:val="TableContents"/>
              <w:spacing w:before="0" w:after="283"/>
              <w:rPr/>
            </w:pPr>
            <w:r>
              <w:rPr/>
              <w:t> </w:t>
            </w:r>
          </w:p>
        </w:tc>
      </w:tr>
      <w:tr>
        <w:trPr/>
        <w:tc>
          <w:tcPr>
            <w:tcW w:w="1895" w:type="dxa"/>
            <w:tcBorders/>
            <w:shd w:fill="auto" w:val="clear"/>
            <w:tcMar>
              <w:bottom w:w="0" w:type="dxa"/>
            </w:tcM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Trisha L. Coady</w:t>
            </w:r>
            <w:bookmarkStart w:id="136" w:name=".lead.211"/>
            <w:bookmarkStart w:id="137" w:name=".lead.212"/>
            <w:bookmarkEnd w:id="136"/>
            <w:bookmarkEnd w:id="137"/>
          </w:p>
        </w:tc>
        <w:tc>
          <w:tcPr>
            <w:tcW w:w="60" w:type="dxa"/>
            <w:tcBorders/>
            <w:shd w:fill="auto" w:val="clear"/>
            <w:tcMar>
              <w:bottom w:w="0" w:type="dxa"/>
            </w:tcMar>
            <w:vAlign w:val="center"/>
          </w:tcPr>
          <w:p>
            <w:pPr>
              <w:pStyle w:val="TableContents"/>
              <w:spacing w:before="0" w:after="283"/>
              <w:ind w:left="0" w:right="0" w:hanging="0"/>
              <w:rPr/>
            </w:pPr>
            <w:r>
              <w:rPr/>
              <w:t> </w:t>
            </w:r>
            <w:bookmarkStart w:id="138" w:name=".symb.211"/>
            <w:bookmarkStart w:id="139" w:name=".symb.212"/>
            <w:bookmarkEnd w:id="138"/>
            <w:bookmarkEnd w:id="139"/>
          </w:p>
        </w:tc>
        <w:tc>
          <w:tcPr>
            <w:tcW w:w="268"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40" w:name=".amt.211"/>
            <w:bookmarkStart w:id="141" w:name=".amt.212"/>
            <w:bookmarkEnd w:id="140"/>
            <w:bookmarkEnd w:id="141"/>
          </w:p>
        </w:tc>
        <w:tc>
          <w:tcPr>
            <w:tcW w:w="1491"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290,000</w:t>
            </w:r>
            <w:bookmarkStart w:id="142" w:name=".trail.211"/>
            <w:bookmarkStart w:id="143" w:name=".trail.212"/>
            <w:bookmarkEnd w:id="142"/>
            <w:bookmarkEnd w:id="143"/>
          </w:p>
        </w:tc>
        <w:tc>
          <w:tcPr>
            <w:tcW w:w="60" w:type="dxa"/>
            <w:tcBorders/>
            <w:shd w:fill="auto" w:val="clear"/>
            <w:tcMar>
              <w:bottom w:w="0" w:type="dxa"/>
            </w:tcMar>
            <w:vAlign w:val="center"/>
          </w:tcPr>
          <w:p>
            <w:pPr>
              <w:pStyle w:val="TableContents"/>
              <w:spacing w:before="0" w:after="283"/>
              <w:rPr/>
            </w:pPr>
            <w:r>
              <w:rPr/>
              <w:t> </w:t>
            </w:r>
            <w:bookmarkStart w:id="144" w:name=".lead.311"/>
            <w:bookmarkStart w:id="145" w:name=".lead.312"/>
            <w:bookmarkEnd w:id="144"/>
            <w:bookmarkEnd w:id="145"/>
          </w:p>
        </w:tc>
        <w:tc>
          <w:tcPr>
            <w:tcW w:w="60" w:type="dxa"/>
            <w:tcBorders/>
            <w:shd w:fill="auto" w:val="clear"/>
            <w:tcMar>
              <w:bottom w:w="0" w:type="dxa"/>
            </w:tcMar>
            <w:vAlign w:val="center"/>
          </w:tcPr>
          <w:p>
            <w:pPr>
              <w:pStyle w:val="TableContents"/>
              <w:spacing w:before="0" w:after="283"/>
              <w:ind w:left="0" w:right="0" w:hanging="0"/>
              <w:rPr/>
            </w:pPr>
            <w:r>
              <w:rPr/>
              <w:t> </w:t>
            </w:r>
            <w:bookmarkStart w:id="146" w:name=".symb.311"/>
            <w:bookmarkStart w:id="147" w:name=".symb.312"/>
            <w:bookmarkEnd w:id="146"/>
            <w:bookmarkEnd w:id="147"/>
          </w:p>
        </w:tc>
        <w:tc>
          <w:tcPr>
            <w:tcW w:w="362"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48" w:name=".amt.311"/>
            <w:bookmarkStart w:id="149" w:name=".amt.312"/>
            <w:bookmarkEnd w:id="148"/>
            <w:bookmarkEnd w:id="149"/>
          </w:p>
        </w:tc>
        <w:tc>
          <w:tcPr>
            <w:tcW w:w="2012"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87.000</w:t>
            </w:r>
            <w:bookmarkStart w:id="150" w:name=".trail.311"/>
            <w:bookmarkStart w:id="151" w:name=".trail.312"/>
            <w:bookmarkEnd w:id="150"/>
            <w:bookmarkEnd w:id="151"/>
          </w:p>
        </w:tc>
        <w:tc>
          <w:tcPr>
            <w:tcW w:w="60" w:type="dxa"/>
            <w:tcBorders/>
            <w:shd w:fill="auto" w:val="clear"/>
            <w:tcMar>
              <w:bottom w:w="0" w:type="dxa"/>
            </w:tcMar>
            <w:vAlign w:val="center"/>
          </w:tcPr>
          <w:p>
            <w:pPr>
              <w:pStyle w:val="TableContents"/>
              <w:spacing w:before="0" w:after="283"/>
              <w:rPr/>
            </w:pPr>
            <w:r>
              <w:rPr/>
              <w:t> </w:t>
            </w:r>
          </w:p>
        </w:tc>
      </w:tr>
      <w:tr>
        <w:trPr/>
        <w:tc>
          <w:tcPr>
            <w:tcW w:w="1895" w:type="dxa"/>
            <w:tcBorders/>
            <w:shd w:fill="auto" w:val="clear"/>
            <w:tcMar>
              <w:bottom w:w="0" w:type="dxa"/>
            </w:tcM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M. Scott McQuigg</w:t>
            </w:r>
            <w:bookmarkStart w:id="152" w:name=".lead.213"/>
            <w:bookmarkStart w:id="153" w:name=".lead.214"/>
            <w:bookmarkEnd w:id="152"/>
            <w:bookmarkEnd w:id="153"/>
          </w:p>
        </w:tc>
        <w:tc>
          <w:tcPr>
            <w:tcW w:w="60" w:type="dxa"/>
            <w:tcBorders/>
            <w:shd w:fill="auto" w:val="clear"/>
            <w:tcMar>
              <w:bottom w:w="0" w:type="dxa"/>
            </w:tcMar>
            <w:vAlign w:val="center"/>
          </w:tcPr>
          <w:p>
            <w:pPr>
              <w:pStyle w:val="TableContents"/>
              <w:spacing w:before="0" w:after="283"/>
              <w:ind w:left="0" w:right="0" w:hanging="0"/>
              <w:rPr/>
            </w:pPr>
            <w:r>
              <w:rPr/>
              <w:t> </w:t>
            </w:r>
            <w:bookmarkStart w:id="154" w:name=".symb.213"/>
            <w:bookmarkStart w:id="155" w:name=".symb.214"/>
            <w:bookmarkEnd w:id="154"/>
            <w:bookmarkEnd w:id="155"/>
          </w:p>
        </w:tc>
        <w:tc>
          <w:tcPr>
            <w:tcW w:w="268"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56" w:name=".amt.213"/>
            <w:bookmarkStart w:id="157" w:name=".amt.214"/>
            <w:bookmarkEnd w:id="156"/>
            <w:bookmarkEnd w:id="157"/>
          </w:p>
        </w:tc>
        <w:tc>
          <w:tcPr>
            <w:tcW w:w="1491"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285,000</w:t>
            </w:r>
            <w:bookmarkStart w:id="158" w:name=".trail.213"/>
            <w:bookmarkStart w:id="159" w:name=".trail.214"/>
            <w:bookmarkEnd w:id="158"/>
            <w:bookmarkEnd w:id="159"/>
          </w:p>
        </w:tc>
        <w:tc>
          <w:tcPr>
            <w:tcW w:w="60" w:type="dxa"/>
            <w:tcBorders/>
            <w:shd w:fill="auto" w:val="clear"/>
            <w:tcMar>
              <w:bottom w:w="0" w:type="dxa"/>
            </w:tcMar>
            <w:vAlign w:val="center"/>
          </w:tcPr>
          <w:p>
            <w:pPr>
              <w:pStyle w:val="TableContents"/>
              <w:spacing w:before="0" w:after="283"/>
              <w:rPr/>
            </w:pPr>
            <w:r>
              <w:rPr/>
              <w:t> </w:t>
            </w:r>
            <w:bookmarkStart w:id="160" w:name=".lead.313"/>
            <w:bookmarkStart w:id="161" w:name=".lead.314"/>
            <w:bookmarkEnd w:id="160"/>
            <w:bookmarkEnd w:id="161"/>
          </w:p>
        </w:tc>
        <w:tc>
          <w:tcPr>
            <w:tcW w:w="60" w:type="dxa"/>
            <w:tcBorders/>
            <w:shd w:fill="auto" w:val="clear"/>
            <w:tcMar>
              <w:bottom w:w="0" w:type="dxa"/>
            </w:tcMar>
            <w:vAlign w:val="center"/>
          </w:tcPr>
          <w:p>
            <w:pPr>
              <w:pStyle w:val="TableContents"/>
              <w:spacing w:before="0" w:after="283"/>
              <w:ind w:left="0" w:right="0" w:hanging="0"/>
              <w:rPr/>
            </w:pPr>
            <w:r>
              <w:rPr/>
              <w:t> </w:t>
            </w:r>
            <w:bookmarkStart w:id="162" w:name=".symb.313"/>
            <w:bookmarkStart w:id="163" w:name=".symb.314"/>
            <w:bookmarkEnd w:id="162"/>
            <w:bookmarkEnd w:id="163"/>
          </w:p>
        </w:tc>
        <w:tc>
          <w:tcPr>
            <w:tcW w:w="362"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64" w:name=".amt.313"/>
            <w:bookmarkStart w:id="165" w:name=".amt.314"/>
            <w:bookmarkEnd w:id="164"/>
            <w:bookmarkEnd w:id="165"/>
          </w:p>
        </w:tc>
        <w:tc>
          <w:tcPr>
            <w:tcW w:w="2012"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85,500</w:t>
            </w:r>
            <w:bookmarkStart w:id="166" w:name=".trail.313"/>
            <w:bookmarkStart w:id="167" w:name=".trail.314"/>
            <w:bookmarkEnd w:id="166"/>
            <w:bookmarkEnd w:id="167"/>
          </w:p>
        </w:tc>
        <w:tc>
          <w:tcPr>
            <w:tcW w:w="60" w:type="dxa"/>
            <w:tcBorders/>
            <w:shd w:fill="auto" w:val="clear"/>
            <w:tcMar>
              <w:bottom w:w="0" w:type="dxa"/>
            </w:tcMar>
            <w:vAlign w:val="center"/>
          </w:tcPr>
          <w:p>
            <w:pPr>
              <w:pStyle w:val="TableContents"/>
              <w:spacing w:before="0" w:after="283"/>
              <w:rPr/>
            </w:pPr>
            <w:r>
              <w:rPr/>
              <w:t> </w:t>
            </w:r>
          </w:p>
        </w:tc>
      </w:tr>
      <w:tr>
        <w:trPr/>
        <w:tc>
          <w:tcPr>
            <w:tcW w:w="1895" w:type="dxa"/>
            <w:tcBorders/>
            <w:shd w:fill="auto" w:val="clear"/>
            <w:tcMar>
              <w:bottom w:w="0" w:type="dxa"/>
            </w:tcM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Kevin O’Hara</w:t>
            </w:r>
            <w:bookmarkStart w:id="168" w:name=".lead.215"/>
            <w:bookmarkStart w:id="169" w:name=".lead.216"/>
            <w:bookmarkEnd w:id="168"/>
            <w:bookmarkEnd w:id="169"/>
          </w:p>
        </w:tc>
        <w:tc>
          <w:tcPr>
            <w:tcW w:w="60" w:type="dxa"/>
            <w:tcBorders/>
            <w:shd w:fill="auto" w:val="clear"/>
            <w:tcMar>
              <w:bottom w:w="0" w:type="dxa"/>
            </w:tcMar>
            <w:vAlign w:val="center"/>
          </w:tcPr>
          <w:p>
            <w:pPr>
              <w:pStyle w:val="TableContents"/>
              <w:spacing w:before="0" w:after="283"/>
              <w:ind w:left="0" w:right="0" w:hanging="0"/>
              <w:rPr/>
            </w:pPr>
            <w:r>
              <w:rPr/>
              <w:t> </w:t>
            </w:r>
            <w:bookmarkStart w:id="170" w:name=".symb.215"/>
            <w:bookmarkStart w:id="171" w:name=".symb.216"/>
            <w:bookmarkEnd w:id="170"/>
            <w:bookmarkEnd w:id="171"/>
          </w:p>
        </w:tc>
        <w:tc>
          <w:tcPr>
            <w:tcW w:w="268"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72" w:name=".amt.215"/>
            <w:bookmarkStart w:id="173" w:name=".amt.216"/>
            <w:bookmarkEnd w:id="172"/>
            <w:bookmarkEnd w:id="173"/>
          </w:p>
        </w:tc>
        <w:tc>
          <w:tcPr>
            <w:tcW w:w="1491"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285,000</w:t>
            </w:r>
            <w:bookmarkStart w:id="174" w:name=".trail.215"/>
            <w:bookmarkStart w:id="175" w:name=".trail.216"/>
            <w:bookmarkEnd w:id="174"/>
            <w:bookmarkEnd w:id="175"/>
          </w:p>
        </w:tc>
        <w:tc>
          <w:tcPr>
            <w:tcW w:w="60" w:type="dxa"/>
            <w:tcBorders/>
            <w:shd w:fill="auto" w:val="clear"/>
            <w:tcMar>
              <w:bottom w:w="0" w:type="dxa"/>
            </w:tcMar>
            <w:vAlign w:val="center"/>
          </w:tcPr>
          <w:p>
            <w:pPr>
              <w:pStyle w:val="TableContents"/>
              <w:spacing w:before="0" w:after="283"/>
              <w:rPr/>
            </w:pPr>
            <w:r>
              <w:rPr/>
              <w:t> </w:t>
            </w:r>
            <w:bookmarkStart w:id="176" w:name=".lead.315"/>
            <w:bookmarkStart w:id="177" w:name=".lead.316"/>
            <w:bookmarkEnd w:id="176"/>
            <w:bookmarkEnd w:id="177"/>
          </w:p>
        </w:tc>
        <w:tc>
          <w:tcPr>
            <w:tcW w:w="60" w:type="dxa"/>
            <w:tcBorders/>
            <w:shd w:fill="auto" w:val="clear"/>
            <w:tcMar>
              <w:bottom w:w="0" w:type="dxa"/>
            </w:tcMar>
            <w:vAlign w:val="center"/>
          </w:tcPr>
          <w:p>
            <w:pPr>
              <w:pStyle w:val="TableContents"/>
              <w:spacing w:before="0" w:after="283"/>
              <w:ind w:left="0" w:right="0" w:hanging="0"/>
              <w:rPr/>
            </w:pPr>
            <w:r>
              <w:rPr/>
              <w:t> </w:t>
            </w:r>
            <w:bookmarkStart w:id="178" w:name=".symb.315"/>
            <w:bookmarkStart w:id="179" w:name=".symb.316"/>
            <w:bookmarkEnd w:id="178"/>
            <w:bookmarkEnd w:id="179"/>
          </w:p>
        </w:tc>
        <w:tc>
          <w:tcPr>
            <w:tcW w:w="362"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80" w:name=".amt.315"/>
            <w:bookmarkStart w:id="181" w:name=".amt.316"/>
            <w:bookmarkEnd w:id="180"/>
            <w:bookmarkEnd w:id="181"/>
          </w:p>
        </w:tc>
        <w:tc>
          <w:tcPr>
            <w:tcW w:w="2012"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85,500</w:t>
            </w:r>
            <w:bookmarkStart w:id="182" w:name=".trail.315"/>
            <w:bookmarkStart w:id="183" w:name=".trail.316"/>
            <w:bookmarkEnd w:id="182"/>
            <w:bookmarkEnd w:id="183"/>
          </w:p>
        </w:tc>
        <w:tc>
          <w:tcPr>
            <w:tcW w:w="60" w:type="dxa"/>
            <w:tcBorders/>
            <w:shd w:fill="auto" w:val="clear"/>
            <w:tcMar>
              <w:bottom w:w="0" w:type="dxa"/>
            </w:tcMar>
            <w:vAlign w:val="center"/>
          </w:tcPr>
          <w:p>
            <w:pPr>
              <w:pStyle w:val="TableContents"/>
              <w:spacing w:before="0" w:after="283"/>
              <w:rPr/>
            </w:pPr>
            <w:r>
              <w:rPr/>
              <w:t> </w:t>
            </w:r>
          </w:p>
        </w:tc>
      </w:tr>
      <w:tr>
        <w:trPr/>
        <w:tc>
          <w:tcPr>
            <w:tcW w:w="1895" w:type="dxa"/>
            <w:tcBorders/>
            <w:shd w:fill="auto" w:val="clear"/>
            <w:tcMar>
              <w:bottom w:w="0" w:type="dxa"/>
            </w:tcM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Scott Fenstermacher</w:t>
            </w:r>
            <w:bookmarkStart w:id="184" w:name=".lead.217"/>
            <w:bookmarkStart w:id="185" w:name=".lead.218"/>
            <w:bookmarkEnd w:id="184"/>
            <w:bookmarkEnd w:id="185"/>
          </w:p>
        </w:tc>
        <w:tc>
          <w:tcPr>
            <w:tcW w:w="60" w:type="dxa"/>
            <w:tcBorders/>
            <w:shd w:fill="auto" w:val="clear"/>
            <w:tcMar>
              <w:bottom w:w="0" w:type="dxa"/>
            </w:tcMar>
            <w:vAlign w:val="center"/>
          </w:tcPr>
          <w:p>
            <w:pPr>
              <w:pStyle w:val="TableContents"/>
              <w:spacing w:before="0" w:after="283"/>
              <w:ind w:left="0" w:right="0" w:hanging="0"/>
              <w:rPr/>
            </w:pPr>
            <w:r>
              <w:rPr/>
              <w:t> </w:t>
            </w:r>
            <w:bookmarkStart w:id="186" w:name=".symb.217"/>
            <w:bookmarkStart w:id="187" w:name=".symb.218"/>
            <w:bookmarkEnd w:id="186"/>
            <w:bookmarkEnd w:id="187"/>
          </w:p>
        </w:tc>
        <w:tc>
          <w:tcPr>
            <w:tcW w:w="268"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88" w:name=".amt.217"/>
            <w:bookmarkStart w:id="189" w:name=".amt.218"/>
            <w:bookmarkEnd w:id="188"/>
            <w:bookmarkEnd w:id="189"/>
          </w:p>
        </w:tc>
        <w:tc>
          <w:tcPr>
            <w:tcW w:w="1491"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210,000</w:t>
            </w:r>
            <w:bookmarkStart w:id="190" w:name=".trail.217"/>
            <w:bookmarkStart w:id="191" w:name=".trail.218"/>
            <w:bookmarkEnd w:id="190"/>
            <w:bookmarkEnd w:id="191"/>
          </w:p>
        </w:tc>
        <w:tc>
          <w:tcPr>
            <w:tcW w:w="60" w:type="dxa"/>
            <w:tcBorders/>
            <w:shd w:fill="auto" w:val="clear"/>
            <w:tcMar>
              <w:bottom w:w="0" w:type="dxa"/>
            </w:tcMar>
            <w:vAlign w:val="center"/>
          </w:tcPr>
          <w:p>
            <w:pPr>
              <w:pStyle w:val="TableContents"/>
              <w:spacing w:before="0" w:after="283"/>
              <w:rPr/>
            </w:pPr>
            <w:r>
              <w:rPr/>
              <w:t> </w:t>
            </w:r>
            <w:bookmarkStart w:id="192" w:name=".lead.317"/>
            <w:bookmarkStart w:id="193" w:name=".lead.318"/>
            <w:bookmarkEnd w:id="192"/>
            <w:bookmarkEnd w:id="193"/>
          </w:p>
        </w:tc>
        <w:tc>
          <w:tcPr>
            <w:tcW w:w="60" w:type="dxa"/>
            <w:tcBorders/>
            <w:shd w:fill="auto" w:val="clear"/>
            <w:tcMar>
              <w:bottom w:w="0" w:type="dxa"/>
            </w:tcMar>
            <w:vAlign w:val="center"/>
          </w:tcPr>
          <w:p>
            <w:pPr>
              <w:pStyle w:val="TableContents"/>
              <w:spacing w:before="0" w:after="283"/>
              <w:ind w:left="0" w:right="0" w:hanging="0"/>
              <w:rPr/>
            </w:pPr>
            <w:r>
              <w:rPr/>
              <w:t> </w:t>
            </w:r>
            <w:bookmarkStart w:id="194" w:name=".symb.317"/>
            <w:bookmarkStart w:id="195" w:name=".symb.318"/>
            <w:bookmarkEnd w:id="194"/>
            <w:bookmarkEnd w:id="195"/>
          </w:p>
        </w:tc>
        <w:tc>
          <w:tcPr>
            <w:tcW w:w="362" w:type="dxa"/>
            <w:tcBorders/>
            <w:shd w:fill="auto"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96" w:name=".amt.317"/>
            <w:bookmarkStart w:id="197" w:name=".amt.318"/>
            <w:bookmarkEnd w:id="196"/>
            <w:bookmarkEnd w:id="197"/>
          </w:p>
        </w:tc>
        <w:tc>
          <w:tcPr>
            <w:tcW w:w="2012" w:type="dxa"/>
            <w:tcBorders/>
            <w:shd w:fill="auto"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bookmarkStart w:id="198" w:name=".trail.317"/>
            <w:bookmarkStart w:id="199" w:name=".trail.318"/>
            <w:bookmarkEnd w:id="198"/>
            <w:bookmarkEnd w:id="199"/>
          </w:p>
        </w:tc>
        <w:tc>
          <w:tcPr>
            <w:tcW w:w="60"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18"/>
        </w:rPr>
        <w:t>1</w:t>
      </w:r>
      <w:r>
        <w:rPr>
          <w:rFonts w:ascii="Times New Roman" w:hAnsi="Times New Roman"/>
          <w:caps w:val="false"/>
          <w:smallCaps w:val="false"/>
          <w:sz w:val="20"/>
        </w:rPr>
        <w:t xml:space="preserve"> Fiscal </w:t>
      </w:r>
      <w:bookmarkStart w:id="200" w:name="led198663F202111616388237665372"/>
      <w:bookmarkEnd w:id="200"/>
      <w:r>
        <w:rPr>
          <w:rFonts w:ascii="Times New Roman" w:hAnsi="Times New Roman"/>
          <w:caps w:val="false"/>
          <w:smallCaps w:val="false"/>
          <w:sz w:val="20"/>
        </w:rPr>
        <w:t>2021 bonus amounts remain subject to review and approval by the Compensation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 salary adjustments for 2022, bonus targets for 2022 cash bonuses, and 2022 equity grants for executive officers have not yet been determined by the Compensation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b/>
          <w:caps w:val="false"/>
          <w:smallCaps w:val="false"/>
          <w:sz w:val="20"/>
        </w:rPr>
        <w:t>Additional Information</w:t>
      </w:r>
      <w:r>
        <w:rPr>
          <w:rFonts w:ascii="Times New Roman" w:hAnsi="Times New Roman"/>
          <w:caps w:val="false"/>
          <w:smallCaps w:val="false"/>
          <w:sz w:val="20"/>
        </w:rPr>
        <w:t>. The foregoing information is summary in nature. Additional information regarding Director and Named Executive Officer compensation will be contained in the Company’s 2022 Proxy Statement.</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caps w:val="false"/>
          <w:smallCaps w:val="false"/>
          <w:sz w:val="20"/>
        </w:rPr>
      </w:pPr>
      <w:bookmarkStart w:id="201" w:name="ex_336955.htm"/>
      <w:bookmarkStart w:id="202" w:name="ksex_336955"/>
      <w:bookmarkEnd w:id="201"/>
      <w:bookmarkEnd w:id="202"/>
      <w:r>
        <w:rPr>
          <w:rFonts w:ascii="Times New Roman" w:hAnsi="Times New Roman"/>
          <w:caps w:val="false"/>
          <w:smallCaps w:val="false"/>
          <w:sz w:val="20"/>
        </w:rPr>
        <w:t>EXHIBIT 10.19</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CONTRIBUTION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This Contribution Agreement (the “</w:t>
      </w:r>
      <w:r>
        <w:rPr>
          <w:rFonts w:ascii="Times New Roman" w:hAnsi="Times New Roman"/>
          <w:caps w:val="false"/>
          <w:smallCaps w:val="false"/>
          <w:sz w:val="20"/>
          <w:u w:val="single"/>
        </w:rPr>
        <w:t>Agreement</w:t>
      </w:r>
      <w:r>
        <w:rPr>
          <w:rFonts w:ascii="Times New Roman" w:hAnsi="Times New Roman"/>
          <w:caps w:val="false"/>
          <w:smallCaps w:val="false"/>
          <w:sz w:val="20"/>
        </w:rPr>
        <w:t>”), made and entered into as of December 29, 2021 (the “</w:t>
      </w:r>
      <w:r>
        <w:rPr>
          <w:rFonts w:ascii="Times New Roman" w:hAnsi="Times New Roman"/>
          <w:caps w:val="false"/>
          <w:smallCaps w:val="false"/>
          <w:sz w:val="20"/>
          <w:u w:val="single"/>
        </w:rPr>
        <w:t>Effective Date</w:t>
      </w:r>
      <w:r>
        <w:rPr>
          <w:rFonts w:ascii="Times New Roman" w:hAnsi="Times New Roman"/>
          <w:caps w:val="false"/>
          <w:smallCaps w:val="false"/>
          <w:sz w:val="20"/>
        </w:rPr>
        <w:t>”), is by and between HealthStream, Inc., a Tennessee corporation (“</w:t>
      </w:r>
      <w:r>
        <w:rPr>
          <w:rFonts w:ascii="Times New Roman" w:hAnsi="Times New Roman"/>
          <w:caps w:val="false"/>
          <w:smallCaps w:val="false"/>
          <w:sz w:val="20"/>
          <w:u w:val="single"/>
        </w:rPr>
        <w:t>HealthStream</w:t>
      </w:r>
      <w:r>
        <w:rPr>
          <w:rFonts w:ascii="Times New Roman" w:hAnsi="Times New Roman"/>
          <w:caps w:val="false"/>
          <w:smallCaps w:val="false"/>
          <w:sz w:val="20"/>
        </w:rPr>
        <w:t>”), and Robert A. Frist, Jr., an individual resident of the State of Tennessee (“</w:t>
      </w:r>
      <w:r>
        <w:rPr>
          <w:rFonts w:ascii="Times New Roman" w:hAnsi="Times New Roman"/>
          <w:caps w:val="false"/>
          <w:smallCaps w:val="false"/>
          <w:sz w:val="20"/>
          <w:u w:val="single"/>
        </w:rPr>
        <w:t>Frist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Frist desires to contribute to HealthStream, and HealthStream desires to accept from Frist (the “</w:t>
      </w:r>
      <w:r>
        <w:rPr>
          <w:rFonts w:ascii="Times New Roman" w:hAnsi="Times New Roman"/>
          <w:caps w:val="false"/>
          <w:smallCaps w:val="false"/>
          <w:sz w:val="20"/>
          <w:u w:val="single"/>
        </w:rPr>
        <w:t>Contribution</w:t>
      </w:r>
      <w:r>
        <w:rPr>
          <w:rFonts w:ascii="Times New Roman" w:hAnsi="Times New Roman"/>
          <w:caps w:val="false"/>
          <w:smallCaps w:val="false"/>
          <w:sz w:val="20"/>
        </w:rPr>
        <w:t>”), 93,607 shares of common stock, no par value (“</w:t>
      </w:r>
      <w:r>
        <w:rPr>
          <w:rFonts w:ascii="Times New Roman" w:hAnsi="Times New Roman"/>
          <w:caps w:val="false"/>
          <w:smallCaps w:val="false"/>
          <w:sz w:val="20"/>
          <w:u w:val="single"/>
        </w:rPr>
        <w:t>Common Stock</w:t>
      </w:r>
      <w:r>
        <w:rPr>
          <w:rFonts w:ascii="Times New Roman" w:hAnsi="Times New Roman"/>
          <w:caps w:val="false"/>
          <w:smallCaps w:val="false"/>
          <w:sz w:val="20"/>
        </w:rPr>
        <w:t>”), of HealthStream (collectively, the “</w:t>
      </w:r>
      <w:r>
        <w:rPr>
          <w:rFonts w:ascii="Times New Roman" w:hAnsi="Times New Roman"/>
          <w:caps w:val="false"/>
          <w:smallCaps w:val="false"/>
          <w:sz w:val="20"/>
          <w:u w:val="single"/>
        </w:rPr>
        <w:t>Contributed Shares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pursuant to the terms and conditions of this Agreement and the HealthStream, Inc. 2016 Omnibus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after giving effect to the Contribution, HealthStream desires to grant 86,494 shares of Common Stock (the “</w:t>
      </w:r>
      <w:r>
        <w:rPr>
          <w:rFonts w:ascii="Times New Roman" w:hAnsi="Times New Roman"/>
          <w:caps w:val="false"/>
          <w:smallCaps w:val="false"/>
          <w:sz w:val="20"/>
          <w:u w:val="single"/>
        </w:rPr>
        <w:t>Grant Shares</w:t>
      </w:r>
      <w:r>
        <w:rPr>
          <w:rFonts w:ascii="Times New Roman" w:hAnsi="Times New Roman"/>
          <w:caps w:val="false"/>
          <w:smallCaps w:val="false"/>
          <w:sz w:val="20"/>
        </w:rPr>
        <w:t>”) to specified employees of the Company (such individuals, the “</w:t>
      </w:r>
      <w:r>
        <w:rPr>
          <w:rFonts w:ascii="Times New Roman" w:hAnsi="Times New Roman"/>
          <w:caps w:val="false"/>
          <w:smallCaps w:val="false"/>
          <w:sz w:val="20"/>
          <w:u w:val="single"/>
        </w:rPr>
        <w:t>Recipients</w:t>
      </w:r>
      <w:r>
        <w:rPr>
          <w:rFonts w:ascii="Times New Roman" w:hAnsi="Times New Roman"/>
          <w:caps w:val="false"/>
          <w:smallCaps w:val="false"/>
          <w:sz w:val="20"/>
        </w:rPr>
        <w: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HealthStream and Frist desire to memorialize in writing the terms, provisions and conditions of the Contribution and the share grant.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foregoing, and the representations, warranties, covenants and conditions set forth below, the parties hereto, intending to be legally bound, hereby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Section 1.</w:t>
      </w:r>
      <w:r>
        <w:rPr>
          <w:rFonts w:ascii="Times New Roman" w:hAnsi="Times New Roman"/>
          <w:caps w:val="false"/>
          <w:smallCaps w:val="false"/>
          <w:sz w:val="20"/>
          <w:u w:val="single"/>
        </w:rPr>
        <w:t>    Contribution; Share Grant</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p>
    <w:p>
      <w:pPr>
        <w:pStyle w:val="TextBody"/>
        <w:spacing w:before="0" w:after="0"/>
        <w:ind w:left="0" w:right="0" w:firstLine="18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Contribution</w:t>
      </w:r>
      <w:r>
        <w:rPr>
          <w:rFonts w:ascii="Times New Roman" w:hAnsi="Times New Roman"/>
          <w:caps w:val="false"/>
          <w:smallCaps w:val="false"/>
          <w:sz w:val="20"/>
        </w:rPr>
        <w:t>. Subject to the terms and conditions of this Agreement and without any compensation paid by HealthStream to Frist, at the Closing (as defined below), Frist hereby contributes the Contributed Shares to HealthStream, and HealthStream hereby accepts such contribution. Frist shall execute stock powers or other evidence of transfer evidencing such contribution and transfer as may reasonably be requested by HealthStream, and shall deliver to HealthStream stock certificates (as applicable) representing all of the Contributed Shares.</w:t>
      </w:r>
    </w:p>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Closing</w:t>
      </w:r>
      <w:r>
        <w:rPr>
          <w:rFonts w:ascii="Times New Roman" w:hAnsi="Times New Roman"/>
          <w:caps w:val="false"/>
          <w:smallCaps w:val="false"/>
          <w:sz w:val="20"/>
        </w:rPr>
        <w:t>. The closing of the Contribution (the “</w:t>
      </w:r>
      <w:r>
        <w:rPr>
          <w:rFonts w:ascii="Times New Roman" w:hAnsi="Times New Roman"/>
          <w:caps w:val="false"/>
          <w:smallCaps w:val="false"/>
          <w:sz w:val="20"/>
          <w:u w:val="single"/>
        </w:rPr>
        <w:t>Closing</w:t>
      </w:r>
      <w:r>
        <w:rPr>
          <w:rFonts w:ascii="Times New Roman" w:hAnsi="Times New Roman"/>
          <w:caps w:val="false"/>
          <w:smallCaps w:val="false"/>
          <w:sz w:val="20"/>
        </w:rPr>
        <w:t>”) will take place concurrently with the execution and delivery hereof at the offices of HealthStream at 500 11th Avenue North, Suite 1000, Nashville, Tennessee 37203 effective as of 3 p.m. (local time) on the Effective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Share Grant</w:t>
      </w:r>
      <w:r>
        <w:rPr>
          <w:rFonts w:ascii="Times New Roman" w:hAnsi="Times New Roman"/>
          <w:caps w:val="false"/>
          <w:smallCaps w:val="false"/>
          <w:sz w:val="20"/>
        </w:rPr>
        <w:t>. HealthStream hereby agrees to grant the Grant Shares to the Recipients pursuant to the Plan as Other Stock-Based Awards (as defined in the Plan), which grants have been approved by the Compensation Committee of HealthStream. It is anticipated that the Grant Shares will be issued to the Recipients on or about December 29, 2021, and such Grant Shares will not be subject to any vesting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Section 2.</w:t>
      </w:r>
      <w:r>
        <w:rPr>
          <w:rFonts w:ascii="Times New Roman" w:hAnsi="Times New Roman"/>
          <w:caps w:val="false"/>
          <w:smallCaps w:val="false"/>
          <w:sz w:val="20"/>
          <w:u w:val="single"/>
        </w:rPr>
        <w:t>    Representations and Warranties of Frist</w:t>
      </w:r>
      <w:r>
        <w:rPr>
          <w:rFonts w:ascii="Times New Roman" w:hAnsi="Times New Roman"/>
          <w:caps w:val="false"/>
          <w:smallCaps w:val="false"/>
          <w:sz w:val="20"/>
        </w:rPr>
        <w:t>. Frist represents and warrants as of the Closing to HealthStream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Authority</w:t>
      </w:r>
      <w:r>
        <w:rPr>
          <w:rFonts w:ascii="Times New Roman" w:hAnsi="Times New Roman"/>
          <w:caps w:val="false"/>
          <w:smallCaps w:val="false"/>
          <w:sz w:val="20"/>
        </w:rPr>
        <w:t>. This Agreement constitutes the valid and binding obligation of Frist, enforceable against Frist in accordance with its terms. Frist has all requisite power, authority and capacity to execute and deliver this Agreement and to consummate the transactions contemplated 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No Conflict</w:t>
      </w:r>
      <w:r>
        <w:rPr>
          <w:rFonts w:ascii="Times New Roman" w:hAnsi="Times New Roman"/>
          <w:caps w:val="false"/>
          <w:smallCaps w:val="false"/>
          <w:sz w:val="20"/>
        </w:rPr>
        <w:t>. Neither the execution and delivery of this Agreement by Frist nor the consummation of the transactions contemplated hereby will, directly or indirectly (with or without notice or lapse of time): (i) conflict with any legal requirement or order of any court or governmental authority to which Frist is subject, or (ii) breach any provision of any material contract to which Frist is a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No Consent</w:t>
      </w:r>
      <w:r>
        <w:rPr>
          <w:rFonts w:ascii="Times New Roman" w:hAnsi="Times New Roman"/>
          <w:caps w:val="false"/>
          <w:smallCaps w:val="false"/>
          <w:sz w:val="20"/>
        </w:rPr>
        <w:t>. Frist is not required to give any notice to or obtain any consent or approval from any person in connection with the execution and delivery of this Agreement by Frist or the consummation of the transactions contemplated 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u w:val="single"/>
        </w:rPr>
        <w:t>    Legal Proceedings; Orders</w:t>
      </w:r>
      <w:r>
        <w:rPr>
          <w:rFonts w:ascii="Times New Roman" w:hAnsi="Times New Roman"/>
          <w:caps w:val="false"/>
          <w:smallCaps w:val="false"/>
          <w:sz w:val="20"/>
        </w:rPr>
        <w:t>. There are no legal proceedings or actions pending or, to the knowledge of Frist, threatened, against Frist that challenge, or that may have the effect of preventing, delaying, making illegal or otherwise interfering with, any of the transactions contemplated 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Ownership of Contributed Shares</w:t>
      </w:r>
      <w:r>
        <w:rPr>
          <w:rFonts w:ascii="Times New Roman" w:hAnsi="Times New Roman"/>
          <w:caps w:val="false"/>
          <w:smallCaps w:val="false"/>
          <w:sz w:val="20"/>
        </w:rPr>
        <w:t>. Frist has good and valid title to the Contributed Shares, free and clear of all liens and encumbrances.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Section 3.</w:t>
      </w:r>
      <w:r>
        <w:rPr>
          <w:rFonts w:ascii="Times New Roman" w:hAnsi="Times New Roman"/>
          <w:caps w:val="false"/>
          <w:smallCaps w:val="false"/>
          <w:sz w:val="20"/>
          <w:u w:val="single"/>
        </w:rPr>
        <w:t>    Representations and Warranties of HealthStream</w:t>
      </w:r>
      <w:r>
        <w:rPr>
          <w:rFonts w:ascii="Times New Roman" w:hAnsi="Times New Roman"/>
          <w:caps w:val="false"/>
          <w:smallCaps w:val="false"/>
          <w:sz w:val="20"/>
        </w:rPr>
        <w:t>. HealthStream represents and warrants as of the Closing to Frist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Authority</w:t>
      </w:r>
      <w:r>
        <w:rPr>
          <w:rFonts w:ascii="Times New Roman" w:hAnsi="Times New Roman"/>
          <w:caps w:val="false"/>
          <w:smallCaps w:val="false"/>
          <w:sz w:val="20"/>
        </w:rPr>
        <w:t>. This Agreement constitutes the valid and binding obligation of HealthStream, enforceable against HealthStream in accordance with its terms. HealthStream has all requisite corporate power and authority to execute and deliver this Agreement and to consummate the transactions contemplated hereby. The execution and delivery of this Agreement by HealthStream and the consummation of the transactions contemplated hereby have been duly and validly authorized and approved by HealthStream.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No Conflict</w:t>
      </w:r>
      <w:r>
        <w:rPr>
          <w:rFonts w:ascii="Times New Roman" w:hAnsi="Times New Roman"/>
          <w:caps w:val="false"/>
          <w:smallCaps w:val="false"/>
          <w:sz w:val="20"/>
        </w:rPr>
        <w:t>. Neither the execution and delivery of this Agreement by HealthStream nor the consummation of the transactions contemplated hereby will, directly or indirectly (with or without notice or lapse of time): (i) conflict with any legal requirement or order of any court or governmental authority to which HealthStream is subject, or (ii) breach any provision of any material contract to which HealthStream is a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No Consent</w:t>
      </w:r>
      <w:r>
        <w:rPr>
          <w:rFonts w:ascii="Times New Roman" w:hAnsi="Times New Roman"/>
          <w:caps w:val="false"/>
          <w:smallCaps w:val="false"/>
          <w:sz w:val="20"/>
        </w:rPr>
        <w:t>. HealthStream is not required to give any notice to or obtain any consent or approval from any person in connection with the execution and delivery of this Agreement or the consummation of the transactions contemplated 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u w:val="single"/>
        </w:rPr>
        <w:t>    Legal Proceedings; Orders</w:t>
      </w:r>
      <w:r>
        <w:rPr>
          <w:rFonts w:ascii="Times New Roman" w:hAnsi="Times New Roman"/>
          <w:caps w:val="false"/>
          <w:smallCaps w:val="false"/>
          <w:sz w:val="20"/>
        </w:rPr>
        <w:t>. There are no legal proceedings or actions pending or, to the knowledge of HealthStream, threatened, against HealthStream that challenge, or that may have the effect of preventing, delaying, making illegal or otherwise interfering with, any of the transactions contemplated 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Section 4.</w:t>
      </w:r>
      <w:r>
        <w:rPr>
          <w:rFonts w:ascii="Times New Roman" w:hAnsi="Times New Roman"/>
          <w:caps w:val="false"/>
          <w:smallCaps w:val="false"/>
          <w:sz w:val="20"/>
          <w:u w:val="single"/>
        </w:rPr>
        <w:t>    Miscellaneous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Waiver</w:t>
      </w:r>
      <w:r>
        <w:rPr>
          <w:rFonts w:ascii="Times New Roman" w:hAnsi="Times New Roman"/>
          <w:caps w:val="false"/>
          <w:smallCaps w:val="false"/>
          <w:sz w:val="20"/>
        </w:rPr>
        <w:t>. No failure to exercise, and no delay in exercising, on the part of either party, any privilege, any power or any right hereunder will operate as a waiver thereof, nor will any single or partial exercise of any privilege, right or power hereunder preclude further exercise of any other privilege, right or power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Entire Agreement and Modification</w:t>
      </w:r>
      <w:r>
        <w:rPr>
          <w:rFonts w:ascii="Times New Roman" w:hAnsi="Times New Roman"/>
          <w:caps w:val="false"/>
          <w:smallCaps w:val="false"/>
          <w:sz w:val="20"/>
        </w:rPr>
        <w:t>. This Agreement constitutes the entire agreement between the parties with respect to the subject matter of this agreement and supersedes all prior agreements between the parties with respect to its subject matter. This Agreement may not be amended except by a written agreement signed by the party to be charged with the amendment.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Assignment; Binding Effect</w:t>
      </w:r>
      <w:r>
        <w:rPr>
          <w:rFonts w:ascii="Times New Roman" w:hAnsi="Times New Roman"/>
          <w:caps w:val="false"/>
          <w:smallCaps w:val="false"/>
          <w:sz w:val="20"/>
        </w:rPr>
        <w:t>. This Agreement may not be assigned by either party without the prior written consent of the other party. Subject to the foregoing, this Agreement will be binding upon and shall inure to the benefit of the parties hereto and their permitted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u w:val="single"/>
        </w:rPr>
        <w:t>    Severability</w:t>
      </w:r>
      <w:r>
        <w:rPr>
          <w:rFonts w:ascii="Times New Roman" w:hAnsi="Times New Roman"/>
          <w:caps w:val="false"/>
          <w:smallCaps w:val="false"/>
          <w:sz w:val="20"/>
        </w:rPr>
        <w:t>. If any provision of this Agreement is held invalid or unenforceable by any court of competent jurisdiction, the other provisions of this Agreement will remain in full force and effect. Any invalid or unenforceable provision shall be replaced by HealthStream and Frist with a valid provision which most closely approximates the intent and economic effect of the invalid or unenforceable provision.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Governing Law</w:t>
      </w:r>
      <w:r>
        <w:rPr>
          <w:rFonts w:ascii="Times New Roman" w:hAnsi="Times New Roman"/>
          <w:caps w:val="false"/>
          <w:smallCaps w:val="false"/>
          <w:sz w:val="20"/>
        </w:rPr>
        <w:t>. This Agreement will be governed by and construed in accordance with the laws of the State of Tennessee, without regard to the conflict of law provisions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w:t>
      </w:r>
      <w:r>
        <w:rPr>
          <w:rFonts w:ascii="Times New Roman" w:hAnsi="Times New Roman"/>
          <w:caps w:val="false"/>
          <w:smallCaps w:val="false"/>
          <w:sz w:val="20"/>
          <w:u w:val="single"/>
        </w:rPr>
        <w:t>    Construction</w:t>
      </w:r>
      <w:r>
        <w:rPr>
          <w:rFonts w:ascii="Times New Roman" w:hAnsi="Times New Roman"/>
          <w:caps w:val="false"/>
          <w:smallCaps w:val="false"/>
          <w:sz w:val="20"/>
        </w:rPr>
        <w:t>. The language used in the Agreement will be construed, in all cases, according to its fair meaning, and not for or against any party hereto. The parties acknowledge that each party has reviewed this Agreement and that rules of construction to the effect that any ambiguities are to be resolved against the drafting party will not be available in the interpretation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w:t>
      </w:r>
      <w:r>
        <w:rPr>
          <w:rFonts w:ascii="Times New Roman" w:hAnsi="Times New Roman"/>
          <w:caps w:val="false"/>
          <w:smallCaps w:val="false"/>
          <w:sz w:val="20"/>
          <w:u w:val="single"/>
        </w:rPr>
        <w:t>    Execution of Agreement; Counterparts</w:t>
      </w:r>
      <w:r>
        <w:rPr>
          <w:rFonts w:ascii="Times New Roman" w:hAnsi="Times New Roman"/>
          <w:caps w:val="false"/>
          <w:smallCaps w:val="false"/>
          <w:sz w:val="20"/>
        </w:rPr>
        <w:t>. This Agreement may be executed in one or more counterparts, each of which will be deemed to be an original copy of this Agreement and all of which, when taken together, will be deemed to constitute one and the same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[remainder of page intentionally left blank]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pPr>
      <w:r>
        <w:rPr/>
        <w:t>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Frist and HealthStream have executed this Agreement as of the Effective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4320" w:right="0" w:firstLine="720"/>
        <w:jc w:val="center"/>
        <w:rPr>
          <w:rFonts w:ascii="Times New Roman" w:hAnsi="Times New Roman"/>
          <w:b/>
          <w:caps w:val="false"/>
          <w:smallCaps w:val="false"/>
          <w:sz w:val="20"/>
        </w:rPr>
      </w:pPr>
      <w:r>
        <w:rPr>
          <w:rFonts w:ascii="Times New Roman" w:hAnsi="Times New Roman"/>
          <w:b/>
          <w:caps w:val="false"/>
          <w:smallCaps w:val="false"/>
          <w:sz w:val="20"/>
        </w:rPr>
        <w:t>Robert A. Frist, Jr.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4320" w:right="0" w:firstLine="720"/>
        <w:jc w:val="center"/>
        <w:rPr>
          <w:caps w:val="false"/>
          <w:smallCaps w:val="false"/>
        </w:rPr>
      </w:pPr>
      <w:r>
        <w:rPr>
          <w:caps w:val="false"/>
          <w:smallCaps w:val="false"/>
        </w:rPr>
        <w:t xml:space="preserve">                                                                                                                                                          </w:t>
      </w:r>
      <w:r>
        <w:rPr>
          <w:rFonts w:ascii="Times New Roman" w:hAnsi="Times New Roman"/>
          <w:caps w:val="false"/>
          <w:smallCaps w:val="false"/>
          <w:sz w:val="20"/>
        </w:rPr>
        <w:t>Sign Name:                     </w:t>
      </w:r>
      <w:r>
        <w:rPr>
          <w:rFonts w:ascii="Times New Roman" w:hAnsi="Times New Roman"/>
          <w:caps w:val="false"/>
          <w:smallCaps w:val="false"/>
          <w:sz w:val="20"/>
          <w:u w:val="single"/>
        </w:rPr>
        <w:t> /s/ Robert A. Frist, Jr.                                                                                        </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260"/>
        <w:rPr>
          <w:caps w:val="false"/>
          <w:smallCaps w:val="false"/>
        </w:rPr>
      </w:pPr>
      <w:r>
        <w:rPr>
          <w:caps w:val="false"/>
          <w:smallCaps w:val="false"/>
        </w:rPr>
        <w:t> </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ACCEPTED AND AGREED: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/s/ Michael M. Collier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Name:         Michael M. Collier</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Its:              Senior Vice President, Corporate Development and General Counsel</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caps w:val="false"/>
          <w:smallCaps w:val="false"/>
          <w:sz w:val="20"/>
        </w:rPr>
      </w:pPr>
      <w:bookmarkStart w:id="203" w:name="ex_313293.htm"/>
      <w:bookmarkStart w:id="204" w:name="ksex_313293"/>
      <w:bookmarkEnd w:id="203"/>
      <w:bookmarkEnd w:id="204"/>
      <w:r>
        <w:rPr>
          <w:rFonts w:ascii="Times New Roman" w:hAnsi="Times New Roman"/>
          <w:caps w:val="false"/>
          <w:smallCaps w:val="false"/>
          <w:sz w:val="20"/>
        </w:rPr>
        <w:t>EXHIBIT 21.1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SUBSIDIARIES OF HEALTHSTREAM, INC.</w:t>
      </w:r>
    </w:p>
    <w:p>
      <w:pPr>
        <w:pStyle w:val="TextBody"/>
        <w:spacing w:before="0" w:after="0"/>
        <w:ind w:left="0" w:right="0" w:hanging="0"/>
        <w:rPr>
          <w:caps w:val="false"/>
          <w:smallCaps w:val="false"/>
        </w:rPr>
      </w:pPr>
      <w:r>
        <w:rPr>
          <w:caps w:val="false"/>
          <w:smallCaps w:val="false"/>
        </w:rPr>
        <w:t> </w:t>
      </w:r>
    </w:p>
    <w:tbl>
      <w:tblPr>
        <w:tblW w:w="6190" w:type="dxa"/>
        <w:jc w:val="left"/>
        <w:tblInd w:w="0" w:type="dxa"/>
        <w:tblCellMar>
          <w:top w:w="0" w:type="dxa"/>
          <w:left w:w="0" w:type="dxa"/>
          <w:bottom w:w="0" w:type="dxa"/>
          <w:right w:w="0" w:type="dxa"/>
        </w:tblCellMar>
      </w:tblPr>
      <w:tblGrid>
        <w:gridCol w:w="3785"/>
        <w:gridCol w:w="60"/>
        <w:gridCol w:w="2345"/>
      </w:tblGrid>
      <w:tr>
        <w:trPr/>
        <w:tc>
          <w:tcPr>
            <w:tcW w:w="378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Names Under Which We Do Business</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w:t>
            </w:r>
          </w:p>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Organization</w:t>
            </w:r>
          </w:p>
        </w:tc>
      </w:tr>
      <w:tr>
        <w:trPr/>
        <w:tc>
          <w:tcPr>
            <w:tcW w:w="3785" w:type="dxa"/>
            <w:tcBorders/>
            <w:shd w:fill="auto" w:val="clear"/>
            <w:vAlign w:val="center"/>
          </w:tcPr>
          <w:p>
            <w:pPr>
              <w:pStyle w:val="TableContents"/>
              <w:spacing w:before="0" w:after="283"/>
              <w:rPr/>
            </w:pPr>
            <w:r>
              <w:rPr/>
              <w:t> </w:t>
            </w:r>
          </w:p>
        </w:tc>
        <w:tc>
          <w:tcPr>
            <w:tcW w:w="2405" w:type="dxa"/>
            <w:gridSpan w:val="2"/>
            <w:tcBorders/>
            <w:shd w:fill="auto" w:val="clear"/>
            <w:vAlign w:val="center"/>
          </w:tcPr>
          <w:p>
            <w:pPr>
              <w:pStyle w:val="TableContents"/>
              <w:spacing w:before="0" w:after="283"/>
              <w:rPr/>
            </w:pPr>
            <w:r>
              <w:rPr/>
              <w:t> </w:t>
            </w:r>
          </w:p>
        </w:tc>
      </w:tr>
      <w:tr>
        <w:trPr/>
        <w:tc>
          <w:tcPr>
            <w:tcW w:w="37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VerityStream, Inc. (f/k/a Echo, Inc.)</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Tennessee</w:t>
            </w:r>
          </w:p>
        </w:tc>
      </w:tr>
      <w:tr>
        <w:trPr/>
        <w:tc>
          <w:tcPr>
            <w:tcW w:w="3785" w:type="dxa"/>
            <w:tcBorders/>
            <w:shd w:fill="auto" w:val="clear"/>
            <w:vAlign w:val="center"/>
          </w:tcPr>
          <w:p>
            <w:pPr>
              <w:pStyle w:val="TableContents"/>
              <w:spacing w:before="0" w:after="283"/>
              <w:rPr/>
            </w:pPr>
            <w:r>
              <w:rPr/>
              <w:t> </w:t>
            </w:r>
          </w:p>
        </w:tc>
        <w:tc>
          <w:tcPr>
            <w:tcW w:w="2405" w:type="dxa"/>
            <w:gridSpan w:val="2"/>
            <w:tcBorders/>
            <w:shd w:fill="auto" w:val="clear"/>
            <w:vAlign w:val="center"/>
          </w:tcPr>
          <w:p>
            <w:pPr>
              <w:pStyle w:val="TableContents"/>
              <w:spacing w:before="0" w:after="283"/>
              <w:rPr/>
            </w:pPr>
            <w:r>
              <w:rPr/>
              <w:t> </w:t>
            </w:r>
          </w:p>
        </w:tc>
      </w:tr>
      <w:tr>
        <w:trPr/>
        <w:tc>
          <w:tcPr>
            <w:tcW w:w="37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Information Solutions Company</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Nova Scotia, Canada</w:t>
            </w:r>
          </w:p>
        </w:tc>
      </w:tr>
      <w:tr>
        <w:trPr/>
        <w:tc>
          <w:tcPr>
            <w:tcW w:w="3785" w:type="dxa"/>
            <w:tcBorders/>
            <w:shd w:fill="auto" w:val="clear"/>
            <w:vAlign w:val="center"/>
          </w:tcPr>
          <w:p>
            <w:pPr>
              <w:pStyle w:val="TableContents"/>
              <w:spacing w:before="0" w:after="283"/>
              <w:rPr/>
            </w:pPr>
            <w:r>
              <w:rPr/>
              <w:t> </w:t>
            </w:r>
          </w:p>
        </w:tc>
        <w:tc>
          <w:tcPr>
            <w:tcW w:w="2405" w:type="dxa"/>
            <w:gridSpan w:val="2"/>
            <w:tcBorders/>
            <w:shd w:fill="auto" w:val="clear"/>
            <w:vAlign w:val="center"/>
          </w:tcPr>
          <w:p>
            <w:pPr>
              <w:pStyle w:val="TableContents"/>
              <w:spacing w:before="0" w:after="283"/>
              <w:rPr/>
            </w:pPr>
            <w:r>
              <w:rPr/>
              <w:t> </w:t>
            </w:r>
          </w:p>
        </w:tc>
      </w:tr>
      <w:tr>
        <w:trPr/>
        <w:tc>
          <w:tcPr>
            <w:tcW w:w="37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HSTM Group Australia PTY Limited</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Australia</w:t>
            </w:r>
          </w:p>
        </w:tc>
      </w:tr>
      <w:tr>
        <w:trPr/>
        <w:tc>
          <w:tcPr>
            <w:tcW w:w="3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283"/>
              <w:rPr/>
            </w:pPr>
            <w:r>
              <w:rPr/>
              <w:t> </w:t>
            </w:r>
          </w:p>
        </w:tc>
      </w:tr>
      <w:tr>
        <w:trPr/>
        <w:tc>
          <w:tcPr>
            <w:tcW w:w="37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HSTM Group New Zealand</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Zealand</w:t>
            </w:r>
          </w:p>
        </w:tc>
      </w:tr>
      <w:tr>
        <w:trPr/>
        <w:tc>
          <w:tcPr>
            <w:tcW w:w="3785" w:type="dxa"/>
            <w:tcBorders/>
            <w:shd w:fill="auto" w:val="clear"/>
            <w:vAlign w:val="center"/>
          </w:tcPr>
          <w:p>
            <w:pPr>
              <w:pStyle w:val="TableContents"/>
              <w:spacing w:before="0" w:after="283"/>
              <w:rPr/>
            </w:pPr>
            <w:r>
              <w:rPr/>
              <w:t> </w:t>
            </w:r>
          </w:p>
        </w:tc>
        <w:tc>
          <w:tcPr>
            <w:tcW w:w="2405" w:type="dxa"/>
            <w:gridSpan w:val="2"/>
            <w:tcBorders/>
            <w:shd w:fill="auto" w:val="clear"/>
            <w:vAlign w:val="center"/>
          </w:tcPr>
          <w:p>
            <w:pPr>
              <w:pStyle w:val="TableContents"/>
              <w:spacing w:before="0" w:after="283"/>
              <w:rPr/>
            </w:pPr>
            <w:r>
              <w:rPr/>
              <w:t> </w:t>
            </w:r>
          </w:p>
        </w:tc>
      </w:tr>
      <w:tr>
        <w:trPr/>
        <w:tc>
          <w:tcPr>
            <w:tcW w:w="37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NHQ Canada, LLC</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Colorado</w:t>
            </w:r>
          </w:p>
        </w:tc>
      </w:tr>
      <w:tr>
        <w:trPr/>
        <w:tc>
          <w:tcPr>
            <w:tcW w:w="3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caps w:val="false"/>
          <w:smallCaps w:val="false"/>
          <w:sz w:val="20"/>
        </w:rPr>
      </w:pPr>
      <w:bookmarkStart w:id="205" w:name="ex_313294.htm"/>
      <w:bookmarkStart w:id="206" w:name="ksex_313294"/>
      <w:bookmarkEnd w:id="205"/>
      <w:bookmarkEnd w:id="206"/>
      <w:r>
        <w:rPr>
          <w:rFonts w:ascii="Times New Roman" w:hAnsi="Times New Roman"/>
          <w:caps w:val="false"/>
          <w:smallCaps w:val="false"/>
          <w:sz w:val="20"/>
        </w:rPr>
        <w:t>EXHIBIT 23.1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following Registration Statements: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40"/>
        <w:gridCol w:w="9905"/>
      </w:tblGrid>
      <w:tr>
        <w:trPr/>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Registration Statement (Form S-3 ASR No. 333-230169) of HealthStream, Inc. for the registration of shares of its common stock; and</w:t>
            </w:r>
          </w:p>
        </w:tc>
      </w:tr>
    </w:tbl>
    <w:tbl>
      <w:tblPr>
        <w:tblW w:w="9955" w:type="dxa"/>
        <w:jc w:val="left"/>
        <w:tblInd w:w="0" w:type="dxa"/>
        <w:tblCellMar>
          <w:top w:w="0" w:type="dxa"/>
          <w:left w:w="0" w:type="dxa"/>
          <w:bottom w:w="0" w:type="dxa"/>
          <w:right w:w="0" w:type="dxa"/>
        </w:tblCellMar>
      </w:tblPr>
      <w:tblGrid>
        <w:gridCol w:w="60"/>
        <w:gridCol w:w="245"/>
        <w:gridCol w:w="965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c>
          <w:tcPr>
            <w:tcW w:w="96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Registration Statement (Form S-8 No. 333-211725) pertaining to the HealthStream, Inc. 2016 Omnibus Incentive Plan;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of our reports dated February 28, 2022, with respect to the consolidated financial statements of HealthStream, Inc. and the effectiveness of internal control over financial reporting of HealthStream, Inc. included in this Annual Report (Form 10-K) of HealthStream, Inc. for the year ended </w:t>
      </w:r>
      <w:bookmarkStart w:id="207" w:name="led198663F20211161638824487564"/>
      <w:bookmarkEnd w:id="207"/>
      <w:r>
        <w:rPr>
          <w:rFonts w:ascii="Times New Roman" w:hAnsi="Times New Roman"/>
          <w:caps w:val="false"/>
          <w:smallCaps w:val="false"/>
          <w:sz w:val="20"/>
        </w:rPr>
        <w:t>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Nashville, Tennessee</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February 28,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caps w:val="false"/>
          <w:smallCaps w:val="false"/>
          <w:sz w:val="20"/>
        </w:rPr>
      </w:pPr>
      <w:bookmarkStart w:id="208" w:name="ex_313295.htm"/>
      <w:bookmarkStart w:id="209" w:name="ksex_313295"/>
      <w:bookmarkEnd w:id="208"/>
      <w:bookmarkEnd w:id="209"/>
      <w:r>
        <w:rPr>
          <w:rFonts w:ascii="Times New Roman" w:hAnsi="Times New Roman"/>
          <w:caps w:val="false"/>
          <w:smallCaps w:val="false"/>
          <w:sz w:val="20"/>
        </w:rPr>
        <w:t>EXHIBIT 31.1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spacing w:before="0" w:after="0"/>
        <w:ind w:left="0" w:right="0" w:hanging="0"/>
        <w:rPr>
          <w:caps w:val="false"/>
          <w:smallCaps w:val="false"/>
        </w:rPr>
      </w:pPr>
      <w:r>
        <w:rPr>
          <w:caps w:val="false"/>
          <w:smallCaps w:val="false"/>
        </w:rPr>
        <w:t> </w:t>
      </w:r>
    </w:p>
    <w:tbl>
      <w:tblPr>
        <w:tblW w:w="2635" w:type="dxa"/>
        <w:jc w:val="left"/>
        <w:tblInd w:w="0" w:type="dxa"/>
        <w:tblCellMar>
          <w:top w:w="0" w:type="dxa"/>
          <w:left w:w="0" w:type="dxa"/>
          <w:bottom w:w="0" w:type="dxa"/>
          <w:right w:w="0" w:type="dxa"/>
        </w:tblCellMar>
      </w:tblPr>
      <w:tblGrid>
        <w:gridCol w:w="125"/>
        <w:gridCol w:w="2510"/>
      </w:tblGrid>
      <w:tr>
        <w:trPr/>
        <w:tc>
          <w:tcPr>
            <w:tcW w:w="1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I,</w:t>
            </w:r>
          </w:p>
        </w:tc>
        <w:tc>
          <w:tcPr>
            <w:tcW w:w="25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Robert A. Frist, Jr., certify that:</w:t>
            </w:r>
          </w:p>
        </w:tc>
      </w:tr>
    </w:tbl>
    <w:p>
      <w:pPr>
        <w:pStyle w:val="TextBody"/>
        <w:spacing w:before="0" w:after="0"/>
        <w:ind w:left="0" w:right="0" w:hanging="0"/>
        <w:rPr>
          <w:caps w:val="false"/>
          <w:smallCaps w:val="false"/>
        </w:rPr>
      </w:pPr>
      <w:r>
        <w:rPr>
          <w:caps w:val="false"/>
          <w:smallCaps w:val="false"/>
        </w:rPr>
        <w:t> </w:t>
      </w:r>
    </w:p>
    <w:tbl>
      <w:tblPr>
        <w:tblW w:w="5905" w:type="dxa"/>
        <w:jc w:val="left"/>
        <w:tblInd w:w="0" w:type="dxa"/>
        <w:tblCellMar>
          <w:top w:w="0" w:type="dxa"/>
          <w:left w:w="0" w:type="dxa"/>
          <w:bottom w:w="0" w:type="dxa"/>
          <w:right w:w="0" w:type="dxa"/>
        </w:tblCellMar>
      </w:tblPr>
      <w:tblGrid>
        <w:gridCol w:w="170"/>
        <w:gridCol w:w="5735"/>
      </w:tblGrid>
      <w:tr>
        <w:trPr/>
        <w:tc>
          <w:tcPr>
            <w:tcW w:w="1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57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HealthStream, Inc.;</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0145"/>
      </w:tblGrid>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0145"/>
      </w:tblGrid>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b) 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4435" w:type="dxa"/>
        <w:jc w:val="left"/>
        <w:tblInd w:w="0" w:type="dxa"/>
        <w:tblCellMar>
          <w:top w:w="0" w:type="dxa"/>
          <w:left w:w="0" w:type="dxa"/>
          <w:bottom w:w="0" w:type="dxa"/>
          <w:right w:w="0" w:type="dxa"/>
        </w:tblCellMar>
      </w:tblPr>
      <w:tblGrid>
        <w:gridCol w:w="2030"/>
        <w:gridCol w:w="60"/>
        <w:gridCol w:w="2345"/>
      </w:tblGrid>
      <w:tr>
        <w:trPr/>
        <w:tc>
          <w:tcPr>
            <w:tcW w:w="20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Date</w:t>
            </w:r>
            <w:r>
              <w:rPr>
                <w:rFonts w:ascii="Times New Roman" w:hAnsi="Times New Roman"/>
                <w:caps w:val="false"/>
                <w:smallCaps w:val="false"/>
                <w:sz w:val="20"/>
              </w:rPr>
              <w:t> : February 28, 2022</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 xml:space="preserve">/s/ </w:t>
            </w:r>
            <w:r>
              <w:rPr>
                <w:rFonts w:ascii="Times New Roman" w:hAnsi="Times New Roman"/>
                <w:smallCaps/>
                <w:sz w:val="20"/>
                <w:u w:val="single"/>
              </w:rPr>
              <w:t>Robert A. Frist, Jr.</w:t>
            </w:r>
            <w:r>
              <w:rPr>
                <w:rFonts w:ascii="Times New Roman" w:hAnsi="Times New Roman"/>
                <w:caps w:val="false"/>
                <w:smallCaps w:val="false"/>
                <w:sz w:val="20"/>
                <w:u w:val="single"/>
              </w:rPr>
              <w:t>        </w:t>
            </w:r>
          </w:p>
        </w:tc>
      </w:tr>
      <w:tr>
        <w:trPr/>
        <w:tc>
          <w:tcPr>
            <w:tcW w:w="20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20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caps w:val="false"/>
          <w:smallCaps w:val="false"/>
          <w:sz w:val="20"/>
        </w:rPr>
      </w:pPr>
      <w:bookmarkStart w:id="210" w:name="ex_313296.htm"/>
      <w:bookmarkStart w:id="211" w:name="ksex_313296"/>
      <w:bookmarkEnd w:id="210"/>
      <w:bookmarkEnd w:id="211"/>
      <w:r>
        <w:rPr>
          <w:rFonts w:ascii="Times New Roman" w:hAnsi="Times New Roman"/>
          <w:caps w:val="false"/>
          <w:smallCaps w:val="false"/>
          <w:sz w:val="20"/>
        </w:rPr>
        <w:t>EXHIBIT 31.2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spacing w:before="0" w:after="0"/>
        <w:ind w:left="0" w:right="0" w:hanging="0"/>
        <w:rPr>
          <w:caps w:val="false"/>
          <w:smallCaps w:val="false"/>
        </w:rPr>
      </w:pPr>
      <w:r>
        <w:rPr>
          <w:caps w:val="false"/>
          <w:smallCaps w:val="false"/>
        </w:rPr>
        <w:t> </w:t>
      </w:r>
    </w:p>
    <w:p>
      <w:pPr>
        <w:pStyle w:val="TextBody"/>
        <w:spacing w:lineRule="auto" w:line="300" w:before="0" w:after="0"/>
        <w:rPr>
          <w:rFonts w:ascii="Times New Roman" w:hAnsi="Times New Roman"/>
          <w:sz w:val="20"/>
        </w:rPr>
      </w:pPr>
      <w:r>
        <w:rPr>
          <w:rFonts w:ascii="Times New Roman" w:hAnsi="Times New Roman"/>
          <w:sz w:val="20"/>
        </w:rPr>
        <w:t>I, Scott A. Roberts, certify that:</w:t>
      </w:r>
    </w:p>
    <w:p>
      <w:pPr>
        <w:pStyle w:val="TextBody"/>
        <w:spacing w:before="0" w:after="0"/>
        <w:ind w:left="0" w:right="0" w:hanging="0"/>
        <w:rPr>
          <w:caps w:val="false"/>
          <w:smallCaps w:val="false"/>
        </w:rPr>
      </w:pPr>
      <w:r>
        <w:rPr>
          <w:caps w:val="false"/>
          <w:smallCaps w:val="false"/>
        </w:rPr>
        <w:t> </w:t>
      </w:r>
    </w:p>
    <w:tbl>
      <w:tblPr>
        <w:tblW w:w="5905" w:type="dxa"/>
        <w:jc w:val="left"/>
        <w:tblInd w:w="0" w:type="dxa"/>
        <w:tblCellMar>
          <w:top w:w="0" w:type="dxa"/>
          <w:left w:w="0" w:type="dxa"/>
          <w:bottom w:w="0" w:type="dxa"/>
          <w:right w:w="0" w:type="dxa"/>
        </w:tblCellMar>
      </w:tblPr>
      <w:tblGrid>
        <w:gridCol w:w="170"/>
        <w:gridCol w:w="5735"/>
      </w:tblGrid>
      <w:tr>
        <w:trPr/>
        <w:tc>
          <w:tcPr>
            <w:tcW w:w="1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57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HealthStream, Inc.;</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0145"/>
      </w:tblGrid>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0145"/>
      </w:tblGrid>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0145" w:type="dxa"/>
            <w:tcBorders/>
            <w:shd w:fill="auto" w:val="clear"/>
            <w:vAlign w:val="center"/>
          </w:tcPr>
          <w:p>
            <w:pPr>
              <w:pStyle w:val="TableContents"/>
              <w:spacing w:before="0" w:after="283"/>
              <w:rPr/>
            </w:pPr>
            <w:r>
              <w:rPr/>
              <w:t>b) 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4375" w:type="dxa"/>
        <w:jc w:val="left"/>
        <w:tblInd w:w="0" w:type="dxa"/>
        <w:tblCellMar>
          <w:top w:w="0" w:type="dxa"/>
          <w:left w:w="0" w:type="dxa"/>
          <w:bottom w:w="0" w:type="dxa"/>
          <w:right w:w="0" w:type="dxa"/>
        </w:tblCellMar>
      </w:tblPr>
      <w:tblGrid>
        <w:gridCol w:w="2030"/>
        <w:gridCol w:w="60"/>
        <w:gridCol w:w="2285"/>
      </w:tblGrid>
      <w:tr>
        <w:trPr/>
        <w:tc>
          <w:tcPr>
            <w:tcW w:w="20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Date</w:t>
            </w:r>
            <w:r>
              <w:rPr>
                <w:rFonts w:ascii="Times New Roman" w:hAnsi="Times New Roman"/>
                <w:caps w:val="false"/>
                <w:smallCaps w:val="false"/>
                <w:sz w:val="20"/>
              </w:rPr>
              <w:t> : February 28, 2022</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 xml:space="preserve">/s/ </w:t>
            </w:r>
            <w:r>
              <w:rPr>
                <w:rFonts w:ascii="Times New Roman" w:hAnsi="Times New Roman"/>
                <w:smallCaps/>
                <w:sz w:val="20"/>
                <w:u w:val="single"/>
              </w:rPr>
              <w:t>Scott A. Roberts</w:t>
            </w:r>
            <w:r>
              <w:rPr>
                <w:rFonts w:ascii="Times New Roman" w:hAnsi="Times New Roman"/>
                <w:caps w:val="false"/>
                <w:smallCaps w:val="false"/>
                <w:sz w:val="20"/>
                <w:u w:val="single"/>
              </w:rPr>
              <w:t xml:space="preserve">          </w:t>
            </w:r>
          </w:p>
        </w:tc>
      </w:tr>
      <w:tr>
        <w:trPr/>
        <w:tc>
          <w:tcPr>
            <w:tcW w:w="20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20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caps w:val="false"/>
          <w:smallCaps w:val="false"/>
          <w:sz w:val="20"/>
        </w:rPr>
      </w:pPr>
      <w:bookmarkStart w:id="212" w:name="ex_313297.htm"/>
      <w:bookmarkStart w:id="213" w:name="ksex_313297"/>
      <w:bookmarkEnd w:id="212"/>
      <w:bookmarkEnd w:id="213"/>
      <w:r>
        <w:rPr>
          <w:rFonts w:ascii="Times New Roman" w:hAnsi="Times New Roman"/>
          <w:caps w:val="false"/>
          <w:smallCaps w:val="false"/>
          <w:sz w:val="20"/>
        </w:rPr>
        <w:t>EXHIBIT 32.1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Annual Report of HealthStream, Inc. (the “Company”) on Form 10-K for the year ending </w:t>
      </w:r>
      <w:bookmarkStart w:id="214" w:name="led198663F20211161638824570240"/>
      <w:bookmarkEnd w:id="214"/>
      <w:r>
        <w:rPr>
          <w:rFonts w:ascii="Times New Roman" w:hAnsi="Times New Roman"/>
          <w:caps w:val="false"/>
          <w:smallCaps w:val="false"/>
          <w:sz w:val="20"/>
        </w:rPr>
        <w:t>December 31, 2021, as filed with the Securities and Exchange Commission on the date hereof (the “Report”), Robert A. Frist, Jr., Chief Executive Officer of the Company certifies, pursuant to 18 U.S.C. §1350, as adopted pursuant to §906 of the Sarbanes-Oxley Act of 2002, that:</w:t>
      </w:r>
    </w:p>
    <w:p>
      <w:pPr>
        <w:pStyle w:val="TextBody"/>
        <w:spacing w:before="0" w:after="0"/>
        <w:ind w:left="0" w:right="0" w:hanging="0"/>
        <w:rPr>
          <w:caps w:val="false"/>
          <w:smallCaps w:val="false"/>
        </w:rPr>
      </w:pPr>
      <w:r>
        <w:rPr>
          <w:caps w:val="false"/>
          <w:smallCaps w:val="false"/>
        </w:rPr>
        <w:t> </w:t>
      </w:r>
    </w:p>
    <w:tbl>
      <w:tblPr>
        <w:tblW w:w="9895" w:type="dxa"/>
        <w:jc w:val="left"/>
        <w:tblInd w:w="0" w:type="dxa"/>
        <w:tblCellMar>
          <w:top w:w="0" w:type="dxa"/>
          <w:left w:w="0" w:type="dxa"/>
          <w:bottom w:w="0" w:type="dxa"/>
          <w:right w:w="0" w:type="dxa"/>
        </w:tblCellMar>
      </w:tblPr>
      <w:tblGrid>
        <w:gridCol w:w="60"/>
        <w:gridCol w:w="245"/>
        <w:gridCol w:w="959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34"/>
        <w:gridCol w:w="9911"/>
      </w:tblGrid>
      <w:tr>
        <w:trPr/>
        <w:tc>
          <w:tcPr>
            <w:tcW w:w="60"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0" w:right="0" w:hanging="0"/>
        <w:rPr>
          <w:caps w:val="false"/>
          <w:smallCaps w:val="false"/>
        </w:rPr>
      </w:pPr>
      <w:r>
        <w:rPr>
          <w:caps w:val="false"/>
          <w:smallCaps w:val="false"/>
        </w:rPr>
        <w:t> </w:t>
      </w:r>
    </w:p>
    <w:tbl>
      <w:tblPr>
        <w:tblW w:w="2930" w:type="dxa"/>
        <w:jc w:val="left"/>
        <w:tblInd w:w="0" w:type="dxa"/>
        <w:tblCellMar>
          <w:top w:w="0" w:type="dxa"/>
          <w:left w:w="0" w:type="dxa"/>
          <w:bottom w:w="0" w:type="dxa"/>
          <w:right w:w="0" w:type="dxa"/>
        </w:tblCellMar>
      </w:tblPr>
      <w:tblGrid>
        <w:gridCol w:w="2930"/>
      </w:tblGrid>
      <w:tr>
        <w:trPr/>
        <w:tc>
          <w:tcPr>
            <w:tcW w:w="29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 xml:space="preserve">/s/ </w:t>
            </w:r>
            <w:r>
              <w:rPr>
                <w:rFonts w:ascii="Times New Roman" w:hAnsi="Times New Roman"/>
                <w:smallCaps/>
                <w:sz w:val="20"/>
                <w:u w:val="single"/>
              </w:rPr>
              <w:t>Robert A. Frist, Jr.</w:t>
            </w:r>
            <w:r>
              <w:rPr>
                <w:rFonts w:ascii="Times New Roman" w:hAnsi="Times New Roman"/>
                <w:caps w:val="false"/>
                <w:smallCaps w:val="false"/>
                <w:sz w:val="20"/>
                <w:u w:val="single"/>
              </w:rPr>
              <w:t xml:space="preserve">                     </w:t>
            </w:r>
          </w:p>
        </w:tc>
      </w:tr>
      <w:tr>
        <w:trPr/>
        <w:tc>
          <w:tcPr>
            <w:tcW w:w="29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29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29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28, 2022</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caps w:val="false"/>
          <w:smallCaps w:val="false"/>
          <w:sz w:val="20"/>
        </w:rPr>
      </w:pPr>
      <w:bookmarkStart w:id="215" w:name="ex_313298.htm"/>
      <w:bookmarkStart w:id="216" w:name="ksex_313298"/>
      <w:bookmarkEnd w:id="215"/>
      <w:bookmarkEnd w:id="216"/>
      <w:r>
        <w:rPr>
          <w:rFonts w:ascii="Times New Roman" w:hAnsi="Times New Roman"/>
          <w:caps w:val="false"/>
          <w:smallCaps w:val="false"/>
          <w:sz w:val="20"/>
        </w:rPr>
        <w:t>EXHIBIT 32.2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Annual Report of HealthStream, Inc. (the “Company”) on Form 10-K for the year ending </w:t>
      </w:r>
      <w:bookmarkStart w:id="217" w:name="led198663F20211161638824600465"/>
      <w:bookmarkEnd w:id="217"/>
      <w:r>
        <w:rPr>
          <w:rFonts w:ascii="Times New Roman" w:hAnsi="Times New Roman"/>
          <w:caps w:val="false"/>
          <w:smallCaps w:val="false"/>
          <w:sz w:val="20"/>
        </w:rPr>
        <w:t>December 31, 2021, as filed with the Securities and Exchange Commission on the date hereof (the “Report”), Scott A. Roberts, Chief Financial Officer of the Company certifies, pursuant to 18 U.S.C. § 1350, as adopted pursuant to §906 of the Sarbanes-Oxley Act of 2002, that:</w:t>
      </w:r>
    </w:p>
    <w:p>
      <w:pPr>
        <w:pStyle w:val="TextBody"/>
        <w:spacing w:before="0" w:after="0"/>
        <w:ind w:left="0" w:right="0" w:hanging="0"/>
        <w:rPr>
          <w:caps w:val="false"/>
          <w:smallCaps w:val="false"/>
        </w:rPr>
      </w:pPr>
      <w:r>
        <w:rPr>
          <w:caps w:val="false"/>
          <w:smallCaps w:val="false"/>
        </w:rPr>
        <w:t> </w:t>
      </w:r>
    </w:p>
    <w:tbl>
      <w:tblPr>
        <w:tblW w:w="9895" w:type="dxa"/>
        <w:jc w:val="left"/>
        <w:tblInd w:w="0" w:type="dxa"/>
        <w:tblCellMar>
          <w:top w:w="0" w:type="dxa"/>
          <w:left w:w="0" w:type="dxa"/>
          <w:bottom w:w="0" w:type="dxa"/>
          <w:right w:w="0" w:type="dxa"/>
        </w:tblCellMar>
      </w:tblPr>
      <w:tblGrid>
        <w:gridCol w:w="60"/>
        <w:gridCol w:w="245"/>
        <w:gridCol w:w="959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34"/>
        <w:gridCol w:w="9911"/>
      </w:tblGrid>
      <w:tr>
        <w:trPr/>
        <w:tc>
          <w:tcPr>
            <w:tcW w:w="60"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0" w:right="0" w:hanging="0"/>
        <w:rPr>
          <w:caps w:val="false"/>
          <w:smallCaps w:val="false"/>
        </w:rPr>
      </w:pPr>
      <w:r>
        <w:rPr>
          <w:caps w:val="false"/>
          <w:smallCaps w:val="false"/>
        </w:rPr>
        <w:t> </w:t>
      </w:r>
    </w:p>
    <w:tbl>
      <w:tblPr>
        <w:tblW w:w="2150" w:type="dxa"/>
        <w:jc w:val="left"/>
        <w:tblInd w:w="0" w:type="dxa"/>
        <w:tblCellMar>
          <w:top w:w="0" w:type="dxa"/>
          <w:left w:w="0" w:type="dxa"/>
          <w:bottom w:w="0" w:type="dxa"/>
          <w:right w:w="0" w:type="dxa"/>
        </w:tblCellMar>
      </w:tblPr>
      <w:tblGrid>
        <w:gridCol w:w="2150"/>
      </w:tblGrid>
      <w:tr>
        <w:trPr/>
        <w:tc>
          <w:tcPr>
            <w:tcW w:w="215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/s/  </w:t>
            </w:r>
            <w:r>
              <w:rPr>
                <w:rFonts w:ascii="Times New Roman" w:hAnsi="Times New Roman"/>
                <w:smallCaps/>
                <w:sz w:val="20"/>
                <w:u w:val="single"/>
              </w:rPr>
              <w:t>Scott A. Roberts</w:t>
            </w:r>
            <w:r>
              <w:rPr>
                <w:rFonts w:ascii="Times New Roman" w:hAnsi="Times New Roman"/>
                <w:caps w:val="false"/>
                <w:smallCaps w:val="false"/>
                <w:sz w:val="20"/>
                <w:u w:val="single"/>
              </w:rPr>
              <w:t xml:space="preserve">      </w:t>
            </w:r>
          </w:p>
        </w:tc>
      </w:tr>
      <w:tr>
        <w:trPr/>
        <w:tc>
          <w:tcPr>
            <w:tcW w:w="215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215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15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28, 2022</w:t>
            </w:r>
          </w:p>
        </w:tc>
      </w:tr>
    </w:tbl>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95565/000119312518040420/d539001dex21.htm" TargetMode="External"/><Relationship Id="rId4" Type="http://schemas.openxmlformats.org/officeDocument/2006/relationships/hyperlink" Target="http://www.sec.gov/Archives/edgar/data/1095565/000156459020055624/hstm-ex21_35.htm" TargetMode="External"/><Relationship Id="rId5" Type="http://schemas.openxmlformats.org/officeDocument/2006/relationships/hyperlink" Target="http://www.sec.gov/Archives/edgar/data/1095565/000095014499011846/0000950144-99-011846.txt" TargetMode="External"/><Relationship Id="rId6" Type="http://schemas.openxmlformats.org/officeDocument/2006/relationships/hyperlink" Target="http://www.sec.gov/Archives/edgar/data/1095565/000119312515351970/d98731dex31.htm" TargetMode="External"/><Relationship Id="rId7" Type="http://schemas.openxmlformats.org/officeDocument/2006/relationships/hyperlink" Target="http://www.sec.gov/Archives/edgar/data/1095565/000095014400004319/0000950144-00-004319.txt" TargetMode="External"/><Relationship Id="rId8" Type="http://schemas.openxmlformats.org/officeDocument/2006/relationships/hyperlink" Target="http://www.sec.gov/Archives/edgar/data/1095565/000095014499011846/0000950144-99-011846.txt" TargetMode="External"/><Relationship Id="rId9" Type="http://schemas.openxmlformats.org/officeDocument/2006/relationships/hyperlink" Target="http://www.sec.gov/Archives/edgar/data/1095565/000119312515351970/d98731dex31.htm" TargetMode="External"/><Relationship Id="rId10" Type="http://schemas.openxmlformats.org/officeDocument/2006/relationships/hyperlink" Target="http://www.sec.gov/Archives/edgar/data/1095565/000156459020006849/hstm-ex43_225.htm" TargetMode="External"/><Relationship Id="rId11" Type="http://schemas.openxmlformats.org/officeDocument/2006/relationships/hyperlink" Target="http://www.sec.gov/Archives/edgar/data/1095565/000095014405007684/g96421exv10w1.txt" TargetMode="External"/><Relationship Id="rId12" Type="http://schemas.openxmlformats.org/officeDocument/2006/relationships/hyperlink" Target="http://www.sec.gov/Archives/edgar/data/1095565/000119312514425153/d827074dex101.htm" TargetMode="External"/><Relationship Id="rId13" Type="http://schemas.openxmlformats.org/officeDocument/2006/relationships/hyperlink" Target="http://www.sec.gov/Archives/edgar/data/1095565/000119312515360248/d81538dex101.htm" TargetMode="External"/><Relationship Id="rId14" Type="http://schemas.openxmlformats.org/officeDocument/2006/relationships/hyperlink" Target="http://www.sec.gov/Archives/edgar/data/1095565/000119312516608509/d201384dex101.htm" TargetMode="External"/><Relationship Id="rId15" Type="http://schemas.openxmlformats.org/officeDocument/2006/relationships/hyperlink" Target="http://www.sec.gov/Archives/edgar/data/1095565/000119312517151764/d371755dex101.htm" TargetMode="External"/><Relationship Id="rId16" Type="http://schemas.openxmlformats.org/officeDocument/2006/relationships/hyperlink" Target="http://www.sec.gov/Archives/edgar/data/1095565/000119312517151764/d371755dex102.htm" TargetMode="External"/><Relationship Id="rId17" Type="http://schemas.openxmlformats.org/officeDocument/2006/relationships/hyperlink" Target="http://www.sec.gov/Archives/edgar/data/1095565/000119312517242423/d408430dex101.htm" TargetMode="External"/><Relationship Id="rId18" Type="http://schemas.openxmlformats.org/officeDocument/2006/relationships/hyperlink" Target="http://www.sec.gov/Archives/edgar/data/1095565/000129993317001158/exhibit1.htm" TargetMode="External"/><Relationship Id="rId19" Type="http://schemas.openxmlformats.org/officeDocument/2006/relationships/hyperlink" Target="http://www.sec.gov/Archives/edgar/data/1095565/000156459019000062/hstm-ex101_7.htm" TargetMode="External"/><Relationship Id="rId20" Type="http://schemas.openxmlformats.org/officeDocument/2006/relationships/hyperlink" Target="http://www.sec.gov/Archives/edgar/data/1095565/000156459020048433/hstm-ex101_33.htm" TargetMode="External"/><Relationship Id="rId21" Type="http://schemas.openxmlformats.org/officeDocument/2006/relationships/hyperlink" Target="http://www.sec.gov/Archives/edgar/data/1095565/000119312518164769/d569040dex101.htm" TargetMode="External"/><Relationship Id="rId22" Type="http://schemas.openxmlformats.org/officeDocument/2006/relationships/hyperlink" Target="http://www.sec.gov/Archives/edgar/data/1095565/000119312518164769/d569040dex102.htm" TargetMode="External"/><Relationship Id="rId23" Type="http://schemas.openxmlformats.org/officeDocument/2006/relationships/hyperlink" Target="http://www.sec.gov/Archives/edgar/data/0001095565/000156459021022023/hstm-ex1018_10.htm" TargetMode="External"/><Relationship Id="rId24" Type="http://schemas.openxmlformats.org/officeDocument/2006/relationships/hyperlink" Target="http://www.sec.gov/Archives/edgar/data/0001095565/000156459021022023/hstm-ex1019_11.htm" TargetMode="External"/><Relationship Id="rId25" Type="http://schemas.openxmlformats.org/officeDocument/2006/relationships/hyperlink" Target="http://www.sec.gov/Archives/edgar/data/1095565/000156459019026364/hstm-ex1020_381.htm" TargetMode="External"/><Relationship Id="rId26" Type="http://schemas.openxmlformats.org/officeDocument/2006/relationships/hyperlink" Target="http://www.sec.gov/Archives/edgar/data/1095565/000156459021008985/hstm-ex1019_66.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56139</Words>
  <CharactersWithSpaces>377778</CharactersWithSpaces>
  <Paragraphs>8813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