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-232410</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-215265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4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39"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7" w:lineRule="exact"/>
        <w:rPr>
          <w:sz w:val="24"/>
          <w:szCs w:val="24"/>
          <w:color w:val="auto"/>
        </w:rPr>
      </w:pPr>
    </w:p>
    <w:p>
      <w:pPr>
        <w:ind w:left="400" w:hanging="392"/>
        <w:spacing w:after="0"/>
        <w:tabs>
          <w:tab w:leader="none" w:pos="40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17145</wp:posOffset>
            </wp:positionH>
            <wp:positionV relativeFrom="paragraph">
              <wp:posOffset>-137160</wp:posOffset>
            </wp:positionV>
            <wp:extent cx="104140" cy="1054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4140" cy="105410"/>
                    </a:xfrm>
                    <a:prstGeom prst="rect">
                      <a:avLst/>
                    </a:prstGeom>
                    <a:noFill/>
                  </pic:spPr>
                </pic:pic>
              </a:graphicData>
            </a:graphic>
          </wp:anchor>
        </w:drawing>
      </w:r>
    </w:p>
    <w:p>
      <w:pPr>
        <w:spacing w:after="0" w:line="14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 xml:space="preserve">For the quarterly period ended </w:t>
      </w:r>
      <w:r>
        <w:rPr>
          <w:rFonts w:ascii="Arial" w:cs="Arial" w:eastAsia="Arial" w:hAnsi="Arial"/>
          <w:sz w:val="18"/>
          <w:szCs w:val="18"/>
          <w:color w:val="auto"/>
        </w:rPr>
        <w:t>June 30, 2020</w:t>
      </w:r>
    </w:p>
    <w:p>
      <w:pPr>
        <w:spacing w:after="0" w:line="189" w:lineRule="exact"/>
        <w:rPr>
          <w:sz w:val="24"/>
          <w:szCs w:val="24"/>
          <w:color w:val="auto"/>
        </w:rPr>
      </w:pPr>
    </w:p>
    <w:p>
      <w:pPr>
        <w:ind w:left="380" w:hanging="372"/>
        <w:spacing w:after="0"/>
        <w:tabs>
          <w:tab w:leader="none" w:pos="38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17145</wp:posOffset>
            </wp:positionH>
            <wp:positionV relativeFrom="paragraph">
              <wp:posOffset>-128270</wp:posOffset>
            </wp:positionV>
            <wp:extent cx="104140" cy="1054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4140" cy="105410"/>
                    </a:xfrm>
                    <a:prstGeom prst="rect">
                      <a:avLst/>
                    </a:prstGeom>
                    <a:noFill/>
                  </pic:spPr>
                </pic:pic>
              </a:graphicData>
            </a:graphic>
          </wp:anchor>
        </w:drawing>
      </w:r>
    </w:p>
    <w:p>
      <w:pPr>
        <w:spacing w:after="0" w:line="15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No.: 000-27701</w:t>
      </w:r>
    </w:p>
    <w:p>
      <w:pPr>
        <w:spacing w:after="0" w:line="173"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HealthStream, Inc.</w:t>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111" w:lineRule="exact"/>
        <w:rPr>
          <w:sz w:val="24"/>
          <w:szCs w:val="24"/>
          <w:color w:val="auto"/>
        </w:rPr>
      </w:pPr>
    </w:p>
    <w:tbl>
      <w:tblPr>
        <w:tblLayout w:type="fixed"/>
        <w:tblInd w:w="0" w:type="dxa"/>
        <w:tblCellMar>
          <w:top w:w="0" w:type="dxa"/>
          <w:left w:w="0" w:type="dxa"/>
          <w:bottom w:w="0" w:type="dxa"/>
          <w:right w:w="0" w:type="dxa"/>
        </w:tblCellMar>
      </w:tblPr>
      <w:tr>
        <w:trPr>
          <w:trHeight w:val="207"/>
        </w:trPr>
        <w:tc>
          <w:tcPr>
            <w:tcW w:w="20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6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81"/>
              </w:rPr>
              <w:t>Tennessee</w:t>
            </w:r>
          </w:p>
        </w:tc>
        <w:tc>
          <w:tcPr>
            <w:tcW w:w="800" w:type="dxa"/>
            <w:vAlign w:val="bottom"/>
            <w:gridSpan w:val="2"/>
          </w:tcPr>
          <w:p>
            <w:pPr>
              <w:spacing w:after="0"/>
              <w:rPr>
                <w:sz w:val="17"/>
                <w:szCs w:val="17"/>
                <w:color w:val="auto"/>
              </w:rPr>
            </w:pPr>
          </w:p>
        </w:tc>
        <w:tc>
          <w:tcPr>
            <w:tcW w:w="7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w w:val="87"/>
              </w:rPr>
              <w:t>62-1443555</w:t>
            </w:r>
          </w:p>
        </w:tc>
        <w:tc>
          <w:tcPr>
            <w:tcW w:w="2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6"/>
        </w:trPr>
        <w:tc>
          <w:tcPr>
            <w:tcW w:w="4000" w:type="dxa"/>
            <w:vAlign w:val="bottom"/>
            <w:gridSpan w:val="6"/>
          </w:tcPr>
          <w:p>
            <w:pPr>
              <w:jc w:val="center"/>
              <w:ind w:left="1541"/>
              <w:spacing w:after="0" w:line="147" w:lineRule="exact"/>
              <w:rPr>
                <w:sz w:val="20"/>
                <w:szCs w:val="20"/>
                <w:color w:val="auto"/>
              </w:rPr>
            </w:pPr>
            <w:r>
              <w:rPr>
                <w:rFonts w:ascii="Arial" w:cs="Arial" w:eastAsia="Arial" w:hAnsi="Arial"/>
                <w:sz w:val="14"/>
                <w:szCs w:val="14"/>
                <w:b w:val="1"/>
                <w:bCs w:val="1"/>
                <w:color w:val="auto"/>
                <w:w w:val="90"/>
              </w:rPr>
              <w:t>(State or other jurisdiction of</w:t>
            </w:r>
          </w:p>
        </w:tc>
        <w:tc>
          <w:tcPr>
            <w:tcW w:w="7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800" w:type="dxa"/>
            <w:vAlign w:val="bottom"/>
            <w:gridSpan w:val="5"/>
          </w:tcPr>
          <w:p>
            <w:pPr>
              <w:jc w:val="center"/>
              <w:ind w:right="1780"/>
              <w:spacing w:after="0" w:line="147" w:lineRule="exact"/>
              <w:rPr>
                <w:sz w:val="20"/>
                <w:szCs w:val="20"/>
                <w:color w:val="auto"/>
              </w:rPr>
            </w:pPr>
            <w:r>
              <w:rPr>
                <w:rFonts w:ascii="Arial" w:cs="Arial" w:eastAsia="Arial" w:hAnsi="Arial"/>
                <w:sz w:val="14"/>
                <w:szCs w:val="14"/>
                <w:b w:val="1"/>
                <w:bCs w:val="1"/>
                <w:color w:val="auto"/>
                <w:w w:val="94"/>
              </w:rPr>
              <w:t>(I.R.S. Employer</w:t>
            </w:r>
          </w:p>
        </w:tc>
        <w:tc>
          <w:tcPr>
            <w:tcW w:w="0" w:type="dxa"/>
            <w:vAlign w:val="bottom"/>
          </w:tcPr>
          <w:p>
            <w:pPr>
              <w:spacing w:after="0"/>
              <w:rPr>
                <w:sz w:val="1"/>
                <w:szCs w:val="1"/>
                <w:color w:val="auto"/>
              </w:rPr>
            </w:pPr>
          </w:p>
        </w:tc>
      </w:tr>
      <w:tr>
        <w:trPr>
          <w:trHeight w:val="186"/>
        </w:trPr>
        <w:tc>
          <w:tcPr>
            <w:tcW w:w="4000" w:type="dxa"/>
            <w:vAlign w:val="bottom"/>
            <w:gridSpan w:val="6"/>
          </w:tcPr>
          <w:p>
            <w:pPr>
              <w:jc w:val="center"/>
              <w:ind w:left="1561"/>
              <w:spacing w:after="0"/>
              <w:rPr>
                <w:sz w:val="20"/>
                <w:szCs w:val="20"/>
                <w:color w:val="auto"/>
              </w:rPr>
            </w:pPr>
            <w:r>
              <w:rPr>
                <w:rFonts w:ascii="Arial" w:cs="Arial" w:eastAsia="Arial" w:hAnsi="Arial"/>
                <w:sz w:val="14"/>
                <w:szCs w:val="14"/>
                <w:b w:val="1"/>
                <w:bCs w:val="1"/>
                <w:color w:val="auto"/>
                <w:w w:val="92"/>
              </w:rPr>
              <w:t>incorporation or organization)</w:t>
            </w:r>
          </w:p>
        </w:tc>
        <w:tc>
          <w:tcPr>
            <w:tcW w:w="7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800" w:type="dxa"/>
            <w:vAlign w:val="bottom"/>
            <w:gridSpan w:val="5"/>
          </w:tcPr>
          <w:p>
            <w:pPr>
              <w:jc w:val="center"/>
              <w:ind w:right="1780"/>
              <w:spacing w:after="0"/>
              <w:rPr>
                <w:sz w:val="20"/>
                <w:szCs w:val="20"/>
                <w:color w:val="auto"/>
              </w:rPr>
            </w:pPr>
            <w:r>
              <w:rPr>
                <w:rFonts w:ascii="Arial" w:cs="Arial" w:eastAsia="Arial" w:hAnsi="Arial"/>
                <w:sz w:val="14"/>
                <w:szCs w:val="14"/>
                <w:b w:val="1"/>
                <w:bCs w:val="1"/>
                <w:color w:val="auto"/>
                <w:w w:val="92"/>
              </w:rPr>
              <w:t>Identification No.)</w:t>
            </w:r>
          </w:p>
        </w:tc>
        <w:tc>
          <w:tcPr>
            <w:tcW w:w="0" w:type="dxa"/>
            <w:vAlign w:val="bottom"/>
          </w:tcPr>
          <w:p>
            <w:pPr>
              <w:spacing w:after="0"/>
              <w:rPr>
                <w:sz w:val="1"/>
                <w:szCs w:val="1"/>
                <w:color w:val="auto"/>
              </w:rPr>
            </w:pPr>
          </w:p>
        </w:tc>
      </w:tr>
      <w:tr>
        <w:trPr>
          <w:trHeight w:val="331"/>
        </w:trPr>
        <w:tc>
          <w:tcPr>
            <w:tcW w:w="7420" w:type="dxa"/>
            <w:vAlign w:val="bottom"/>
            <w:gridSpan w:val="12"/>
          </w:tcPr>
          <w:p>
            <w:pPr>
              <w:jc w:val="center"/>
              <w:ind w:right="1780"/>
              <w:spacing w:after="0"/>
              <w:rPr>
                <w:sz w:val="20"/>
                <w:szCs w:val="20"/>
                <w:color w:val="auto"/>
              </w:rPr>
            </w:pPr>
            <w:r>
              <w:rPr>
                <w:rFonts w:ascii="Arial" w:cs="Arial" w:eastAsia="Arial" w:hAnsi="Arial"/>
                <w:sz w:val="18"/>
                <w:szCs w:val="18"/>
                <w:b w:val="1"/>
                <w:bCs w:val="1"/>
                <w:color w:val="auto"/>
                <w:w w:val="88"/>
              </w:rPr>
              <w:t>500 11th Avenue North , Suite 1000,</w:t>
            </w: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2060" w:type="dxa"/>
            <w:vAlign w:val="bottom"/>
          </w:tcPr>
          <w:p>
            <w:pPr>
              <w:spacing w:after="0"/>
              <w:rPr>
                <w:sz w:val="16"/>
                <w:szCs w:val="16"/>
                <w:color w:val="auto"/>
              </w:rPr>
            </w:pPr>
          </w:p>
        </w:tc>
        <w:tc>
          <w:tcPr>
            <w:tcW w:w="1940" w:type="dxa"/>
            <w:vAlign w:val="bottom"/>
            <w:gridSpan w:val="5"/>
          </w:tcPr>
          <w:p>
            <w:pPr>
              <w:jc w:val="center"/>
              <w:ind w:right="420"/>
              <w:spacing w:after="0" w:line="194" w:lineRule="exact"/>
              <w:rPr>
                <w:sz w:val="20"/>
                <w:szCs w:val="20"/>
                <w:color w:val="auto"/>
              </w:rPr>
            </w:pPr>
            <w:r>
              <w:rPr>
                <w:rFonts w:ascii="Arial" w:cs="Arial" w:eastAsia="Arial" w:hAnsi="Arial"/>
                <w:sz w:val="18"/>
                <w:szCs w:val="18"/>
                <w:b w:val="1"/>
                <w:bCs w:val="1"/>
                <w:color w:val="auto"/>
                <w:w w:val="83"/>
              </w:rPr>
              <w:t>Nashville, Tennessee</w:t>
            </w:r>
          </w:p>
        </w:tc>
        <w:tc>
          <w:tcPr>
            <w:tcW w:w="7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40" w:type="dxa"/>
            <w:vAlign w:val="bottom"/>
            <w:gridSpan w:val="4"/>
          </w:tcPr>
          <w:p>
            <w:pPr>
              <w:jc w:val="right"/>
              <w:ind w:right="110"/>
              <w:spacing w:after="0" w:line="194" w:lineRule="exact"/>
              <w:rPr>
                <w:sz w:val="20"/>
                <w:szCs w:val="20"/>
                <w:color w:val="auto"/>
              </w:rPr>
            </w:pPr>
            <w:r>
              <w:rPr>
                <w:rFonts w:ascii="Arial" w:cs="Arial" w:eastAsia="Arial" w:hAnsi="Arial"/>
                <w:sz w:val="18"/>
                <w:szCs w:val="18"/>
                <w:b w:val="1"/>
                <w:bCs w:val="1"/>
                <w:color w:val="auto"/>
              </w:rPr>
              <w:t>37203</w:t>
            </w:r>
          </w:p>
        </w:tc>
        <w:tc>
          <w:tcPr>
            <w:tcW w:w="2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60" w:type="dxa"/>
            <w:vAlign w:val="bottom"/>
          </w:tcPr>
          <w:p>
            <w:pPr>
              <w:spacing w:after="0" w:line="20" w:lineRule="exact"/>
              <w:rPr>
                <w:sz w:val="1"/>
                <w:szCs w:val="1"/>
                <w:color w:val="auto"/>
              </w:rPr>
            </w:pPr>
          </w:p>
        </w:tc>
        <w:tc>
          <w:tcPr>
            <w:tcW w:w="680" w:type="dxa"/>
            <w:vAlign w:val="bottom"/>
            <w:gridSpan w:val="2"/>
            <w:shd w:val="clear" w:color="auto" w:fill="000000"/>
          </w:tcPr>
          <w:p>
            <w:pPr>
              <w:spacing w:after="0" w:line="20" w:lineRule="exact"/>
              <w:rPr>
                <w:sz w:val="1"/>
                <w:szCs w:val="1"/>
                <w:color w:val="auto"/>
              </w:rPr>
            </w:pPr>
          </w:p>
        </w:tc>
        <w:tc>
          <w:tcPr>
            <w:tcW w:w="1260" w:type="dxa"/>
            <w:vAlign w:val="bottom"/>
            <w:gridSpan w:val="3"/>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5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4000" w:type="dxa"/>
            <w:vAlign w:val="bottom"/>
            <w:gridSpan w:val="6"/>
          </w:tcPr>
          <w:p>
            <w:pPr>
              <w:jc w:val="center"/>
              <w:ind w:left="1561"/>
              <w:spacing w:after="0"/>
              <w:rPr>
                <w:sz w:val="20"/>
                <w:szCs w:val="20"/>
                <w:color w:val="auto"/>
              </w:rPr>
            </w:pPr>
            <w:r>
              <w:rPr>
                <w:rFonts w:ascii="Arial" w:cs="Arial" w:eastAsia="Arial" w:hAnsi="Arial"/>
                <w:sz w:val="14"/>
                <w:szCs w:val="14"/>
                <w:b w:val="1"/>
                <w:bCs w:val="1"/>
                <w:color w:val="auto"/>
                <w:w w:val="88"/>
              </w:rPr>
              <w:t>(Address of principal executive offices)</w:t>
            </w:r>
          </w:p>
        </w:tc>
        <w:tc>
          <w:tcPr>
            <w:tcW w:w="7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220" w:type="dxa"/>
            <w:vAlign w:val="bottom"/>
            <w:gridSpan w:val="4"/>
          </w:tcPr>
          <w:p>
            <w:pPr>
              <w:jc w:val="center"/>
              <w:ind w:right="2360"/>
              <w:spacing w:after="0"/>
              <w:rPr>
                <w:sz w:val="20"/>
                <w:szCs w:val="20"/>
                <w:color w:val="auto"/>
              </w:rPr>
            </w:pPr>
            <w:r>
              <w:rPr>
                <w:rFonts w:ascii="Arial" w:cs="Arial" w:eastAsia="Arial" w:hAnsi="Arial"/>
                <w:sz w:val="14"/>
                <w:szCs w:val="14"/>
                <w:b w:val="1"/>
                <w:bCs w:val="1"/>
                <w:color w:val="auto"/>
                <w:w w:val="95"/>
              </w:rPr>
              <w:t>(Zip Code)</w:t>
            </w:r>
          </w:p>
        </w:tc>
        <w:tc>
          <w:tcPr>
            <w:tcW w:w="0" w:type="dxa"/>
            <w:vAlign w:val="bottom"/>
          </w:tcPr>
          <w:p>
            <w:pPr>
              <w:spacing w:after="0"/>
              <w:rPr>
                <w:sz w:val="1"/>
                <w:szCs w:val="1"/>
                <w:color w:val="auto"/>
              </w:rPr>
            </w:pPr>
          </w:p>
        </w:tc>
      </w:tr>
      <w:tr>
        <w:trPr>
          <w:trHeight w:val="296"/>
        </w:trPr>
        <w:tc>
          <w:tcPr>
            <w:tcW w:w="20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gridSpan w:val="2"/>
          </w:tcPr>
          <w:p>
            <w:pPr>
              <w:spacing w:after="0"/>
              <w:rPr>
                <w:sz w:val="24"/>
                <w:szCs w:val="24"/>
                <w:color w:val="auto"/>
              </w:rPr>
            </w:pPr>
          </w:p>
        </w:tc>
        <w:tc>
          <w:tcPr>
            <w:tcW w:w="112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0"/>
              </w:rPr>
              <w:t>(615) 301-3100</w:t>
            </w:r>
          </w:p>
        </w:tc>
        <w:tc>
          <w:tcPr>
            <w:tcW w:w="8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4"/>
        </w:trPr>
        <w:tc>
          <w:tcPr>
            <w:tcW w:w="20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420" w:type="dxa"/>
            <w:vAlign w:val="bottom"/>
            <w:gridSpan w:val="6"/>
          </w:tcPr>
          <w:p>
            <w:pPr>
              <w:jc w:val="center"/>
              <w:ind w:right="180"/>
              <w:spacing w:after="0"/>
              <w:rPr>
                <w:sz w:val="20"/>
                <w:szCs w:val="20"/>
                <w:color w:val="auto"/>
              </w:rPr>
            </w:pPr>
            <w:r>
              <w:rPr>
                <w:rFonts w:ascii="Arial" w:cs="Arial" w:eastAsia="Arial" w:hAnsi="Arial"/>
                <w:sz w:val="14"/>
                <w:szCs w:val="14"/>
                <w:b w:val="1"/>
                <w:bCs w:val="1"/>
                <w:color w:val="auto"/>
                <w:w w:val="89"/>
              </w:rPr>
              <w:t>(Registrant's telephone number, including area code)</w:t>
            </w:r>
          </w:p>
        </w:tc>
        <w:tc>
          <w:tcPr>
            <w:tcW w:w="5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97"/>
        </w:trPr>
        <w:tc>
          <w:tcPr>
            <w:tcW w:w="20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20" w:type="dxa"/>
            <w:vAlign w:val="bottom"/>
            <w:gridSpan w:val="6"/>
          </w:tcPr>
          <w:p>
            <w:pPr>
              <w:jc w:val="center"/>
              <w:ind w:right="160"/>
              <w:spacing w:after="0"/>
              <w:rPr>
                <w:sz w:val="20"/>
                <w:szCs w:val="20"/>
                <w:color w:val="auto"/>
              </w:rPr>
            </w:pPr>
            <w:r>
              <w:rPr>
                <w:rFonts w:ascii="Arial" w:cs="Arial" w:eastAsia="Arial" w:hAnsi="Arial"/>
                <w:sz w:val="14"/>
                <w:szCs w:val="14"/>
                <w:color w:val="auto"/>
                <w:w w:val="90"/>
              </w:rPr>
              <w:t>Securities registered pursuant to Section 12(b) of the Act:</w:t>
            </w: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4000" w:type="dxa"/>
            <w:vAlign w:val="bottom"/>
            <w:gridSpan w:val="6"/>
          </w:tcPr>
          <w:p>
            <w:pPr>
              <w:jc w:val="center"/>
              <w:ind w:right="260"/>
              <w:spacing w:after="0"/>
              <w:rPr>
                <w:sz w:val="20"/>
                <w:szCs w:val="20"/>
                <w:color w:val="auto"/>
              </w:rPr>
            </w:pPr>
            <w:r>
              <w:rPr>
                <w:rFonts w:ascii="Arial" w:cs="Arial" w:eastAsia="Arial" w:hAnsi="Arial"/>
                <w:sz w:val="16"/>
                <w:szCs w:val="16"/>
                <w:b w:val="1"/>
                <w:bCs w:val="1"/>
                <w:color w:val="auto"/>
                <w:w w:val="88"/>
              </w:rPr>
              <w:t>Title of each class</w:t>
            </w:r>
          </w:p>
        </w:tc>
        <w:tc>
          <w:tcPr>
            <w:tcW w:w="720" w:type="dxa"/>
            <w:vAlign w:val="bottom"/>
          </w:tcPr>
          <w:p>
            <w:pPr>
              <w:spacing w:after="0"/>
              <w:rPr>
                <w:sz w:val="24"/>
                <w:szCs w:val="24"/>
                <w:color w:val="auto"/>
              </w:rPr>
            </w:pPr>
          </w:p>
        </w:tc>
        <w:tc>
          <w:tcPr>
            <w:tcW w:w="130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w w:val="92"/>
              </w:rPr>
              <w:t>Trading Symbol(s)</w:t>
            </w:r>
          </w:p>
        </w:tc>
        <w:tc>
          <w:tcPr>
            <w:tcW w:w="1400" w:type="dxa"/>
            <w:vAlign w:val="bottom"/>
            <w:gridSpan w:val="3"/>
          </w:tcPr>
          <w:p>
            <w:pPr>
              <w:spacing w:after="0"/>
              <w:rPr>
                <w:sz w:val="24"/>
                <w:szCs w:val="24"/>
                <w:color w:val="auto"/>
              </w:rPr>
            </w:pPr>
          </w:p>
        </w:tc>
        <w:tc>
          <w:tcPr>
            <w:tcW w:w="3800" w:type="dxa"/>
            <w:vAlign w:val="bottom"/>
            <w:gridSpan w:val="5"/>
          </w:tcPr>
          <w:p>
            <w:pPr>
              <w:jc w:val="center"/>
              <w:ind w:right="420"/>
              <w:spacing w:after="0"/>
              <w:rPr>
                <w:sz w:val="20"/>
                <w:szCs w:val="20"/>
                <w:color w:val="auto"/>
              </w:rPr>
            </w:pPr>
            <w:r>
              <w:rPr>
                <w:rFonts w:ascii="Arial" w:cs="Arial" w:eastAsia="Arial" w:hAnsi="Arial"/>
                <w:sz w:val="16"/>
                <w:szCs w:val="16"/>
                <w:b w:val="1"/>
                <w:bCs w:val="1"/>
                <w:color w:val="auto"/>
                <w:w w:val="89"/>
              </w:rPr>
              <w:t>Name of each exchange on which registered</w:t>
            </w:r>
          </w:p>
        </w:tc>
        <w:tc>
          <w:tcPr>
            <w:tcW w:w="0" w:type="dxa"/>
            <w:vAlign w:val="bottom"/>
          </w:tcPr>
          <w:p>
            <w:pPr>
              <w:spacing w:after="0"/>
              <w:rPr>
                <w:sz w:val="1"/>
                <w:szCs w:val="1"/>
                <w:color w:val="auto"/>
              </w:rPr>
            </w:pPr>
          </w:p>
        </w:tc>
      </w:tr>
      <w:tr>
        <w:trPr>
          <w:trHeight w:val="20"/>
        </w:trPr>
        <w:tc>
          <w:tcPr>
            <w:tcW w:w="20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720" w:type="dxa"/>
            <w:vAlign w:val="bottom"/>
            <w:vMerge w:val="restart"/>
          </w:tcPr>
          <w:p>
            <w:pPr>
              <w:spacing w:after="0" w:line="20" w:lineRule="exact"/>
              <w:rPr>
                <w:sz w:val="1"/>
                <w:szCs w:val="1"/>
                <w:color w:val="auto"/>
              </w:rPr>
            </w:pPr>
          </w:p>
        </w:tc>
        <w:tc>
          <w:tcPr>
            <w:tcW w:w="340" w:type="dxa"/>
            <w:vAlign w:val="bottom"/>
            <w:vMerge w:val="restart"/>
          </w:tcPr>
          <w:p>
            <w:pPr>
              <w:spacing w:after="0" w:line="20" w:lineRule="exact"/>
              <w:rPr>
                <w:sz w:val="1"/>
                <w:szCs w:val="1"/>
                <w:color w:val="auto"/>
              </w:rPr>
            </w:pPr>
          </w:p>
        </w:tc>
        <w:tc>
          <w:tcPr>
            <w:tcW w:w="1920" w:type="dxa"/>
            <w:vAlign w:val="bottom"/>
            <w:gridSpan w:val="3"/>
            <w:vMerge w:val="restart"/>
          </w:tcPr>
          <w:p>
            <w:pPr>
              <w:jc w:val="center"/>
              <w:ind w:right="1300"/>
              <w:spacing w:after="0"/>
              <w:rPr>
                <w:sz w:val="20"/>
                <w:szCs w:val="20"/>
                <w:color w:val="auto"/>
              </w:rPr>
            </w:pPr>
            <w:r>
              <w:rPr>
                <w:rFonts w:ascii="Arial" w:cs="Arial" w:eastAsia="Arial" w:hAnsi="Arial"/>
                <w:sz w:val="18"/>
                <w:szCs w:val="18"/>
                <w:color w:val="auto"/>
                <w:w w:val="97"/>
              </w:rPr>
              <w:t>HSTM</w:t>
            </w:r>
          </w:p>
        </w:tc>
        <w:tc>
          <w:tcPr>
            <w:tcW w:w="4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4"/>
        </w:trPr>
        <w:tc>
          <w:tcPr>
            <w:tcW w:w="3740" w:type="dxa"/>
            <w:vAlign w:val="bottom"/>
            <w:gridSpan w:val="5"/>
          </w:tcPr>
          <w:p>
            <w:pPr>
              <w:jc w:val="center"/>
              <w:spacing w:after="0"/>
              <w:rPr>
                <w:sz w:val="20"/>
                <w:szCs w:val="20"/>
                <w:color w:val="auto"/>
              </w:rPr>
            </w:pPr>
            <w:r>
              <w:rPr>
                <w:rFonts w:ascii="Arial" w:cs="Arial" w:eastAsia="Arial" w:hAnsi="Arial"/>
                <w:sz w:val="18"/>
                <w:szCs w:val="18"/>
                <w:color w:val="auto"/>
                <w:w w:val="90"/>
              </w:rPr>
              <w:t>Common Stock (Par Value $0.00)</w:t>
            </w:r>
          </w:p>
        </w:tc>
        <w:tc>
          <w:tcPr>
            <w:tcW w:w="260" w:type="dxa"/>
            <w:vAlign w:val="bottom"/>
            <w:vMerge w:val="continue"/>
          </w:tcPr>
          <w:p>
            <w:pPr>
              <w:spacing w:after="0"/>
              <w:rPr>
                <w:sz w:val="19"/>
                <w:szCs w:val="19"/>
                <w:color w:val="auto"/>
              </w:rPr>
            </w:pPr>
          </w:p>
        </w:tc>
        <w:tc>
          <w:tcPr>
            <w:tcW w:w="720" w:type="dxa"/>
            <w:vAlign w:val="bottom"/>
            <w:vMerge w:val="continue"/>
          </w:tcPr>
          <w:p>
            <w:pPr>
              <w:spacing w:after="0"/>
              <w:rPr>
                <w:sz w:val="19"/>
                <w:szCs w:val="19"/>
                <w:color w:val="auto"/>
              </w:rPr>
            </w:pPr>
          </w:p>
        </w:tc>
        <w:tc>
          <w:tcPr>
            <w:tcW w:w="340" w:type="dxa"/>
            <w:vAlign w:val="bottom"/>
            <w:vMerge w:val="continue"/>
          </w:tcPr>
          <w:p>
            <w:pPr>
              <w:spacing w:after="0"/>
              <w:rPr>
                <w:sz w:val="19"/>
                <w:szCs w:val="19"/>
                <w:color w:val="auto"/>
              </w:rPr>
            </w:pPr>
          </w:p>
        </w:tc>
        <w:tc>
          <w:tcPr>
            <w:tcW w:w="1920" w:type="dxa"/>
            <w:vAlign w:val="bottom"/>
            <w:gridSpan w:val="3"/>
            <w:vMerge w:val="continue"/>
          </w:tcPr>
          <w:p>
            <w:pPr>
              <w:spacing w:after="0"/>
              <w:rPr>
                <w:sz w:val="19"/>
                <w:szCs w:val="19"/>
                <w:color w:val="auto"/>
              </w:rPr>
            </w:pPr>
          </w:p>
        </w:tc>
        <w:tc>
          <w:tcPr>
            <w:tcW w:w="4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560" w:type="dxa"/>
            <w:vAlign w:val="bottom"/>
            <w:gridSpan w:val="2"/>
          </w:tcPr>
          <w:p>
            <w:pPr>
              <w:jc w:val="center"/>
              <w:ind w:right="1660"/>
              <w:spacing w:after="0"/>
              <w:rPr>
                <w:sz w:val="20"/>
                <w:szCs w:val="20"/>
                <w:color w:val="auto"/>
              </w:rPr>
            </w:pPr>
            <w:r>
              <w:rPr>
                <w:rFonts w:ascii="Arial" w:cs="Arial" w:eastAsia="Arial" w:hAnsi="Arial"/>
                <w:sz w:val="18"/>
                <w:szCs w:val="18"/>
                <w:color w:val="auto"/>
                <w:w w:val="86"/>
              </w:rPr>
              <w:t>Nasdaq</w:t>
            </w:r>
          </w:p>
        </w:tc>
        <w:tc>
          <w:tcPr>
            <w:tcW w:w="0" w:type="dxa"/>
            <w:vAlign w:val="bottom"/>
          </w:tcPr>
          <w:p>
            <w:pPr>
              <w:spacing w:after="0"/>
              <w:rPr>
                <w:sz w:val="1"/>
                <w:szCs w:val="1"/>
                <w:color w:val="auto"/>
              </w:rPr>
            </w:pPr>
          </w:p>
        </w:tc>
      </w:tr>
    </w:tbl>
    <w:p>
      <w:pPr>
        <w:spacing w:after="0" w:line="106"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43" w:lineRule="exact"/>
        <w:rPr>
          <w:sz w:val="24"/>
          <w:szCs w:val="24"/>
          <w:color w:val="auto"/>
        </w:rPr>
      </w:pPr>
    </w:p>
    <w:p>
      <w:pPr>
        <w:jc w:val="both"/>
        <w:spacing w:after="0" w:line="287" w:lineRule="auto"/>
        <w:rPr>
          <w:sz w:val="20"/>
          <w:szCs w:val="20"/>
          <w:color w:val="auto"/>
        </w:rPr>
      </w:pPr>
      <w:r>
        <w:rPr>
          <w:rFonts w:ascii="Arial" w:cs="Arial" w:eastAsia="Arial" w:hAnsi="Arial"/>
          <w:sz w:val="16"/>
          <w:szCs w:val="16"/>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w:t>
      </w:r>
    </w:p>
    <w:p>
      <w:pPr>
        <w:spacing w:after="0" w:line="1" w:lineRule="exact"/>
        <w:rPr>
          <w:sz w:val="24"/>
          <w:szCs w:val="24"/>
          <w:color w:val="auto"/>
        </w:rPr>
      </w:pPr>
    </w:p>
    <w:p>
      <w:pPr>
        <w:ind w:left="260" w:hanging="252"/>
        <w:spacing w:after="0" w:line="207" w:lineRule="exact"/>
        <w:tabs>
          <w:tab w:leader="none" w:pos="2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p>
      <w:pPr>
        <w:spacing w:after="0" w:line="175" w:lineRule="exact"/>
        <w:rPr>
          <w:sz w:val="24"/>
          <w:szCs w:val="24"/>
          <w:color w:val="auto"/>
        </w:rPr>
      </w:pPr>
    </w:p>
    <w:p>
      <w:pPr>
        <w:jc w:val="both"/>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83" w:lineRule="exact"/>
        <w:rPr>
          <w:sz w:val="24"/>
          <w:szCs w:val="24"/>
          <w:color w:val="auto"/>
        </w:rPr>
      </w:pPr>
    </w:p>
    <w:tbl>
      <w:tblPr>
        <w:tblLayout w:type="fixed"/>
        <w:tblInd w:w="0" w:type="dxa"/>
        <w:tblCellMar>
          <w:top w:w="0" w:type="dxa"/>
          <w:left w:w="0" w:type="dxa"/>
          <w:bottom w:w="0" w:type="dxa"/>
          <w:right w:w="0" w:type="dxa"/>
        </w:tblCellMar>
      </w:tblPr>
      <w:tr>
        <w:trPr>
          <w:trHeight w:val="229"/>
        </w:trPr>
        <w:tc>
          <w:tcPr>
            <w:tcW w:w="238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3500" w:type="dxa"/>
            <w:vAlign w:val="bottom"/>
          </w:tcPr>
          <w:p>
            <w:pPr>
              <w:ind w:left="640"/>
              <w:spacing w:after="0" w:line="181" w:lineRule="exact"/>
              <w:rPr>
                <w:sz w:val="20"/>
                <w:szCs w:val="20"/>
                <w:color w:val="auto"/>
              </w:rPr>
            </w:pPr>
            <w:r>
              <w:rPr>
                <w:rFonts w:ascii="MS PGothic" w:cs="MS PGothic" w:eastAsia="MS PGothic" w:hAnsi="MS PGothic"/>
                <w:sz w:val="18"/>
                <w:szCs w:val="18"/>
                <w:color w:val="auto"/>
              </w:rPr>
              <w:t>☒</w:t>
            </w:r>
          </w:p>
        </w:tc>
        <w:tc>
          <w:tcPr>
            <w:tcW w:w="4760" w:type="dxa"/>
            <w:vAlign w:val="bottom"/>
          </w:tcPr>
          <w:p>
            <w:pPr>
              <w:ind w:left="2720"/>
              <w:spacing w:after="0"/>
              <w:rPr>
                <w:sz w:val="20"/>
                <w:szCs w:val="20"/>
                <w:color w:val="auto"/>
              </w:rPr>
            </w:pPr>
            <w:r>
              <w:rPr>
                <w:rFonts w:ascii="Arial" w:cs="Arial" w:eastAsia="Arial" w:hAnsi="Arial"/>
                <w:sz w:val="16"/>
                <w:szCs w:val="16"/>
                <w:color w:val="auto"/>
              </w:rPr>
              <w:t>Accelerated filer</w:t>
            </w:r>
          </w:p>
        </w:tc>
        <w:tc>
          <w:tcPr>
            <w:tcW w:w="460" w:type="dxa"/>
            <w:vAlign w:val="bottom"/>
          </w:tcPr>
          <w:p>
            <w:pPr>
              <w:ind w:left="3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30"/>
        </w:trPr>
        <w:tc>
          <w:tcPr>
            <w:tcW w:w="2380" w:type="dxa"/>
            <w:vAlign w:val="bottom"/>
          </w:tcPr>
          <w:p>
            <w:pPr>
              <w:spacing w:after="0"/>
              <w:rPr>
                <w:sz w:val="20"/>
                <w:szCs w:val="20"/>
                <w:color w:val="auto"/>
              </w:rPr>
            </w:pPr>
            <w:r>
              <w:rPr>
                <w:rFonts w:ascii="Arial" w:cs="Arial" w:eastAsia="Arial" w:hAnsi="Arial"/>
                <w:sz w:val="16"/>
                <w:szCs w:val="16"/>
                <w:color w:val="auto"/>
              </w:rPr>
              <w:t>Non-accelerated filer</w:t>
            </w:r>
          </w:p>
        </w:tc>
        <w:tc>
          <w:tcPr>
            <w:tcW w:w="3500" w:type="dxa"/>
            <w:vAlign w:val="bottom"/>
          </w:tcPr>
          <w:p>
            <w:pPr>
              <w:ind w:left="640"/>
              <w:spacing w:after="0" w:line="181" w:lineRule="exact"/>
              <w:rPr>
                <w:sz w:val="20"/>
                <w:szCs w:val="20"/>
                <w:color w:val="auto"/>
              </w:rPr>
            </w:pPr>
            <w:r>
              <w:rPr>
                <w:rFonts w:ascii="MS PGothic" w:cs="MS PGothic" w:eastAsia="MS PGothic" w:hAnsi="MS PGothic"/>
                <w:sz w:val="18"/>
                <w:szCs w:val="18"/>
                <w:color w:val="auto"/>
              </w:rPr>
              <w:t>☐</w:t>
            </w:r>
          </w:p>
        </w:tc>
        <w:tc>
          <w:tcPr>
            <w:tcW w:w="4760" w:type="dxa"/>
            <w:vAlign w:val="bottom"/>
          </w:tcPr>
          <w:p>
            <w:pPr>
              <w:ind w:left="2720"/>
              <w:spacing w:after="0"/>
              <w:rPr>
                <w:sz w:val="20"/>
                <w:szCs w:val="20"/>
                <w:color w:val="auto"/>
              </w:rPr>
            </w:pPr>
            <w:r>
              <w:rPr>
                <w:rFonts w:ascii="Arial" w:cs="Arial" w:eastAsia="Arial" w:hAnsi="Arial"/>
                <w:sz w:val="16"/>
                <w:szCs w:val="16"/>
                <w:color w:val="auto"/>
              </w:rPr>
              <w:t>Smaller reporting company</w:t>
            </w:r>
          </w:p>
        </w:tc>
        <w:tc>
          <w:tcPr>
            <w:tcW w:w="460" w:type="dxa"/>
            <w:vAlign w:val="bottom"/>
          </w:tcPr>
          <w:p>
            <w:pPr>
              <w:ind w:left="3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2380" w:type="dxa"/>
            <w:vAlign w:val="bottom"/>
          </w:tcPr>
          <w:p>
            <w:pPr>
              <w:spacing w:after="0"/>
              <w:rPr>
                <w:sz w:val="20"/>
                <w:szCs w:val="20"/>
                <w:color w:val="auto"/>
              </w:rPr>
            </w:pPr>
            <w:r>
              <w:rPr>
                <w:rFonts w:ascii="Arial" w:cs="Arial" w:eastAsia="Arial" w:hAnsi="Arial"/>
                <w:sz w:val="16"/>
                <w:szCs w:val="16"/>
                <w:color w:val="auto"/>
              </w:rPr>
              <w:t>Emerging growth company</w:t>
            </w:r>
          </w:p>
        </w:tc>
        <w:tc>
          <w:tcPr>
            <w:tcW w:w="3500" w:type="dxa"/>
            <w:vAlign w:val="bottom"/>
          </w:tcPr>
          <w:p>
            <w:pPr>
              <w:ind w:left="640"/>
              <w:spacing w:after="0" w:line="181" w:lineRule="exact"/>
              <w:rPr>
                <w:sz w:val="20"/>
                <w:szCs w:val="20"/>
                <w:color w:val="auto"/>
              </w:rPr>
            </w:pPr>
            <w:r>
              <w:rPr>
                <w:rFonts w:ascii="MS PGothic" w:cs="MS PGothic" w:eastAsia="MS PGothic" w:hAnsi="MS PGothic"/>
                <w:sz w:val="18"/>
                <w:szCs w:val="18"/>
                <w:color w:val="auto"/>
              </w:rPr>
              <w:t>☐</w:t>
            </w:r>
          </w:p>
        </w:tc>
        <w:tc>
          <w:tcPr>
            <w:tcW w:w="4760" w:type="dxa"/>
            <w:vAlign w:val="bottom"/>
          </w:tcPr>
          <w:p>
            <w:pPr>
              <w:spacing w:after="0"/>
              <w:rPr>
                <w:sz w:val="24"/>
                <w:szCs w:val="24"/>
                <w:color w:val="auto"/>
              </w:rPr>
            </w:pPr>
          </w:p>
        </w:tc>
        <w:tc>
          <w:tcPr>
            <w:tcW w:w="460" w:type="dxa"/>
            <w:vAlign w:val="bottom"/>
          </w:tcPr>
          <w:p>
            <w:pPr>
              <w:spacing w:after="0"/>
              <w:rPr>
                <w:sz w:val="24"/>
                <w:szCs w:val="24"/>
                <w:color w:val="auto"/>
              </w:rPr>
            </w:pPr>
          </w:p>
        </w:tc>
      </w:tr>
    </w:tbl>
    <w:p>
      <w:pPr>
        <w:spacing w:after="0" w:line="101" w:lineRule="exact"/>
        <w:rPr>
          <w:sz w:val="24"/>
          <w:szCs w:val="24"/>
          <w:color w:val="auto"/>
        </w:rPr>
      </w:pPr>
    </w:p>
    <w:p>
      <w:pPr>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23" w:lineRule="exact"/>
        <w:rPr>
          <w:sz w:val="24"/>
          <w:szCs w:val="24"/>
          <w:color w:val="auto"/>
        </w:rPr>
      </w:pPr>
    </w:p>
    <w:p>
      <w:pPr>
        <w:ind w:right="2220"/>
        <w:spacing w:after="0" w:line="32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r>
        <w:rPr>
          <w:rFonts w:ascii="Arial" w:cs="Arial" w:eastAsia="Arial" w:hAnsi="Arial"/>
          <w:sz w:val="18"/>
          <w:szCs w:val="18"/>
          <w:color w:val="auto"/>
        </w:rPr>
        <w:t xml:space="preserve"> As of July 24, 2020, there were 31,997,499 shares of the registrant’s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111760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128905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780415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1" w:name="page2"/>
    <w:bookmarkEnd w:id="1"/>
    <w:p>
      <w:pPr>
        <w:jc w:val="center"/>
        <w:spacing w:after="0" w:line="207" w:lineRule="exact"/>
        <w:rPr>
          <w:sz w:val="20"/>
          <w:szCs w:val="20"/>
          <w:color w:val="auto"/>
        </w:rPr>
      </w:pPr>
      <w:r>
        <w:rPr>
          <w:rFonts w:ascii="Arial" w:cs="Arial" w:eastAsia="Arial" w:hAnsi="Arial"/>
          <w:sz w:val="18"/>
          <w:szCs w:val="18"/>
          <w:b w:val="1"/>
          <w:bCs w:val="1"/>
          <w:color w:val="auto"/>
        </w:rPr>
        <w:t>Index to Form 10</w:t>
      </w:r>
      <w:r>
        <w:rPr>
          <w:rFonts w:ascii="MS PGothic" w:cs="MS PGothic" w:eastAsia="MS PGothic" w:hAnsi="MS PGothic"/>
          <w:sz w:val="18"/>
          <w:szCs w:val="18"/>
          <w:b w:val="1"/>
          <w:bCs w:val="1"/>
          <w:color w:val="auto"/>
        </w:rPr>
        <w:t>‑</w:t>
      </w:r>
      <w:r>
        <w:rPr>
          <w:rFonts w:ascii="Arial" w:cs="Arial" w:eastAsia="Arial" w:hAnsi="Arial"/>
          <w:sz w:val="18"/>
          <w:szCs w:val="18"/>
          <w:b w:val="1"/>
          <w:bCs w:val="1"/>
          <w:color w:val="auto"/>
        </w:rPr>
        <w:t>Q</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HEALTHSTREAM, INC.</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jc w:val="right"/>
              <w:ind w:right="132"/>
              <w:spacing w:after="0"/>
              <w:rPr>
                <w:sz w:val="20"/>
                <w:szCs w:val="20"/>
                <w:color w:val="auto"/>
              </w:rPr>
            </w:pPr>
            <w:r>
              <w:rPr>
                <w:rFonts w:ascii="Arial" w:cs="Arial" w:eastAsia="Arial" w:hAnsi="Arial"/>
                <w:sz w:val="14"/>
                <w:szCs w:val="14"/>
                <w:b w:val="1"/>
                <w:bCs w:val="1"/>
                <w:color w:val="auto"/>
              </w:rPr>
              <w:t>Page</w:t>
            </w:r>
          </w:p>
        </w:tc>
      </w:tr>
      <w:tr>
        <w:trPr>
          <w:trHeight w:val="171"/>
        </w:trPr>
        <w:tc>
          <w:tcPr>
            <w:tcW w:w="10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b w:val="1"/>
                <w:bCs w:val="1"/>
                <w:color w:val="auto"/>
              </w:rPr>
              <w:t>Number</w:t>
            </w:r>
          </w:p>
        </w:tc>
      </w:tr>
      <w:tr>
        <w:trPr>
          <w:trHeight w:val="331"/>
        </w:trPr>
        <w:tc>
          <w:tcPr>
            <w:tcW w:w="1000" w:type="dxa"/>
            <w:vAlign w:val="bottom"/>
          </w:tcPr>
          <w:p>
            <w:pPr>
              <w:spacing w:after="0"/>
              <w:rPr>
                <w:sz w:val="20"/>
                <w:szCs w:val="20"/>
                <w:color w:val="auto"/>
              </w:rPr>
            </w:pPr>
            <w:r>
              <w:rPr>
                <w:rFonts w:ascii="Arial" w:cs="Arial" w:eastAsia="Arial" w:hAnsi="Arial"/>
                <w:sz w:val="18"/>
                <w:szCs w:val="18"/>
                <w:color w:val="auto"/>
              </w:rPr>
              <w:t>Part I.</w:t>
            </w:r>
          </w:p>
        </w:tc>
        <w:tc>
          <w:tcPr>
            <w:tcW w:w="9300" w:type="dxa"/>
            <w:vAlign w:val="bottom"/>
            <w:gridSpan w:val="5"/>
          </w:tcPr>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Financial Information</w:t>
              </w:r>
            </w:hyperlink>
          </w:p>
        </w:tc>
        <w:tc>
          <w:tcPr>
            <w:tcW w:w="7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338"/>
        </w:trPr>
        <w:tc>
          <w:tcPr>
            <w:tcW w:w="1000" w:type="dxa"/>
            <w:vAlign w:val="bottom"/>
          </w:tcPr>
          <w:p>
            <w:pPr>
              <w:spacing w:after="0"/>
              <w:rPr>
                <w:sz w:val="20"/>
                <w:szCs w:val="20"/>
                <w:color w:val="auto"/>
              </w:rPr>
            </w:pPr>
            <w:r>
              <w:rPr>
                <w:rFonts w:ascii="Arial" w:cs="Arial" w:eastAsia="Arial" w:hAnsi="Arial"/>
                <w:sz w:val="18"/>
                <w:szCs w:val="18"/>
                <w:color w:val="auto"/>
              </w:rPr>
              <w:t>Item 1.</w:t>
            </w:r>
          </w:p>
        </w:tc>
        <w:tc>
          <w:tcPr>
            <w:tcW w:w="9300" w:type="dxa"/>
            <w:vAlign w:val="bottom"/>
            <w:gridSpan w:val="5"/>
          </w:tcPr>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Financial Statements</w:t>
              </w:r>
            </w:hyperlink>
          </w:p>
        </w:tc>
        <w:tc>
          <w:tcPr>
            <w:tcW w:w="7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338"/>
        </w:trPr>
        <w:tc>
          <w:tcPr>
            <w:tcW w:w="1000" w:type="dxa"/>
            <w:vAlign w:val="bottom"/>
          </w:tcPr>
          <w:p>
            <w:pPr>
              <w:spacing w:after="0"/>
              <w:rPr>
                <w:sz w:val="24"/>
                <w:szCs w:val="24"/>
                <w:color w:val="auto"/>
              </w:rPr>
            </w:pPr>
          </w:p>
        </w:tc>
        <w:tc>
          <w:tcPr>
            <w:tcW w:w="9300" w:type="dxa"/>
            <w:vAlign w:val="bottom"/>
            <w:gridSpan w:val="5"/>
          </w:tcPr>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Condensed Consolidated Balance Sheets (Unaudited) – June 30, 2020 and December 31, 2019</w:t>
              </w:r>
            </w:hyperlink>
          </w:p>
        </w:tc>
        <w:tc>
          <w:tcPr>
            <w:tcW w:w="7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338"/>
        </w:trPr>
        <w:tc>
          <w:tcPr>
            <w:tcW w:w="1000" w:type="dxa"/>
            <w:vAlign w:val="bottom"/>
          </w:tcPr>
          <w:p>
            <w:pPr>
              <w:spacing w:after="0"/>
              <w:rPr>
                <w:sz w:val="24"/>
                <w:szCs w:val="24"/>
                <w:color w:val="auto"/>
              </w:rPr>
            </w:pPr>
          </w:p>
        </w:tc>
        <w:tc>
          <w:tcPr>
            <w:tcW w:w="9300" w:type="dxa"/>
            <w:vAlign w:val="bottom"/>
            <w:gridSpan w:val="5"/>
          </w:tcPr>
          <w:p>
            <w:pPr>
              <w:spacing w:after="0"/>
              <w:rPr>
                <w:rFonts w:ascii="Arial" w:cs="Arial" w:eastAsia="Arial" w:hAnsi="Arial"/>
                <w:sz w:val="18"/>
                <w:szCs w:val="18"/>
                <w:u w:val="single" w:color="auto"/>
                <w:color w:val="0000EE"/>
                <w:w w:val="99"/>
              </w:rPr>
            </w:pPr>
            <w:hyperlink w:anchor="page4">
              <w:r>
                <w:rPr>
                  <w:rFonts w:ascii="Arial" w:cs="Arial" w:eastAsia="Arial" w:hAnsi="Arial"/>
                  <w:sz w:val="18"/>
                  <w:szCs w:val="18"/>
                  <w:u w:val="single" w:color="auto"/>
                  <w:color w:val="0000EE"/>
                  <w:w w:val="99"/>
                </w:rPr>
                <w:t>Condensed Consolidated Statements of Income (Unaudited) – Three and Six Months Ended June 30, 2020 and 2019</w:t>
              </w:r>
            </w:hyperlink>
          </w:p>
        </w:tc>
        <w:tc>
          <w:tcPr>
            <w:tcW w:w="74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97"/>
        </w:trPr>
        <w:tc>
          <w:tcPr>
            <w:tcW w:w="1000" w:type="dxa"/>
            <w:vAlign w:val="bottom"/>
          </w:tcPr>
          <w:p>
            <w:pPr>
              <w:spacing w:after="0"/>
              <w:rPr>
                <w:sz w:val="24"/>
                <w:szCs w:val="24"/>
                <w:color w:val="auto"/>
              </w:rPr>
            </w:pPr>
          </w:p>
        </w:tc>
        <w:tc>
          <w:tcPr>
            <w:tcW w:w="9300" w:type="dxa"/>
            <w:vAlign w:val="bottom"/>
            <w:gridSpan w:val="5"/>
          </w:tcPr>
          <w:p>
            <w:pPr>
              <w:spacing w:after="0"/>
              <w:rPr>
                <w:rFonts w:ascii="Arial" w:cs="Arial" w:eastAsia="Arial" w:hAnsi="Arial"/>
                <w:sz w:val="18"/>
                <w:szCs w:val="18"/>
                <w:color w:val="0000EE"/>
                <w:w w:val="91"/>
              </w:rPr>
            </w:pPr>
            <w:hyperlink w:anchor="page5">
              <w:r>
                <w:rPr>
                  <w:rFonts w:ascii="Arial" w:cs="Arial" w:eastAsia="Arial" w:hAnsi="Arial"/>
                  <w:sz w:val="18"/>
                  <w:szCs w:val="18"/>
                  <w:color w:val="0000EE"/>
                  <w:w w:val="91"/>
                </w:rPr>
                <w:t>Condensed Consolidated Statements of Comprehensive Income (Unaudited) – Three and Six Months Ended June 30, 2020 and</w:t>
              </w:r>
            </w:hyperlink>
          </w:p>
        </w:tc>
        <w:tc>
          <w:tcPr>
            <w:tcW w:w="74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196"/>
        </w:trPr>
        <w:tc>
          <w:tcPr>
            <w:tcW w:w="1000" w:type="dxa"/>
            <w:vAlign w:val="bottom"/>
          </w:tcPr>
          <w:p>
            <w:pPr>
              <w:spacing w:after="0"/>
              <w:rPr>
                <w:sz w:val="17"/>
                <w:szCs w:val="17"/>
                <w:color w:val="auto"/>
              </w:rPr>
            </w:pPr>
          </w:p>
        </w:tc>
        <w:tc>
          <w:tcPr>
            <w:tcW w:w="36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4"/>
              </w:rPr>
            </w:pPr>
            <w:hyperlink w:anchor="page5">
              <w:r>
                <w:rPr>
                  <w:rFonts w:ascii="Arial" w:cs="Arial" w:eastAsia="Arial" w:hAnsi="Arial"/>
                  <w:sz w:val="18"/>
                  <w:szCs w:val="18"/>
                  <w:color w:val="0000EE"/>
                  <w:w w:val="84"/>
                </w:rPr>
                <w:t>2019</w:t>
              </w:r>
            </w:hyperlink>
          </w:p>
        </w:tc>
        <w:tc>
          <w:tcPr>
            <w:tcW w:w="866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318"/>
        </w:trPr>
        <w:tc>
          <w:tcPr>
            <w:tcW w:w="1000" w:type="dxa"/>
            <w:vAlign w:val="bottom"/>
          </w:tcPr>
          <w:p>
            <w:pPr>
              <w:spacing w:after="0"/>
              <w:rPr>
                <w:sz w:val="24"/>
                <w:szCs w:val="24"/>
                <w:color w:val="auto"/>
              </w:rPr>
            </w:pPr>
          </w:p>
        </w:tc>
        <w:tc>
          <w:tcPr>
            <w:tcW w:w="9300" w:type="dxa"/>
            <w:vAlign w:val="bottom"/>
            <w:gridSpan w:val="5"/>
          </w:tcPr>
          <w:p>
            <w:pPr>
              <w:spacing w:after="0"/>
              <w:rPr>
                <w:rFonts w:ascii="Arial" w:cs="Arial" w:eastAsia="Arial" w:hAnsi="Arial"/>
                <w:sz w:val="18"/>
                <w:szCs w:val="18"/>
                <w:color w:val="0000EE"/>
                <w:w w:val="89"/>
              </w:rPr>
            </w:pPr>
            <w:hyperlink w:anchor="page6">
              <w:r>
                <w:rPr>
                  <w:rFonts w:ascii="Arial" w:cs="Arial" w:eastAsia="Arial" w:hAnsi="Arial"/>
                  <w:sz w:val="18"/>
                  <w:szCs w:val="18"/>
                  <w:u w:val="single" w:color="auto"/>
                  <w:color w:val="0000EE"/>
                  <w:w w:val="89"/>
                </w:rPr>
                <w:t>Condensed Consolidated Statements of Shareholders' Equity (Unaudited) – Three and Six Months Ended June 30, 2020 and 201</w:t>
              </w:r>
            </w:hyperlink>
            <w:r>
              <w:rPr>
                <w:rFonts w:ascii="Arial" w:cs="Arial" w:eastAsia="Arial" w:hAnsi="Arial"/>
                <w:sz w:val="18"/>
                <w:szCs w:val="18"/>
                <w:color w:val="000000"/>
                <w:w w:val="89"/>
              </w:rPr>
              <w:t>9</w:t>
            </w:r>
          </w:p>
        </w:tc>
        <w:tc>
          <w:tcPr>
            <w:tcW w:w="74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358"/>
        </w:trPr>
        <w:tc>
          <w:tcPr>
            <w:tcW w:w="1000" w:type="dxa"/>
            <w:vAlign w:val="bottom"/>
          </w:tcPr>
          <w:p>
            <w:pPr>
              <w:spacing w:after="0"/>
              <w:rPr>
                <w:sz w:val="24"/>
                <w:szCs w:val="24"/>
                <w:color w:val="auto"/>
              </w:rPr>
            </w:pPr>
          </w:p>
        </w:tc>
        <w:tc>
          <w:tcPr>
            <w:tcW w:w="9020" w:type="dxa"/>
            <w:vAlign w:val="bottom"/>
            <w:gridSpan w:val="2"/>
          </w:tcPr>
          <w:p>
            <w:pPr>
              <w:spacing w:after="0"/>
              <w:rPr>
                <w:rFonts w:ascii="Arial" w:cs="Arial" w:eastAsia="Arial" w:hAnsi="Arial"/>
                <w:sz w:val="18"/>
                <w:szCs w:val="18"/>
                <w:u w:val="single" w:color="auto"/>
                <w:color w:val="0000EE"/>
              </w:rPr>
            </w:pPr>
            <w:hyperlink w:anchor="page8">
              <w:r>
                <w:rPr>
                  <w:rFonts w:ascii="Arial" w:cs="Arial" w:eastAsia="Arial" w:hAnsi="Arial"/>
                  <w:sz w:val="18"/>
                  <w:szCs w:val="18"/>
                  <w:u w:val="single" w:color="auto"/>
                  <w:color w:val="0000EE"/>
                </w:rPr>
                <w:t>Condensed Consolidated Statements of Cash Flows (Unaudited) – Six Months Ended June 30, 2020 and 2019</w:t>
              </w:r>
            </w:hyperlink>
          </w:p>
        </w:tc>
        <w:tc>
          <w:tcPr>
            <w:tcW w:w="100" w:type="dxa"/>
            <w:vAlign w:val="bottom"/>
            <w:tcBorders>
              <w:top w:val="single" w:sz="8" w:color="auto"/>
            </w:tcBorders>
          </w:tcPr>
          <w:p>
            <w:pPr>
              <w:spacing w:after="0"/>
              <w:rPr>
                <w:sz w:val="24"/>
                <w:szCs w:val="24"/>
                <w:color w:val="auto"/>
              </w:rPr>
            </w:pPr>
          </w:p>
        </w:tc>
        <w:tc>
          <w:tcPr>
            <w:tcW w:w="180" w:type="dxa"/>
            <w:vAlign w:val="bottom"/>
            <w:gridSpan w:val="2"/>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338"/>
        </w:trPr>
        <w:tc>
          <w:tcPr>
            <w:tcW w:w="1000" w:type="dxa"/>
            <w:vAlign w:val="bottom"/>
          </w:tcPr>
          <w:p>
            <w:pPr>
              <w:spacing w:after="0"/>
              <w:rPr>
                <w:sz w:val="24"/>
                <w:szCs w:val="24"/>
                <w:color w:val="auto"/>
              </w:rPr>
            </w:pPr>
          </w:p>
        </w:tc>
        <w:tc>
          <w:tcPr>
            <w:tcW w:w="9300" w:type="dxa"/>
            <w:vAlign w:val="bottom"/>
            <w:gridSpan w:val="5"/>
          </w:tcPr>
          <w:p>
            <w:pPr>
              <w:spacing w:after="0"/>
              <w:rPr>
                <w:rFonts w:ascii="Arial" w:cs="Arial" w:eastAsia="Arial" w:hAnsi="Arial"/>
                <w:sz w:val="18"/>
                <w:szCs w:val="18"/>
                <w:u w:val="single" w:color="auto"/>
                <w:color w:val="0000EE"/>
              </w:rPr>
            </w:pPr>
            <w:hyperlink w:anchor="page9">
              <w:r>
                <w:rPr>
                  <w:rFonts w:ascii="Arial" w:cs="Arial" w:eastAsia="Arial" w:hAnsi="Arial"/>
                  <w:sz w:val="18"/>
                  <w:szCs w:val="18"/>
                  <w:u w:val="single" w:color="auto"/>
                  <w:color w:val="0000EE"/>
                </w:rPr>
                <w:t>Notes to Condensed Consolidated Financial Statements (Unaudited)</w:t>
              </w:r>
            </w:hyperlink>
          </w:p>
        </w:tc>
        <w:tc>
          <w:tcPr>
            <w:tcW w:w="74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338"/>
        </w:trPr>
        <w:tc>
          <w:tcPr>
            <w:tcW w:w="1000" w:type="dxa"/>
            <w:vAlign w:val="bottom"/>
          </w:tcPr>
          <w:p>
            <w:pPr>
              <w:spacing w:after="0"/>
              <w:rPr>
                <w:sz w:val="20"/>
                <w:szCs w:val="20"/>
                <w:color w:val="auto"/>
              </w:rPr>
            </w:pPr>
            <w:r>
              <w:rPr>
                <w:rFonts w:ascii="Arial" w:cs="Arial" w:eastAsia="Arial" w:hAnsi="Arial"/>
                <w:sz w:val="18"/>
                <w:szCs w:val="18"/>
                <w:color w:val="auto"/>
              </w:rPr>
              <w:t>Item 2.</w:t>
            </w:r>
          </w:p>
        </w:tc>
        <w:tc>
          <w:tcPr>
            <w:tcW w:w="9300" w:type="dxa"/>
            <w:vAlign w:val="bottom"/>
            <w:gridSpan w:val="5"/>
          </w:tcPr>
          <w:p>
            <w:pPr>
              <w:spacing w:after="0"/>
              <w:rPr>
                <w:rFonts w:ascii="Arial" w:cs="Arial" w:eastAsia="Arial" w:hAnsi="Arial"/>
                <w:sz w:val="18"/>
                <w:szCs w:val="18"/>
                <w:u w:val="single" w:color="auto"/>
                <w:color w:val="0000EE"/>
              </w:rPr>
            </w:pPr>
            <w:hyperlink w:anchor="page19">
              <w:r>
                <w:rPr>
                  <w:rFonts w:ascii="Arial" w:cs="Arial" w:eastAsia="Arial" w:hAnsi="Arial"/>
                  <w:sz w:val="18"/>
                  <w:szCs w:val="18"/>
                  <w:u w:val="single" w:color="auto"/>
                  <w:color w:val="0000EE"/>
                </w:rPr>
                <w:t>Management's Discussion and Analysis of Financial Condition and Results of Operations</w:t>
              </w:r>
            </w:hyperlink>
          </w:p>
        </w:tc>
        <w:tc>
          <w:tcPr>
            <w:tcW w:w="74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338"/>
        </w:trPr>
        <w:tc>
          <w:tcPr>
            <w:tcW w:w="1000" w:type="dxa"/>
            <w:vAlign w:val="bottom"/>
          </w:tcPr>
          <w:p>
            <w:pPr>
              <w:spacing w:after="0"/>
              <w:rPr>
                <w:sz w:val="20"/>
                <w:szCs w:val="20"/>
                <w:color w:val="auto"/>
              </w:rPr>
            </w:pPr>
            <w:r>
              <w:rPr>
                <w:rFonts w:ascii="Arial" w:cs="Arial" w:eastAsia="Arial" w:hAnsi="Arial"/>
                <w:sz w:val="18"/>
                <w:szCs w:val="18"/>
                <w:color w:val="auto"/>
              </w:rPr>
              <w:t>Item 3.</w:t>
            </w:r>
          </w:p>
        </w:tc>
        <w:tc>
          <w:tcPr>
            <w:tcW w:w="9300" w:type="dxa"/>
            <w:vAlign w:val="bottom"/>
            <w:gridSpan w:val="5"/>
          </w:tcPr>
          <w:p>
            <w:pPr>
              <w:spacing w:after="0"/>
              <w:rPr>
                <w:rFonts w:ascii="Arial" w:cs="Arial" w:eastAsia="Arial" w:hAnsi="Arial"/>
                <w:sz w:val="18"/>
                <w:szCs w:val="18"/>
                <w:u w:val="single" w:color="auto"/>
                <w:color w:val="0000EE"/>
              </w:rPr>
            </w:pPr>
            <w:hyperlink w:anchor="page30">
              <w:r>
                <w:rPr>
                  <w:rFonts w:ascii="Arial" w:cs="Arial" w:eastAsia="Arial" w:hAnsi="Arial"/>
                  <w:sz w:val="18"/>
                  <w:szCs w:val="18"/>
                  <w:u w:val="single" w:color="auto"/>
                  <w:color w:val="0000EE"/>
                </w:rPr>
                <w:t>Quantitative and Qualitative Disclosures about Market Risk</w:t>
              </w:r>
            </w:hyperlink>
          </w:p>
        </w:tc>
        <w:tc>
          <w:tcPr>
            <w:tcW w:w="74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338"/>
        </w:trPr>
        <w:tc>
          <w:tcPr>
            <w:tcW w:w="1000" w:type="dxa"/>
            <w:vAlign w:val="bottom"/>
          </w:tcPr>
          <w:p>
            <w:pPr>
              <w:spacing w:after="0"/>
              <w:rPr>
                <w:sz w:val="20"/>
                <w:szCs w:val="20"/>
                <w:color w:val="auto"/>
              </w:rPr>
            </w:pPr>
            <w:r>
              <w:rPr>
                <w:rFonts w:ascii="Arial" w:cs="Arial" w:eastAsia="Arial" w:hAnsi="Arial"/>
                <w:sz w:val="18"/>
                <w:szCs w:val="18"/>
                <w:color w:val="auto"/>
              </w:rPr>
              <w:t>Item 4.</w:t>
            </w:r>
          </w:p>
        </w:tc>
        <w:tc>
          <w:tcPr>
            <w:tcW w:w="9300" w:type="dxa"/>
            <w:vAlign w:val="bottom"/>
            <w:gridSpan w:val="5"/>
          </w:tcPr>
          <w:p>
            <w:pPr>
              <w:spacing w:after="0"/>
              <w:rPr>
                <w:rFonts w:ascii="Arial" w:cs="Arial" w:eastAsia="Arial" w:hAnsi="Arial"/>
                <w:sz w:val="18"/>
                <w:szCs w:val="18"/>
                <w:u w:val="single" w:color="auto"/>
                <w:color w:val="0000EE"/>
              </w:rPr>
            </w:pPr>
            <w:hyperlink w:anchor="page31">
              <w:r>
                <w:rPr>
                  <w:rFonts w:ascii="Arial" w:cs="Arial" w:eastAsia="Arial" w:hAnsi="Arial"/>
                  <w:sz w:val="18"/>
                  <w:szCs w:val="18"/>
                  <w:u w:val="single" w:color="auto"/>
                  <w:color w:val="0000EE"/>
                </w:rPr>
                <w:t>Controls and Procedures</w:t>
              </w:r>
            </w:hyperlink>
          </w:p>
        </w:tc>
        <w:tc>
          <w:tcPr>
            <w:tcW w:w="74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338"/>
        </w:trPr>
        <w:tc>
          <w:tcPr>
            <w:tcW w:w="1000" w:type="dxa"/>
            <w:vAlign w:val="bottom"/>
          </w:tcPr>
          <w:p>
            <w:pPr>
              <w:spacing w:after="0"/>
              <w:rPr>
                <w:sz w:val="20"/>
                <w:szCs w:val="20"/>
                <w:color w:val="auto"/>
              </w:rPr>
            </w:pPr>
            <w:r>
              <w:rPr>
                <w:rFonts w:ascii="Arial" w:cs="Arial" w:eastAsia="Arial" w:hAnsi="Arial"/>
                <w:sz w:val="18"/>
                <w:szCs w:val="18"/>
                <w:color w:val="auto"/>
              </w:rPr>
              <w:t>Part II.</w:t>
            </w:r>
          </w:p>
        </w:tc>
        <w:tc>
          <w:tcPr>
            <w:tcW w:w="9300" w:type="dxa"/>
            <w:vAlign w:val="bottom"/>
            <w:gridSpan w:val="5"/>
          </w:tcPr>
          <w:p>
            <w:pPr>
              <w:spacing w:after="0"/>
              <w:rPr>
                <w:rFonts w:ascii="Arial" w:cs="Arial" w:eastAsia="Arial" w:hAnsi="Arial"/>
                <w:sz w:val="18"/>
                <w:szCs w:val="18"/>
                <w:u w:val="single" w:color="auto"/>
                <w:color w:val="0000EE"/>
              </w:rPr>
            </w:pPr>
            <w:hyperlink w:anchor="page31">
              <w:r>
                <w:rPr>
                  <w:rFonts w:ascii="Arial" w:cs="Arial" w:eastAsia="Arial" w:hAnsi="Arial"/>
                  <w:sz w:val="18"/>
                  <w:szCs w:val="18"/>
                  <w:u w:val="single" w:color="auto"/>
                  <w:color w:val="0000EE"/>
                </w:rPr>
                <w:t>Other Information</w:t>
              </w:r>
            </w:hyperlink>
          </w:p>
        </w:tc>
        <w:tc>
          <w:tcPr>
            <w:tcW w:w="74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338"/>
        </w:trPr>
        <w:tc>
          <w:tcPr>
            <w:tcW w:w="1000" w:type="dxa"/>
            <w:vAlign w:val="bottom"/>
          </w:tcPr>
          <w:p>
            <w:pPr>
              <w:spacing w:after="0"/>
              <w:rPr>
                <w:sz w:val="20"/>
                <w:szCs w:val="20"/>
                <w:color w:val="auto"/>
              </w:rPr>
            </w:pPr>
            <w:r>
              <w:rPr>
                <w:rFonts w:ascii="Arial" w:cs="Arial" w:eastAsia="Arial" w:hAnsi="Arial"/>
                <w:sz w:val="18"/>
                <w:szCs w:val="18"/>
                <w:color w:val="auto"/>
              </w:rPr>
              <w:t>Item 1A.</w:t>
            </w:r>
          </w:p>
        </w:tc>
        <w:tc>
          <w:tcPr>
            <w:tcW w:w="9300" w:type="dxa"/>
            <w:vAlign w:val="bottom"/>
            <w:gridSpan w:val="5"/>
          </w:tcPr>
          <w:p>
            <w:pPr>
              <w:spacing w:after="0"/>
              <w:rPr>
                <w:rFonts w:ascii="Arial" w:cs="Arial" w:eastAsia="Arial" w:hAnsi="Arial"/>
                <w:sz w:val="18"/>
                <w:szCs w:val="18"/>
                <w:u w:val="single" w:color="auto"/>
                <w:color w:val="0000EE"/>
              </w:rPr>
            </w:pPr>
            <w:hyperlink w:anchor="page31">
              <w:r>
                <w:rPr>
                  <w:rFonts w:ascii="Arial" w:cs="Arial" w:eastAsia="Arial" w:hAnsi="Arial"/>
                  <w:sz w:val="18"/>
                  <w:szCs w:val="18"/>
                  <w:u w:val="single" w:color="auto"/>
                  <w:color w:val="0000EE"/>
                </w:rPr>
                <w:t>Risk Factors</w:t>
              </w:r>
            </w:hyperlink>
          </w:p>
        </w:tc>
        <w:tc>
          <w:tcPr>
            <w:tcW w:w="74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338"/>
        </w:trPr>
        <w:tc>
          <w:tcPr>
            <w:tcW w:w="1000" w:type="dxa"/>
            <w:vAlign w:val="bottom"/>
          </w:tcPr>
          <w:p>
            <w:pPr>
              <w:spacing w:after="0"/>
              <w:rPr>
                <w:sz w:val="20"/>
                <w:szCs w:val="20"/>
                <w:color w:val="auto"/>
              </w:rPr>
            </w:pPr>
            <w:r>
              <w:rPr>
                <w:rFonts w:ascii="Arial" w:cs="Arial" w:eastAsia="Arial" w:hAnsi="Arial"/>
                <w:sz w:val="18"/>
                <w:szCs w:val="18"/>
                <w:color w:val="auto"/>
              </w:rPr>
              <w:t>Item 2.</w:t>
            </w:r>
          </w:p>
        </w:tc>
        <w:tc>
          <w:tcPr>
            <w:tcW w:w="9300" w:type="dxa"/>
            <w:vAlign w:val="bottom"/>
            <w:gridSpan w:val="5"/>
          </w:tcPr>
          <w:p>
            <w:pPr>
              <w:spacing w:after="0"/>
              <w:rPr>
                <w:rFonts w:ascii="Arial" w:cs="Arial" w:eastAsia="Arial" w:hAnsi="Arial"/>
                <w:sz w:val="18"/>
                <w:szCs w:val="18"/>
                <w:u w:val="single" w:color="auto"/>
                <w:color w:val="0000EE"/>
              </w:rPr>
            </w:pPr>
            <w:hyperlink w:anchor="page31">
              <w:r>
                <w:rPr>
                  <w:rFonts w:ascii="Arial" w:cs="Arial" w:eastAsia="Arial" w:hAnsi="Arial"/>
                  <w:sz w:val="18"/>
                  <w:szCs w:val="18"/>
                  <w:u w:val="single" w:color="auto"/>
                  <w:color w:val="0000EE"/>
                </w:rPr>
                <w:t>Unregistered Sales of Equity Securities and Use of Proceeds</w:t>
              </w:r>
            </w:hyperlink>
          </w:p>
        </w:tc>
        <w:tc>
          <w:tcPr>
            <w:tcW w:w="74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337"/>
        </w:trPr>
        <w:tc>
          <w:tcPr>
            <w:tcW w:w="1000" w:type="dxa"/>
            <w:vAlign w:val="bottom"/>
          </w:tcPr>
          <w:p>
            <w:pPr>
              <w:spacing w:after="0"/>
              <w:rPr>
                <w:sz w:val="20"/>
                <w:szCs w:val="20"/>
                <w:color w:val="auto"/>
              </w:rPr>
            </w:pPr>
            <w:r>
              <w:rPr>
                <w:rFonts w:ascii="Arial" w:cs="Arial" w:eastAsia="Arial" w:hAnsi="Arial"/>
                <w:sz w:val="18"/>
                <w:szCs w:val="18"/>
                <w:color w:val="auto"/>
              </w:rPr>
              <w:t>Item 6.</w:t>
            </w:r>
          </w:p>
        </w:tc>
        <w:tc>
          <w:tcPr>
            <w:tcW w:w="9300" w:type="dxa"/>
            <w:vAlign w:val="bottom"/>
            <w:gridSpan w:val="5"/>
          </w:tcPr>
          <w:p>
            <w:pPr>
              <w:spacing w:after="0"/>
              <w:rPr>
                <w:rFonts w:ascii="Arial" w:cs="Arial" w:eastAsia="Arial" w:hAnsi="Arial"/>
                <w:sz w:val="18"/>
                <w:szCs w:val="18"/>
                <w:u w:val="single" w:color="auto"/>
                <w:color w:val="0000EE"/>
              </w:rPr>
            </w:pPr>
            <w:hyperlink w:anchor="page33">
              <w:r>
                <w:rPr>
                  <w:rFonts w:ascii="Arial" w:cs="Arial" w:eastAsia="Arial" w:hAnsi="Arial"/>
                  <w:sz w:val="18"/>
                  <w:szCs w:val="18"/>
                  <w:u w:val="single" w:color="auto"/>
                  <w:color w:val="0000EE"/>
                </w:rPr>
                <w:t>Exhibits</w:t>
              </w:r>
            </w:hyperlink>
          </w:p>
        </w:tc>
        <w:tc>
          <w:tcPr>
            <w:tcW w:w="74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338"/>
        </w:trPr>
        <w:tc>
          <w:tcPr>
            <w:tcW w:w="1000" w:type="dxa"/>
            <w:vAlign w:val="bottom"/>
          </w:tcPr>
          <w:p>
            <w:pPr>
              <w:spacing w:after="0"/>
              <w:rPr>
                <w:sz w:val="24"/>
                <w:szCs w:val="24"/>
                <w:color w:val="auto"/>
              </w:rPr>
            </w:pPr>
          </w:p>
        </w:tc>
        <w:tc>
          <w:tcPr>
            <w:tcW w:w="9300" w:type="dxa"/>
            <w:vAlign w:val="bottom"/>
            <w:gridSpan w:val="5"/>
          </w:tcPr>
          <w:p>
            <w:pPr>
              <w:spacing w:after="0"/>
              <w:rPr>
                <w:rFonts w:ascii="Arial" w:cs="Arial" w:eastAsia="Arial" w:hAnsi="Arial"/>
                <w:sz w:val="18"/>
                <w:szCs w:val="18"/>
                <w:u w:val="single" w:color="auto"/>
                <w:color w:val="0000EE"/>
              </w:rPr>
            </w:pPr>
            <w:hyperlink w:anchor="page34">
              <w:r>
                <w:rPr>
                  <w:rFonts w:ascii="Arial" w:cs="Arial" w:eastAsia="Arial" w:hAnsi="Arial"/>
                  <w:sz w:val="18"/>
                  <w:szCs w:val="18"/>
                  <w:u w:val="single" w:color="auto"/>
                  <w:color w:val="0000EE"/>
                </w:rPr>
                <w:t>SIGNATURE</w:t>
              </w:r>
            </w:hyperlink>
          </w:p>
        </w:tc>
        <w:tc>
          <w:tcPr>
            <w:tcW w:w="740" w:type="dxa"/>
            <w:vAlign w:val="bottom"/>
          </w:tcPr>
          <w:p>
            <w:pPr>
              <w:jc w:val="right"/>
              <w:spacing w:after="0"/>
              <w:rPr>
                <w:sz w:val="20"/>
                <w:szCs w:val="20"/>
                <w:color w:val="auto"/>
              </w:rPr>
            </w:pPr>
            <w:r>
              <w:rPr>
                <w:rFonts w:ascii="Arial" w:cs="Arial" w:eastAsia="Arial" w:hAnsi="Arial"/>
                <w:sz w:val="18"/>
                <w:szCs w:val="18"/>
                <w:color w:val="auto"/>
              </w:rPr>
              <w:t>32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3994785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40"/>
          </w:cols>
          <w:pgMar w:left="420" w:top="351" w:right="4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PART I. FINANCIAL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Financial Statements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HEALTHSTREAM,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77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5"/>
                <w:szCs w:val="15"/>
                <w:b w:val="1"/>
                <w:bCs w:val="1"/>
                <w:color w:val="auto"/>
              </w:rPr>
              <w:t>June 30,</w:t>
            </w:r>
          </w:p>
        </w:tc>
        <w:tc>
          <w:tcPr>
            <w:tcW w:w="5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60" w:type="dxa"/>
            <w:vAlign w:val="bottom"/>
            <w:gridSpan w:val="2"/>
          </w:tcPr>
          <w:p>
            <w:pPr>
              <w:ind w:left="120"/>
              <w:spacing w:after="0"/>
              <w:rPr>
                <w:sz w:val="20"/>
                <w:szCs w:val="20"/>
                <w:color w:val="auto"/>
              </w:rPr>
            </w:pPr>
            <w:r>
              <w:rPr>
                <w:rFonts w:ascii="Arial" w:cs="Arial" w:eastAsia="Arial" w:hAnsi="Arial"/>
                <w:sz w:val="15"/>
                <w:szCs w:val="15"/>
                <w:b w:val="1"/>
                <w:bCs w:val="1"/>
                <w:color w:val="auto"/>
              </w:rPr>
              <w:t>December 31,</w:t>
            </w:r>
          </w:p>
        </w:tc>
      </w:tr>
      <w:tr>
        <w:trPr>
          <w:trHeight w:val="179"/>
        </w:trPr>
        <w:tc>
          <w:tcPr>
            <w:tcW w:w="7720" w:type="dxa"/>
            <w:vAlign w:val="bottom"/>
            <w:tcBorders>
              <w:bottom w:val="single" w:sz="8" w:color="CFF0FC"/>
            </w:tcBorders>
          </w:tcPr>
          <w:p>
            <w:pPr>
              <w:spacing w:after="0"/>
              <w:rPr>
                <w:sz w:val="15"/>
                <w:szCs w:val="15"/>
                <w:color w:val="auto"/>
              </w:rPr>
            </w:pPr>
          </w:p>
        </w:tc>
        <w:tc>
          <w:tcPr>
            <w:tcW w:w="106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b w:val="1"/>
                <w:bCs w:val="1"/>
                <w:color w:val="auto"/>
              </w:rPr>
              <w:t>2020</w:t>
            </w:r>
          </w:p>
        </w:tc>
        <w:tc>
          <w:tcPr>
            <w:tcW w:w="500" w:type="dxa"/>
            <w:vAlign w:val="bottom"/>
            <w:tcBorders>
              <w:bottom w:val="single" w:sz="8" w:color="auto"/>
            </w:tcBorders>
          </w:tcPr>
          <w:p>
            <w:pPr>
              <w:spacing w:after="0"/>
              <w:rPr>
                <w:sz w:val="15"/>
                <w:szCs w:val="15"/>
                <w:color w:val="auto"/>
              </w:rPr>
            </w:pPr>
          </w:p>
        </w:tc>
        <w:tc>
          <w:tcPr>
            <w:tcW w:w="280" w:type="dxa"/>
            <w:vAlign w:val="bottom"/>
            <w:tcBorders>
              <w:bottom w:val="single" w:sz="8" w:color="CFF0FC"/>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ind w:right="564"/>
              <w:spacing w:after="0"/>
              <w:rPr>
                <w:sz w:val="20"/>
                <w:szCs w:val="20"/>
                <w:color w:val="auto"/>
              </w:rPr>
            </w:pPr>
            <w:r>
              <w:rPr>
                <w:rFonts w:ascii="Arial" w:cs="Arial" w:eastAsia="Arial" w:hAnsi="Arial"/>
                <w:sz w:val="15"/>
                <w:szCs w:val="15"/>
                <w:b w:val="1"/>
                <w:bCs w:val="1"/>
                <w:color w:val="auto"/>
              </w:rPr>
              <w:t>2019</w:t>
            </w:r>
          </w:p>
        </w:tc>
        <w:tc>
          <w:tcPr>
            <w:tcW w:w="100" w:type="dxa"/>
            <w:vAlign w:val="bottom"/>
            <w:tcBorders>
              <w:bottom w:val="single" w:sz="8" w:color="CFF0FC"/>
            </w:tcBorders>
          </w:tcPr>
          <w:p>
            <w:pPr>
              <w:spacing w:after="0"/>
              <w:rPr>
                <w:sz w:val="15"/>
                <w:szCs w:val="15"/>
                <w:color w:val="auto"/>
              </w:rPr>
            </w:pPr>
          </w:p>
        </w:tc>
      </w:tr>
      <w:tr>
        <w:trPr>
          <w:trHeight w:val="169"/>
        </w:trPr>
        <w:tc>
          <w:tcPr>
            <w:tcW w:w="7720" w:type="dxa"/>
            <w:vAlign w:val="bottom"/>
            <w:shd w:val="clear" w:color="auto" w:fill="CFF0FC"/>
          </w:tcPr>
          <w:p>
            <w:pPr>
              <w:ind w:left="3480"/>
              <w:spacing w:after="0" w:line="169" w:lineRule="exact"/>
              <w:rPr>
                <w:sz w:val="20"/>
                <w:szCs w:val="20"/>
                <w:color w:val="auto"/>
              </w:rPr>
            </w:pPr>
            <w:r>
              <w:rPr>
                <w:rFonts w:ascii="Arial" w:cs="Arial" w:eastAsia="Arial" w:hAnsi="Arial"/>
                <w:sz w:val="15"/>
                <w:szCs w:val="15"/>
                <w:b w:val="1"/>
                <w:bCs w:val="1"/>
                <w:color w:val="auto"/>
              </w:rPr>
              <w:t>ASSETS</w:t>
            </w:r>
          </w:p>
        </w:tc>
        <w:tc>
          <w:tcPr>
            <w:tcW w:w="1060" w:type="dxa"/>
            <w:vAlign w:val="bottom"/>
            <w:shd w:val="clear" w:color="auto" w:fill="CFF0FC"/>
          </w:tcPr>
          <w:p>
            <w:pPr>
              <w:spacing w:after="0"/>
              <w:rPr>
                <w:sz w:val="14"/>
                <w:szCs w:val="14"/>
                <w:color w:val="auto"/>
              </w:rPr>
            </w:pPr>
          </w:p>
        </w:tc>
        <w:tc>
          <w:tcPr>
            <w:tcW w:w="50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3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176"/>
        </w:trPr>
        <w:tc>
          <w:tcPr>
            <w:tcW w:w="7720" w:type="dxa"/>
            <w:vAlign w:val="bottom"/>
          </w:tcPr>
          <w:p>
            <w:pPr>
              <w:spacing w:after="0"/>
              <w:rPr>
                <w:sz w:val="20"/>
                <w:szCs w:val="20"/>
                <w:color w:val="auto"/>
              </w:rPr>
            </w:pPr>
            <w:r>
              <w:rPr>
                <w:rFonts w:ascii="Arial" w:cs="Arial" w:eastAsia="Arial" w:hAnsi="Arial"/>
                <w:sz w:val="15"/>
                <w:szCs w:val="15"/>
                <w:color w:val="auto"/>
              </w:rPr>
              <w:t>Current assets:</w:t>
            </w:r>
          </w:p>
        </w:tc>
        <w:tc>
          <w:tcPr>
            <w:tcW w:w="10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75"/>
        </w:trPr>
        <w:tc>
          <w:tcPr>
            <w:tcW w:w="7720" w:type="dxa"/>
            <w:vAlign w:val="bottom"/>
            <w:shd w:val="clear" w:color="auto" w:fill="CFF0FC"/>
          </w:tcPr>
          <w:p>
            <w:pPr>
              <w:ind w:left="260"/>
              <w:spacing w:after="0"/>
              <w:rPr>
                <w:sz w:val="20"/>
                <w:szCs w:val="20"/>
                <w:color w:val="auto"/>
              </w:rPr>
            </w:pPr>
            <w:r>
              <w:rPr>
                <w:rFonts w:ascii="Arial" w:cs="Arial" w:eastAsia="Arial" w:hAnsi="Arial"/>
                <w:sz w:val="15"/>
                <w:szCs w:val="15"/>
                <w:color w:val="auto"/>
              </w:rPr>
              <w:t>Cash and cash equivalents</w:t>
            </w:r>
          </w:p>
        </w:tc>
        <w:tc>
          <w:tcPr>
            <w:tcW w:w="1060" w:type="dxa"/>
            <w:vAlign w:val="bottom"/>
            <w:shd w:val="clear" w:color="auto" w:fill="CFF0FC"/>
          </w:tcPr>
          <w:p>
            <w:pPr>
              <w:jc w:val="right"/>
              <w:ind w:right="904"/>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84"/>
              </w:rPr>
              <w:t>112,534</w:t>
            </w:r>
          </w:p>
        </w:tc>
        <w:tc>
          <w:tcPr>
            <w:tcW w:w="280" w:type="dxa"/>
            <w:vAlign w:val="bottom"/>
            <w:shd w:val="clear" w:color="auto" w:fill="CFF0FC"/>
          </w:tcPr>
          <w:p>
            <w:pPr>
              <w:spacing w:after="0"/>
              <w:rPr>
                <w:sz w:val="15"/>
                <w:szCs w:val="15"/>
                <w:color w:val="auto"/>
              </w:rPr>
            </w:pPr>
          </w:p>
        </w:tc>
        <w:tc>
          <w:tcPr>
            <w:tcW w:w="220" w:type="dxa"/>
            <w:vAlign w:val="bottom"/>
            <w:shd w:val="clear" w:color="auto" w:fill="CFF0FC"/>
          </w:tcPr>
          <w:p>
            <w:pPr>
              <w:jc w:val="right"/>
              <w:ind w:right="64"/>
              <w:spacing w:after="0"/>
              <w:rPr>
                <w:sz w:val="20"/>
                <w:szCs w:val="20"/>
                <w:color w:val="auto"/>
              </w:rPr>
            </w:pPr>
            <w:r>
              <w:rPr>
                <w:rFonts w:ascii="Arial" w:cs="Arial" w:eastAsia="Arial" w:hAnsi="Arial"/>
                <w:sz w:val="15"/>
                <w:szCs w:val="15"/>
                <w:color w:val="auto"/>
                <w:w w:val="71"/>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131,538</w:t>
            </w:r>
          </w:p>
        </w:tc>
        <w:tc>
          <w:tcPr>
            <w:tcW w:w="100" w:type="dxa"/>
            <w:vAlign w:val="bottom"/>
            <w:shd w:val="clear" w:color="auto" w:fill="CFF0FC"/>
          </w:tcPr>
          <w:p>
            <w:pPr>
              <w:spacing w:after="0"/>
              <w:rPr>
                <w:sz w:val="15"/>
                <w:szCs w:val="15"/>
                <w:color w:val="auto"/>
              </w:rPr>
            </w:pPr>
          </w:p>
        </w:tc>
      </w:tr>
      <w:tr>
        <w:trPr>
          <w:trHeight w:val="176"/>
        </w:trPr>
        <w:tc>
          <w:tcPr>
            <w:tcW w:w="7720" w:type="dxa"/>
            <w:vAlign w:val="bottom"/>
          </w:tcPr>
          <w:p>
            <w:pPr>
              <w:ind w:left="260"/>
              <w:spacing w:after="0"/>
              <w:rPr>
                <w:sz w:val="20"/>
                <w:szCs w:val="20"/>
                <w:color w:val="auto"/>
              </w:rPr>
            </w:pPr>
            <w:r>
              <w:rPr>
                <w:rFonts w:ascii="Arial" w:cs="Arial" w:eastAsia="Arial" w:hAnsi="Arial"/>
                <w:sz w:val="15"/>
                <w:szCs w:val="15"/>
                <w:color w:val="auto"/>
              </w:rPr>
              <w:t>Marketable securities</w:t>
            </w:r>
          </w:p>
        </w:tc>
        <w:tc>
          <w:tcPr>
            <w:tcW w:w="106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5"/>
                <w:szCs w:val="15"/>
                <w:color w:val="auto"/>
              </w:rPr>
              <w:t>31,989</w:t>
            </w: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Arial" w:cs="Arial" w:eastAsia="Arial" w:hAnsi="Arial"/>
                <w:sz w:val="15"/>
                <w:szCs w:val="15"/>
                <w:color w:val="auto"/>
              </w:rPr>
              <w:t>41,328</w:t>
            </w:r>
          </w:p>
        </w:tc>
        <w:tc>
          <w:tcPr>
            <w:tcW w:w="100" w:type="dxa"/>
            <w:vAlign w:val="bottom"/>
          </w:tcPr>
          <w:p>
            <w:pPr>
              <w:spacing w:after="0"/>
              <w:rPr>
                <w:sz w:val="15"/>
                <w:szCs w:val="15"/>
                <w:color w:val="auto"/>
              </w:rPr>
            </w:pPr>
          </w:p>
        </w:tc>
      </w:tr>
      <w:tr>
        <w:trPr>
          <w:trHeight w:val="162"/>
        </w:trPr>
        <w:tc>
          <w:tcPr>
            <w:tcW w:w="7720" w:type="dxa"/>
            <w:vAlign w:val="bottom"/>
            <w:shd w:val="clear" w:color="auto" w:fill="CFF0FC"/>
          </w:tcPr>
          <w:p>
            <w:pPr>
              <w:ind w:left="260"/>
              <w:spacing w:after="0" w:line="162" w:lineRule="exact"/>
              <w:rPr>
                <w:sz w:val="20"/>
                <w:szCs w:val="20"/>
                <w:color w:val="auto"/>
              </w:rPr>
            </w:pPr>
            <w:r>
              <w:rPr>
                <w:rFonts w:ascii="Arial" w:cs="Arial" w:eastAsia="Arial" w:hAnsi="Arial"/>
                <w:sz w:val="15"/>
                <w:szCs w:val="15"/>
                <w:color w:val="auto"/>
              </w:rPr>
              <w:t>Accounts receivable, net of allowance for doubtful accounts of $855 and</w:t>
            </w:r>
          </w:p>
        </w:tc>
        <w:tc>
          <w:tcPr>
            <w:tcW w:w="1060" w:type="dxa"/>
            <w:vAlign w:val="bottom"/>
            <w:shd w:val="clear" w:color="auto" w:fill="CFF0FC"/>
          </w:tcPr>
          <w:p>
            <w:pPr>
              <w:spacing w:after="0"/>
              <w:rPr>
                <w:sz w:val="14"/>
                <w:szCs w:val="14"/>
                <w:color w:val="auto"/>
              </w:rPr>
            </w:pPr>
          </w:p>
        </w:tc>
        <w:tc>
          <w:tcPr>
            <w:tcW w:w="50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3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175"/>
        </w:trPr>
        <w:tc>
          <w:tcPr>
            <w:tcW w:w="7720" w:type="dxa"/>
            <w:vAlign w:val="bottom"/>
            <w:shd w:val="clear" w:color="auto" w:fill="CFF0FC"/>
          </w:tcPr>
          <w:p>
            <w:pPr>
              <w:ind w:left="360"/>
              <w:spacing w:after="0"/>
              <w:rPr>
                <w:sz w:val="20"/>
                <w:szCs w:val="20"/>
                <w:color w:val="auto"/>
              </w:rPr>
            </w:pPr>
            <w:r>
              <w:rPr>
                <w:rFonts w:ascii="Arial" w:cs="Arial" w:eastAsia="Arial" w:hAnsi="Arial"/>
                <w:sz w:val="15"/>
                <w:szCs w:val="15"/>
                <w:color w:val="auto"/>
              </w:rPr>
              <w:t>$843 at June 30, 2020 and December 31, 2019, respectively</w:t>
            </w:r>
          </w:p>
        </w:tc>
        <w:tc>
          <w:tcPr>
            <w:tcW w:w="1060" w:type="dxa"/>
            <w:vAlign w:val="bottom"/>
            <w:shd w:val="clear" w:color="auto" w:fill="CFF0FC"/>
          </w:tcPr>
          <w:p>
            <w:pPr>
              <w:spacing w:after="0"/>
              <w:rPr>
                <w:sz w:val="15"/>
                <w:szCs w:val="15"/>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30,621</w:t>
            </w:r>
          </w:p>
        </w:tc>
        <w:tc>
          <w:tcPr>
            <w:tcW w:w="2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27,650</w:t>
            </w:r>
          </w:p>
        </w:tc>
        <w:tc>
          <w:tcPr>
            <w:tcW w:w="100" w:type="dxa"/>
            <w:vAlign w:val="bottom"/>
            <w:shd w:val="clear" w:color="auto" w:fill="CFF0FC"/>
          </w:tcPr>
          <w:p>
            <w:pPr>
              <w:spacing w:after="0"/>
              <w:rPr>
                <w:sz w:val="15"/>
                <w:szCs w:val="15"/>
                <w:color w:val="auto"/>
              </w:rPr>
            </w:pPr>
          </w:p>
        </w:tc>
      </w:tr>
      <w:tr>
        <w:trPr>
          <w:trHeight w:val="175"/>
        </w:trPr>
        <w:tc>
          <w:tcPr>
            <w:tcW w:w="7720" w:type="dxa"/>
            <w:vAlign w:val="bottom"/>
          </w:tcPr>
          <w:p>
            <w:pPr>
              <w:ind w:left="260"/>
              <w:spacing w:after="0"/>
              <w:rPr>
                <w:sz w:val="20"/>
                <w:szCs w:val="20"/>
                <w:color w:val="auto"/>
              </w:rPr>
            </w:pPr>
            <w:r>
              <w:rPr>
                <w:rFonts w:ascii="Arial" w:cs="Arial" w:eastAsia="Arial" w:hAnsi="Arial"/>
                <w:sz w:val="15"/>
                <w:szCs w:val="15"/>
                <w:color w:val="auto"/>
              </w:rPr>
              <w:t>Accounts receivable - unbilled</w:t>
            </w:r>
          </w:p>
        </w:tc>
        <w:tc>
          <w:tcPr>
            <w:tcW w:w="106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5"/>
                <w:szCs w:val="15"/>
                <w:color w:val="auto"/>
              </w:rPr>
              <w:t>3,244</w:t>
            </w: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Arial" w:cs="Arial" w:eastAsia="Arial" w:hAnsi="Arial"/>
                <w:sz w:val="15"/>
                <w:szCs w:val="15"/>
                <w:color w:val="auto"/>
              </w:rPr>
              <w:t>2,726</w:t>
            </w:r>
          </w:p>
        </w:tc>
        <w:tc>
          <w:tcPr>
            <w:tcW w:w="100" w:type="dxa"/>
            <w:vAlign w:val="bottom"/>
          </w:tcPr>
          <w:p>
            <w:pPr>
              <w:spacing w:after="0"/>
              <w:rPr>
                <w:sz w:val="15"/>
                <w:szCs w:val="15"/>
                <w:color w:val="auto"/>
              </w:rPr>
            </w:pPr>
          </w:p>
        </w:tc>
      </w:tr>
      <w:tr>
        <w:trPr>
          <w:trHeight w:val="176"/>
        </w:trPr>
        <w:tc>
          <w:tcPr>
            <w:tcW w:w="7720" w:type="dxa"/>
            <w:vAlign w:val="bottom"/>
            <w:shd w:val="clear" w:color="auto" w:fill="CFF0FC"/>
          </w:tcPr>
          <w:p>
            <w:pPr>
              <w:ind w:left="260"/>
              <w:spacing w:after="0"/>
              <w:rPr>
                <w:sz w:val="20"/>
                <w:szCs w:val="20"/>
                <w:color w:val="auto"/>
              </w:rPr>
            </w:pPr>
            <w:r>
              <w:rPr>
                <w:rFonts w:ascii="Arial" w:cs="Arial" w:eastAsia="Arial" w:hAnsi="Arial"/>
                <w:sz w:val="15"/>
                <w:szCs w:val="15"/>
                <w:color w:val="auto"/>
              </w:rPr>
              <w:t>Prepaid royalties, net of amortization</w:t>
            </w:r>
          </w:p>
        </w:tc>
        <w:tc>
          <w:tcPr>
            <w:tcW w:w="1060" w:type="dxa"/>
            <w:vAlign w:val="bottom"/>
            <w:shd w:val="clear" w:color="auto" w:fill="CFF0FC"/>
          </w:tcPr>
          <w:p>
            <w:pPr>
              <w:spacing w:after="0"/>
              <w:rPr>
                <w:sz w:val="15"/>
                <w:szCs w:val="15"/>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11,323</w:t>
            </w:r>
          </w:p>
        </w:tc>
        <w:tc>
          <w:tcPr>
            <w:tcW w:w="2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11,898</w:t>
            </w:r>
          </w:p>
        </w:tc>
        <w:tc>
          <w:tcPr>
            <w:tcW w:w="100" w:type="dxa"/>
            <w:vAlign w:val="bottom"/>
            <w:shd w:val="clear" w:color="auto" w:fill="CFF0FC"/>
          </w:tcPr>
          <w:p>
            <w:pPr>
              <w:spacing w:after="0"/>
              <w:rPr>
                <w:sz w:val="15"/>
                <w:szCs w:val="15"/>
                <w:color w:val="auto"/>
              </w:rPr>
            </w:pPr>
          </w:p>
        </w:tc>
      </w:tr>
      <w:tr>
        <w:trPr>
          <w:trHeight w:val="175"/>
        </w:trPr>
        <w:tc>
          <w:tcPr>
            <w:tcW w:w="7720" w:type="dxa"/>
            <w:vAlign w:val="bottom"/>
            <w:tcBorders>
              <w:bottom w:val="single" w:sz="8" w:color="CFF0FC"/>
            </w:tcBorders>
          </w:tcPr>
          <w:p>
            <w:pPr>
              <w:ind w:left="260"/>
              <w:spacing w:after="0"/>
              <w:rPr>
                <w:sz w:val="20"/>
                <w:szCs w:val="20"/>
                <w:color w:val="auto"/>
              </w:rPr>
            </w:pPr>
            <w:r>
              <w:rPr>
                <w:rFonts w:ascii="Arial" w:cs="Arial" w:eastAsia="Arial" w:hAnsi="Arial"/>
                <w:sz w:val="15"/>
                <w:szCs w:val="15"/>
                <w:color w:val="auto"/>
              </w:rPr>
              <w:t>Other prepaid expenses and other current assets</w:t>
            </w:r>
          </w:p>
        </w:tc>
        <w:tc>
          <w:tcPr>
            <w:tcW w:w="106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8,969</w:t>
            </w:r>
          </w:p>
        </w:tc>
        <w:tc>
          <w:tcPr>
            <w:tcW w:w="280" w:type="dxa"/>
            <w:vAlign w:val="bottom"/>
            <w:tcBorders>
              <w:bottom w:val="single" w:sz="8" w:color="CFF0FC"/>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9,432</w:t>
            </w:r>
          </w:p>
        </w:tc>
        <w:tc>
          <w:tcPr>
            <w:tcW w:w="100" w:type="dxa"/>
            <w:vAlign w:val="bottom"/>
            <w:tcBorders>
              <w:bottom w:val="single" w:sz="8" w:color="CFF0FC"/>
            </w:tcBorders>
          </w:tcPr>
          <w:p>
            <w:pPr>
              <w:spacing w:after="0"/>
              <w:rPr>
                <w:sz w:val="15"/>
                <w:szCs w:val="15"/>
                <w:color w:val="auto"/>
              </w:rPr>
            </w:pPr>
          </w:p>
        </w:tc>
      </w:tr>
      <w:tr>
        <w:trPr>
          <w:trHeight w:val="169"/>
        </w:trPr>
        <w:tc>
          <w:tcPr>
            <w:tcW w:w="7720" w:type="dxa"/>
            <w:vAlign w:val="bottom"/>
            <w:shd w:val="clear" w:color="auto" w:fill="CFF0FC"/>
          </w:tcPr>
          <w:p>
            <w:pPr>
              <w:ind w:left="500"/>
              <w:spacing w:after="0" w:line="169" w:lineRule="exact"/>
              <w:rPr>
                <w:sz w:val="20"/>
                <w:szCs w:val="20"/>
                <w:color w:val="auto"/>
              </w:rPr>
            </w:pPr>
            <w:r>
              <w:rPr>
                <w:rFonts w:ascii="Arial" w:cs="Arial" w:eastAsia="Arial" w:hAnsi="Arial"/>
                <w:sz w:val="15"/>
                <w:szCs w:val="15"/>
                <w:color w:val="auto"/>
              </w:rPr>
              <w:t>Total current assets</w:t>
            </w:r>
          </w:p>
        </w:tc>
        <w:tc>
          <w:tcPr>
            <w:tcW w:w="1060" w:type="dxa"/>
            <w:vAlign w:val="bottom"/>
            <w:shd w:val="clear" w:color="auto" w:fill="CFF0FC"/>
          </w:tcPr>
          <w:p>
            <w:pPr>
              <w:spacing w:after="0"/>
              <w:rPr>
                <w:sz w:val="14"/>
                <w:szCs w:val="14"/>
                <w:color w:val="auto"/>
              </w:rPr>
            </w:pPr>
          </w:p>
        </w:tc>
        <w:tc>
          <w:tcPr>
            <w:tcW w:w="50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w w:val="84"/>
              </w:rPr>
              <w:t>198,680</w:t>
            </w:r>
          </w:p>
        </w:tc>
        <w:tc>
          <w:tcPr>
            <w:tcW w:w="2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36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224,572</w:t>
            </w:r>
          </w:p>
        </w:tc>
        <w:tc>
          <w:tcPr>
            <w:tcW w:w="100" w:type="dxa"/>
            <w:vAlign w:val="bottom"/>
            <w:shd w:val="clear" w:color="auto" w:fill="CFF0FC"/>
          </w:tcPr>
          <w:p>
            <w:pPr>
              <w:spacing w:after="0"/>
              <w:rPr>
                <w:sz w:val="14"/>
                <w:szCs w:val="14"/>
                <w:color w:val="auto"/>
              </w:rPr>
            </w:pPr>
          </w:p>
        </w:tc>
      </w:tr>
      <w:tr>
        <w:trPr>
          <w:trHeight w:val="176"/>
        </w:trPr>
        <w:tc>
          <w:tcPr>
            <w:tcW w:w="77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62"/>
        </w:trPr>
        <w:tc>
          <w:tcPr>
            <w:tcW w:w="7720" w:type="dxa"/>
            <w:vAlign w:val="bottom"/>
            <w:shd w:val="clear" w:color="auto" w:fill="CFF0FC"/>
          </w:tcPr>
          <w:p>
            <w:pPr>
              <w:spacing w:after="0" w:line="162" w:lineRule="exact"/>
              <w:rPr>
                <w:sz w:val="20"/>
                <w:szCs w:val="20"/>
                <w:color w:val="auto"/>
              </w:rPr>
            </w:pPr>
            <w:r>
              <w:rPr>
                <w:rFonts w:ascii="Arial" w:cs="Arial" w:eastAsia="Arial" w:hAnsi="Arial"/>
                <w:sz w:val="15"/>
                <w:szCs w:val="15"/>
                <w:color w:val="auto"/>
              </w:rPr>
              <w:t>Property and equipment, net of accumulated depreciation of $22,865 and</w:t>
            </w:r>
          </w:p>
        </w:tc>
        <w:tc>
          <w:tcPr>
            <w:tcW w:w="1060" w:type="dxa"/>
            <w:vAlign w:val="bottom"/>
            <w:shd w:val="clear" w:color="auto" w:fill="CFF0FC"/>
          </w:tcPr>
          <w:p>
            <w:pPr>
              <w:spacing w:after="0"/>
              <w:rPr>
                <w:sz w:val="14"/>
                <w:szCs w:val="14"/>
                <w:color w:val="auto"/>
              </w:rPr>
            </w:pPr>
          </w:p>
        </w:tc>
        <w:tc>
          <w:tcPr>
            <w:tcW w:w="50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3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175"/>
        </w:trPr>
        <w:tc>
          <w:tcPr>
            <w:tcW w:w="7720" w:type="dxa"/>
            <w:vAlign w:val="bottom"/>
            <w:shd w:val="clear" w:color="auto" w:fill="CFF0FC"/>
          </w:tcPr>
          <w:p>
            <w:pPr>
              <w:ind w:left="120"/>
              <w:spacing w:after="0"/>
              <w:rPr>
                <w:sz w:val="20"/>
                <w:szCs w:val="20"/>
                <w:color w:val="auto"/>
              </w:rPr>
            </w:pPr>
            <w:r>
              <w:rPr>
                <w:rFonts w:ascii="Arial" w:cs="Arial" w:eastAsia="Arial" w:hAnsi="Arial"/>
                <w:sz w:val="15"/>
                <w:szCs w:val="15"/>
                <w:color w:val="auto"/>
              </w:rPr>
              <w:t>$19,291 at June 30, 2020 and December 31, 2019, respectively</w:t>
            </w:r>
          </w:p>
        </w:tc>
        <w:tc>
          <w:tcPr>
            <w:tcW w:w="1060" w:type="dxa"/>
            <w:vAlign w:val="bottom"/>
            <w:shd w:val="clear" w:color="auto" w:fill="CFF0FC"/>
          </w:tcPr>
          <w:p>
            <w:pPr>
              <w:spacing w:after="0"/>
              <w:rPr>
                <w:sz w:val="15"/>
                <w:szCs w:val="15"/>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22,936</w:t>
            </w:r>
          </w:p>
        </w:tc>
        <w:tc>
          <w:tcPr>
            <w:tcW w:w="2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26,065</w:t>
            </w:r>
          </w:p>
        </w:tc>
        <w:tc>
          <w:tcPr>
            <w:tcW w:w="100" w:type="dxa"/>
            <w:vAlign w:val="bottom"/>
            <w:shd w:val="clear" w:color="auto" w:fill="CFF0FC"/>
          </w:tcPr>
          <w:p>
            <w:pPr>
              <w:spacing w:after="0"/>
              <w:rPr>
                <w:sz w:val="15"/>
                <w:szCs w:val="15"/>
                <w:color w:val="auto"/>
              </w:rPr>
            </w:pPr>
          </w:p>
        </w:tc>
      </w:tr>
      <w:tr>
        <w:trPr>
          <w:trHeight w:val="162"/>
        </w:trPr>
        <w:tc>
          <w:tcPr>
            <w:tcW w:w="7720" w:type="dxa"/>
            <w:vAlign w:val="bottom"/>
          </w:tcPr>
          <w:p>
            <w:pPr>
              <w:spacing w:after="0" w:line="162" w:lineRule="exact"/>
              <w:rPr>
                <w:sz w:val="20"/>
                <w:szCs w:val="20"/>
                <w:color w:val="auto"/>
              </w:rPr>
            </w:pPr>
            <w:r>
              <w:rPr>
                <w:rFonts w:ascii="Arial" w:cs="Arial" w:eastAsia="Arial" w:hAnsi="Arial"/>
                <w:sz w:val="15"/>
                <w:szCs w:val="15"/>
                <w:color w:val="auto"/>
              </w:rPr>
              <w:t>Capitalized software development, net of accumulated amortization of $63,796 and</w:t>
            </w:r>
          </w:p>
        </w:tc>
        <w:tc>
          <w:tcPr>
            <w:tcW w:w="10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5"/>
        </w:trPr>
        <w:tc>
          <w:tcPr>
            <w:tcW w:w="7720" w:type="dxa"/>
            <w:vAlign w:val="bottom"/>
          </w:tcPr>
          <w:p>
            <w:pPr>
              <w:ind w:left="120"/>
              <w:spacing w:after="0"/>
              <w:rPr>
                <w:sz w:val="20"/>
                <w:szCs w:val="20"/>
                <w:color w:val="auto"/>
              </w:rPr>
            </w:pPr>
            <w:r>
              <w:rPr>
                <w:rFonts w:ascii="Arial" w:cs="Arial" w:eastAsia="Arial" w:hAnsi="Arial"/>
                <w:sz w:val="15"/>
                <w:szCs w:val="15"/>
                <w:color w:val="auto"/>
              </w:rPr>
              <w:t>$57,768 at June 30, 2020 and December 31, 2019, respectively</w:t>
            </w:r>
          </w:p>
        </w:tc>
        <w:tc>
          <w:tcPr>
            <w:tcW w:w="106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5"/>
                <w:szCs w:val="15"/>
                <w:color w:val="auto"/>
              </w:rPr>
              <w:t>23,250</w:t>
            </w: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Arial" w:cs="Arial" w:eastAsia="Arial" w:hAnsi="Arial"/>
                <w:sz w:val="15"/>
                <w:szCs w:val="15"/>
                <w:color w:val="auto"/>
              </w:rPr>
              <w:t>21,445</w:t>
            </w:r>
          </w:p>
        </w:tc>
        <w:tc>
          <w:tcPr>
            <w:tcW w:w="100" w:type="dxa"/>
            <w:vAlign w:val="bottom"/>
          </w:tcPr>
          <w:p>
            <w:pPr>
              <w:spacing w:after="0"/>
              <w:rPr>
                <w:sz w:val="15"/>
                <w:szCs w:val="15"/>
                <w:color w:val="auto"/>
              </w:rPr>
            </w:pPr>
          </w:p>
        </w:tc>
      </w:tr>
      <w:tr>
        <w:trPr>
          <w:trHeight w:val="175"/>
        </w:trPr>
        <w:tc>
          <w:tcPr>
            <w:tcW w:w="7720" w:type="dxa"/>
            <w:vAlign w:val="bottom"/>
            <w:shd w:val="clear" w:color="auto" w:fill="CFF0FC"/>
          </w:tcPr>
          <w:p>
            <w:pPr>
              <w:spacing w:after="0"/>
              <w:rPr>
                <w:sz w:val="20"/>
                <w:szCs w:val="20"/>
                <w:color w:val="auto"/>
              </w:rPr>
            </w:pPr>
            <w:r>
              <w:rPr>
                <w:rFonts w:ascii="Arial" w:cs="Arial" w:eastAsia="Arial" w:hAnsi="Arial"/>
                <w:sz w:val="15"/>
                <w:szCs w:val="15"/>
                <w:color w:val="auto"/>
              </w:rPr>
              <w:t>Operating lease right of use assets, net</w:t>
            </w:r>
          </w:p>
        </w:tc>
        <w:tc>
          <w:tcPr>
            <w:tcW w:w="1060" w:type="dxa"/>
            <w:vAlign w:val="bottom"/>
            <w:shd w:val="clear" w:color="auto" w:fill="CFF0FC"/>
          </w:tcPr>
          <w:p>
            <w:pPr>
              <w:spacing w:after="0"/>
              <w:rPr>
                <w:sz w:val="15"/>
                <w:szCs w:val="15"/>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28,422</w:t>
            </w:r>
          </w:p>
        </w:tc>
        <w:tc>
          <w:tcPr>
            <w:tcW w:w="2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29,615</w:t>
            </w:r>
          </w:p>
        </w:tc>
        <w:tc>
          <w:tcPr>
            <w:tcW w:w="100" w:type="dxa"/>
            <w:vAlign w:val="bottom"/>
            <w:shd w:val="clear" w:color="auto" w:fill="CFF0FC"/>
          </w:tcPr>
          <w:p>
            <w:pPr>
              <w:spacing w:after="0"/>
              <w:rPr>
                <w:sz w:val="15"/>
                <w:szCs w:val="15"/>
                <w:color w:val="auto"/>
              </w:rPr>
            </w:pPr>
          </w:p>
        </w:tc>
      </w:tr>
      <w:tr>
        <w:trPr>
          <w:trHeight w:val="176"/>
        </w:trPr>
        <w:tc>
          <w:tcPr>
            <w:tcW w:w="7720" w:type="dxa"/>
            <w:vAlign w:val="bottom"/>
          </w:tcPr>
          <w:p>
            <w:pPr>
              <w:spacing w:after="0"/>
              <w:rPr>
                <w:sz w:val="20"/>
                <w:szCs w:val="20"/>
                <w:color w:val="auto"/>
              </w:rPr>
            </w:pPr>
            <w:r>
              <w:rPr>
                <w:rFonts w:ascii="Arial" w:cs="Arial" w:eastAsia="Arial" w:hAnsi="Arial"/>
                <w:sz w:val="15"/>
                <w:szCs w:val="15"/>
                <w:color w:val="auto"/>
              </w:rPr>
              <w:t>Goodwill</w:t>
            </w:r>
          </w:p>
        </w:tc>
        <w:tc>
          <w:tcPr>
            <w:tcW w:w="106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5"/>
                <w:szCs w:val="15"/>
                <w:color w:val="auto"/>
                <w:w w:val="84"/>
              </w:rPr>
              <w:t>123,285</w:t>
            </w: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Arial" w:cs="Arial" w:eastAsia="Arial" w:hAnsi="Arial"/>
                <w:sz w:val="15"/>
                <w:szCs w:val="15"/>
                <w:color w:val="auto"/>
              </w:rPr>
              <w:t>102,196</w:t>
            </w:r>
          </w:p>
        </w:tc>
        <w:tc>
          <w:tcPr>
            <w:tcW w:w="100" w:type="dxa"/>
            <w:vAlign w:val="bottom"/>
          </w:tcPr>
          <w:p>
            <w:pPr>
              <w:spacing w:after="0"/>
              <w:rPr>
                <w:sz w:val="15"/>
                <w:szCs w:val="15"/>
                <w:color w:val="auto"/>
              </w:rPr>
            </w:pPr>
          </w:p>
        </w:tc>
      </w:tr>
      <w:tr>
        <w:trPr>
          <w:trHeight w:val="162"/>
        </w:trPr>
        <w:tc>
          <w:tcPr>
            <w:tcW w:w="7720" w:type="dxa"/>
            <w:vAlign w:val="bottom"/>
            <w:shd w:val="clear" w:color="auto" w:fill="CFF0FC"/>
          </w:tcPr>
          <w:p>
            <w:pPr>
              <w:spacing w:after="0" w:line="162" w:lineRule="exact"/>
              <w:rPr>
                <w:sz w:val="20"/>
                <w:szCs w:val="20"/>
                <w:color w:val="auto"/>
              </w:rPr>
            </w:pPr>
            <w:r>
              <w:rPr>
                <w:rFonts w:ascii="Arial" w:cs="Arial" w:eastAsia="Arial" w:hAnsi="Arial"/>
                <w:sz w:val="15"/>
                <w:szCs w:val="15"/>
                <w:color w:val="auto"/>
              </w:rPr>
              <w:t>Customer-related intangibles, net of accumulated amortization of $33,129 and</w:t>
            </w:r>
          </w:p>
        </w:tc>
        <w:tc>
          <w:tcPr>
            <w:tcW w:w="1060" w:type="dxa"/>
            <w:vAlign w:val="bottom"/>
            <w:shd w:val="clear" w:color="auto" w:fill="CFF0FC"/>
          </w:tcPr>
          <w:p>
            <w:pPr>
              <w:spacing w:after="0"/>
              <w:rPr>
                <w:sz w:val="14"/>
                <w:szCs w:val="14"/>
                <w:color w:val="auto"/>
              </w:rPr>
            </w:pPr>
          </w:p>
        </w:tc>
        <w:tc>
          <w:tcPr>
            <w:tcW w:w="50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3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175"/>
        </w:trPr>
        <w:tc>
          <w:tcPr>
            <w:tcW w:w="7720" w:type="dxa"/>
            <w:vAlign w:val="bottom"/>
            <w:shd w:val="clear" w:color="auto" w:fill="CFF0FC"/>
          </w:tcPr>
          <w:p>
            <w:pPr>
              <w:ind w:left="120"/>
              <w:spacing w:after="0"/>
              <w:rPr>
                <w:sz w:val="20"/>
                <w:szCs w:val="20"/>
                <w:color w:val="auto"/>
              </w:rPr>
            </w:pPr>
            <w:r>
              <w:rPr>
                <w:rFonts w:ascii="Arial" w:cs="Arial" w:eastAsia="Arial" w:hAnsi="Arial"/>
                <w:sz w:val="15"/>
                <w:szCs w:val="15"/>
                <w:color w:val="auto"/>
              </w:rPr>
              <w:t>$29,760 at June 30, 2020 and December 31, 2019, respectively</w:t>
            </w:r>
          </w:p>
        </w:tc>
        <w:tc>
          <w:tcPr>
            <w:tcW w:w="1060" w:type="dxa"/>
            <w:vAlign w:val="bottom"/>
            <w:shd w:val="clear" w:color="auto" w:fill="CFF0FC"/>
          </w:tcPr>
          <w:p>
            <w:pPr>
              <w:spacing w:after="0"/>
              <w:rPr>
                <w:sz w:val="15"/>
                <w:szCs w:val="15"/>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49,220</w:t>
            </w:r>
          </w:p>
        </w:tc>
        <w:tc>
          <w:tcPr>
            <w:tcW w:w="2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52,554</w:t>
            </w:r>
          </w:p>
        </w:tc>
        <w:tc>
          <w:tcPr>
            <w:tcW w:w="100" w:type="dxa"/>
            <w:vAlign w:val="bottom"/>
            <w:shd w:val="clear" w:color="auto" w:fill="CFF0FC"/>
          </w:tcPr>
          <w:p>
            <w:pPr>
              <w:spacing w:after="0"/>
              <w:rPr>
                <w:sz w:val="15"/>
                <w:szCs w:val="15"/>
                <w:color w:val="auto"/>
              </w:rPr>
            </w:pPr>
          </w:p>
        </w:tc>
      </w:tr>
      <w:tr>
        <w:trPr>
          <w:trHeight w:val="162"/>
        </w:trPr>
        <w:tc>
          <w:tcPr>
            <w:tcW w:w="7720" w:type="dxa"/>
            <w:vAlign w:val="bottom"/>
          </w:tcPr>
          <w:p>
            <w:pPr>
              <w:spacing w:after="0" w:line="162" w:lineRule="exact"/>
              <w:rPr>
                <w:sz w:val="20"/>
                <w:szCs w:val="20"/>
                <w:color w:val="auto"/>
              </w:rPr>
            </w:pPr>
            <w:r>
              <w:rPr>
                <w:rFonts w:ascii="Arial" w:cs="Arial" w:eastAsia="Arial" w:hAnsi="Arial"/>
                <w:sz w:val="15"/>
                <w:szCs w:val="15"/>
                <w:color w:val="auto"/>
              </w:rPr>
              <w:t>Other intangible assets, net of accumulated amortization of $14,363 and</w:t>
            </w:r>
          </w:p>
        </w:tc>
        <w:tc>
          <w:tcPr>
            <w:tcW w:w="10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5"/>
        </w:trPr>
        <w:tc>
          <w:tcPr>
            <w:tcW w:w="7720" w:type="dxa"/>
            <w:vAlign w:val="bottom"/>
          </w:tcPr>
          <w:p>
            <w:pPr>
              <w:ind w:left="120"/>
              <w:spacing w:after="0"/>
              <w:rPr>
                <w:sz w:val="20"/>
                <w:szCs w:val="20"/>
                <w:color w:val="auto"/>
              </w:rPr>
            </w:pPr>
            <w:r>
              <w:rPr>
                <w:rFonts w:ascii="Arial" w:cs="Arial" w:eastAsia="Arial" w:hAnsi="Arial"/>
                <w:sz w:val="15"/>
                <w:szCs w:val="15"/>
                <w:color w:val="auto"/>
              </w:rPr>
              <w:t>$12,735 at June 30, 2020 and December 31, 2019, respectively</w:t>
            </w:r>
          </w:p>
        </w:tc>
        <w:tc>
          <w:tcPr>
            <w:tcW w:w="106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5"/>
                <w:szCs w:val="15"/>
                <w:color w:val="auto"/>
              </w:rPr>
              <w:t>7,708</w:t>
            </w: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Arial" w:cs="Arial" w:eastAsia="Arial" w:hAnsi="Arial"/>
                <w:sz w:val="15"/>
                <w:szCs w:val="15"/>
                <w:color w:val="auto"/>
              </w:rPr>
              <w:t>7,527</w:t>
            </w:r>
          </w:p>
        </w:tc>
        <w:tc>
          <w:tcPr>
            <w:tcW w:w="100" w:type="dxa"/>
            <w:vAlign w:val="bottom"/>
          </w:tcPr>
          <w:p>
            <w:pPr>
              <w:spacing w:after="0"/>
              <w:rPr>
                <w:sz w:val="15"/>
                <w:szCs w:val="15"/>
                <w:color w:val="auto"/>
              </w:rPr>
            </w:pPr>
          </w:p>
        </w:tc>
      </w:tr>
      <w:tr>
        <w:trPr>
          <w:trHeight w:val="175"/>
        </w:trPr>
        <w:tc>
          <w:tcPr>
            <w:tcW w:w="7720" w:type="dxa"/>
            <w:vAlign w:val="bottom"/>
            <w:shd w:val="clear" w:color="auto" w:fill="CFF0FC"/>
          </w:tcPr>
          <w:p>
            <w:pPr>
              <w:spacing w:after="0"/>
              <w:rPr>
                <w:sz w:val="20"/>
                <w:szCs w:val="20"/>
                <w:color w:val="auto"/>
              </w:rPr>
            </w:pPr>
            <w:r>
              <w:rPr>
                <w:rFonts w:ascii="Arial" w:cs="Arial" w:eastAsia="Arial" w:hAnsi="Arial"/>
                <w:sz w:val="15"/>
                <w:szCs w:val="15"/>
                <w:color w:val="auto"/>
              </w:rPr>
              <w:t>Deferred tax assets</w:t>
            </w:r>
          </w:p>
        </w:tc>
        <w:tc>
          <w:tcPr>
            <w:tcW w:w="1060" w:type="dxa"/>
            <w:vAlign w:val="bottom"/>
            <w:shd w:val="clear" w:color="auto" w:fill="CFF0FC"/>
          </w:tcPr>
          <w:p>
            <w:pPr>
              <w:spacing w:after="0"/>
              <w:rPr>
                <w:sz w:val="15"/>
                <w:szCs w:val="15"/>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269</w:t>
            </w:r>
          </w:p>
        </w:tc>
        <w:tc>
          <w:tcPr>
            <w:tcW w:w="2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269</w:t>
            </w:r>
          </w:p>
        </w:tc>
        <w:tc>
          <w:tcPr>
            <w:tcW w:w="100" w:type="dxa"/>
            <w:vAlign w:val="bottom"/>
            <w:shd w:val="clear" w:color="auto" w:fill="CFF0FC"/>
          </w:tcPr>
          <w:p>
            <w:pPr>
              <w:spacing w:after="0"/>
              <w:rPr>
                <w:sz w:val="15"/>
                <w:szCs w:val="15"/>
                <w:color w:val="auto"/>
              </w:rPr>
            </w:pPr>
          </w:p>
        </w:tc>
      </w:tr>
      <w:tr>
        <w:trPr>
          <w:trHeight w:val="176"/>
        </w:trPr>
        <w:tc>
          <w:tcPr>
            <w:tcW w:w="7720" w:type="dxa"/>
            <w:vAlign w:val="bottom"/>
          </w:tcPr>
          <w:p>
            <w:pPr>
              <w:spacing w:after="0"/>
              <w:rPr>
                <w:sz w:val="20"/>
                <w:szCs w:val="20"/>
                <w:color w:val="auto"/>
              </w:rPr>
            </w:pPr>
            <w:r>
              <w:rPr>
                <w:rFonts w:ascii="Arial" w:cs="Arial" w:eastAsia="Arial" w:hAnsi="Arial"/>
                <w:sz w:val="15"/>
                <w:szCs w:val="15"/>
                <w:color w:val="auto"/>
              </w:rPr>
              <w:t>Deferred commissions</w:t>
            </w:r>
          </w:p>
        </w:tc>
        <w:tc>
          <w:tcPr>
            <w:tcW w:w="106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5"/>
                <w:szCs w:val="15"/>
                <w:color w:val="auto"/>
              </w:rPr>
              <w:t>17,024</w:t>
            </w: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Arial" w:cs="Arial" w:eastAsia="Arial" w:hAnsi="Arial"/>
                <w:sz w:val="15"/>
                <w:szCs w:val="15"/>
                <w:color w:val="auto"/>
              </w:rPr>
              <w:t>17,645</w:t>
            </w:r>
          </w:p>
        </w:tc>
        <w:tc>
          <w:tcPr>
            <w:tcW w:w="100" w:type="dxa"/>
            <w:vAlign w:val="bottom"/>
          </w:tcPr>
          <w:p>
            <w:pPr>
              <w:spacing w:after="0"/>
              <w:rPr>
                <w:sz w:val="15"/>
                <w:szCs w:val="15"/>
                <w:color w:val="auto"/>
              </w:rPr>
            </w:pPr>
          </w:p>
        </w:tc>
      </w:tr>
      <w:tr>
        <w:trPr>
          <w:trHeight w:val="176"/>
        </w:trPr>
        <w:tc>
          <w:tcPr>
            <w:tcW w:w="7720" w:type="dxa"/>
            <w:vAlign w:val="bottom"/>
            <w:shd w:val="clear" w:color="auto" w:fill="CFF0FC"/>
          </w:tcPr>
          <w:p>
            <w:pPr>
              <w:spacing w:after="0"/>
              <w:rPr>
                <w:sz w:val="20"/>
                <w:szCs w:val="20"/>
                <w:color w:val="auto"/>
              </w:rPr>
            </w:pPr>
            <w:r>
              <w:rPr>
                <w:rFonts w:ascii="Arial" w:cs="Arial" w:eastAsia="Arial" w:hAnsi="Arial"/>
                <w:sz w:val="15"/>
                <w:szCs w:val="15"/>
                <w:color w:val="auto"/>
              </w:rPr>
              <w:t>Non-marketable equity investments</w:t>
            </w:r>
          </w:p>
        </w:tc>
        <w:tc>
          <w:tcPr>
            <w:tcW w:w="1060" w:type="dxa"/>
            <w:vAlign w:val="bottom"/>
            <w:shd w:val="clear" w:color="auto" w:fill="CFF0FC"/>
          </w:tcPr>
          <w:p>
            <w:pPr>
              <w:spacing w:after="0"/>
              <w:rPr>
                <w:sz w:val="15"/>
                <w:szCs w:val="15"/>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6,590</w:t>
            </w:r>
          </w:p>
        </w:tc>
        <w:tc>
          <w:tcPr>
            <w:tcW w:w="2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6,782</w:t>
            </w:r>
          </w:p>
        </w:tc>
        <w:tc>
          <w:tcPr>
            <w:tcW w:w="100" w:type="dxa"/>
            <w:vAlign w:val="bottom"/>
            <w:shd w:val="clear" w:color="auto" w:fill="CFF0FC"/>
          </w:tcPr>
          <w:p>
            <w:pPr>
              <w:spacing w:after="0"/>
              <w:rPr>
                <w:sz w:val="15"/>
                <w:szCs w:val="15"/>
                <w:color w:val="auto"/>
              </w:rPr>
            </w:pPr>
          </w:p>
        </w:tc>
      </w:tr>
      <w:tr>
        <w:trPr>
          <w:trHeight w:val="175"/>
        </w:trPr>
        <w:tc>
          <w:tcPr>
            <w:tcW w:w="7720" w:type="dxa"/>
            <w:vAlign w:val="bottom"/>
            <w:tcBorders>
              <w:bottom w:val="single" w:sz="8" w:color="CFF0FC"/>
            </w:tcBorders>
          </w:tcPr>
          <w:p>
            <w:pPr>
              <w:spacing w:after="0"/>
              <w:rPr>
                <w:sz w:val="20"/>
                <w:szCs w:val="20"/>
                <w:color w:val="auto"/>
              </w:rPr>
            </w:pPr>
            <w:r>
              <w:rPr>
                <w:rFonts w:ascii="Arial" w:cs="Arial" w:eastAsia="Arial" w:hAnsi="Arial"/>
                <w:sz w:val="15"/>
                <w:szCs w:val="15"/>
                <w:color w:val="auto"/>
              </w:rPr>
              <w:t>Other assets</w:t>
            </w:r>
          </w:p>
        </w:tc>
        <w:tc>
          <w:tcPr>
            <w:tcW w:w="106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441</w:t>
            </w:r>
          </w:p>
        </w:tc>
        <w:tc>
          <w:tcPr>
            <w:tcW w:w="280" w:type="dxa"/>
            <w:vAlign w:val="bottom"/>
            <w:tcBorders>
              <w:bottom w:val="single" w:sz="8" w:color="CFF0FC"/>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874</w:t>
            </w:r>
          </w:p>
        </w:tc>
        <w:tc>
          <w:tcPr>
            <w:tcW w:w="100" w:type="dxa"/>
            <w:vAlign w:val="bottom"/>
            <w:tcBorders>
              <w:bottom w:val="single" w:sz="8" w:color="CFF0FC"/>
            </w:tcBorders>
          </w:tcPr>
          <w:p>
            <w:pPr>
              <w:spacing w:after="0"/>
              <w:rPr>
                <w:sz w:val="15"/>
                <w:szCs w:val="15"/>
                <w:color w:val="auto"/>
              </w:rPr>
            </w:pPr>
          </w:p>
        </w:tc>
      </w:tr>
      <w:tr>
        <w:trPr>
          <w:trHeight w:val="169"/>
        </w:trPr>
        <w:tc>
          <w:tcPr>
            <w:tcW w:w="7720" w:type="dxa"/>
            <w:vAlign w:val="bottom"/>
            <w:tcBorders>
              <w:bottom w:val="single" w:sz="8" w:color="CFF0FC"/>
            </w:tcBorders>
            <w:shd w:val="clear" w:color="auto" w:fill="CFF0FC"/>
          </w:tcPr>
          <w:p>
            <w:pPr>
              <w:ind w:left="500"/>
              <w:spacing w:after="0" w:line="169" w:lineRule="exact"/>
              <w:rPr>
                <w:sz w:val="20"/>
                <w:szCs w:val="20"/>
                <w:color w:val="auto"/>
              </w:rPr>
            </w:pPr>
            <w:r>
              <w:rPr>
                <w:rFonts w:ascii="Arial" w:cs="Arial" w:eastAsia="Arial" w:hAnsi="Arial"/>
                <w:sz w:val="15"/>
                <w:szCs w:val="15"/>
                <w:color w:val="auto"/>
              </w:rPr>
              <w:t>Total assets</w:t>
            </w:r>
          </w:p>
        </w:tc>
        <w:tc>
          <w:tcPr>
            <w:tcW w:w="1060" w:type="dxa"/>
            <w:vAlign w:val="bottom"/>
            <w:tcBorders>
              <w:bottom w:val="single" w:sz="8" w:color="auto"/>
            </w:tcBorders>
            <w:shd w:val="clear" w:color="auto" w:fill="CFF0FC"/>
          </w:tcPr>
          <w:p>
            <w:pPr>
              <w:jc w:val="right"/>
              <w:ind w:right="904"/>
              <w:spacing w:after="0" w:line="169" w:lineRule="exact"/>
              <w:rPr>
                <w:sz w:val="20"/>
                <w:szCs w:val="20"/>
                <w:color w:val="auto"/>
              </w:rPr>
            </w:pPr>
            <w:r>
              <w:rPr>
                <w:rFonts w:ascii="Arial" w:cs="Arial" w:eastAsia="Arial" w:hAnsi="Arial"/>
                <w:sz w:val="15"/>
                <w:szCs w:val="15"/>
                <w:color w:val="auto"/>
                <w:w w:val="71"/>
              </w:rPr>
              <w:t>$</w:t>
            </w:r>
          </w:p>
        </w:tc>
        <w:tc>
          <w:tcPr>
            <w:tcW w:w="500" w:type="dxa"/>
            <w:vAlign w:val="bottom"/>
            <w:tcBorders>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color w:val="auto"/>
                <w:w w:val="84"/>
              </w:rPr>
              <w:t>477,825</w:t>
            </w:r>
          </w:p>
        </w:tc>
        <w:tc>
          <w:tcPr>
            <w:tcW w:w="280" w:type="dxa"/>
            <w:vAlign w:val="bottom"/>
            <w:tcBorders>
              <w:bottom w:val="single" w:sz="8" w:color="CFF0FC"/>
            </w:tcBorders>
            <w:shd w:val="clear" w:color="auto" w:fill="CFF0FC"/>
          </w:tcPr>
          <w:p>
            <w:pPr>
              <w:spacing w:after="0"/>
              <w:rPr>
                <w:sz w:val="14"/>
                <w:szCs w:val="14"/>
                <w:color w:val="auto"/>
              </w:rPr>
            </w:pPr>
          </w:p>
        </w:tc>
        <w:tc>
          <w:tcPr>
            <w:tcW w:w="220" w:type="dxa"/>
            <w:vAlign w:val="bottom"/>
            <w:tcBorders>
              <w:bottom w:val="single" w:sz="8" w:color="auto"/>
            </w:tcBorders>
            <w:shd w:val="clear" w:color="auto" w:fill="CFF0FC"/>
          </w:tcPr>
          <w:p>
            <w:pPr>
              <w:jc w:val="right"/>
              <w:ind w:right="64"/>
              <w:spacing w:after="0" w:line="169" w:lineRule="exact"/>
              <w:rPr>
                <w:sz w:val="20"/>
                <w:szCs w:val="20"/>
                <w:color w:val="auto"/>
              </w:rPr>
            </w:pPr>
            <w:r>
              <w:rPr>
                <w:rFonts w:ascii="Arial" w:cs="Arial" w:eastAsia="Arial" w:hAnsi="Arial"/>
                <w:sz w:val="15"/>
                <w:szCs w:val="15"/>
                <w:color w:val="auto"/>
                <w:w w:val="71"/>
              </w:rPr>
              <w:t>$</w:t>
            </w:r>
          </w:p>
        </w:tc>
        <w:tc>
          <w:tcPr>
            <w:tcW w:w="1360" w:type="dxa"/>
            <w:vAlign w:val="bottom"/>
            <w:tcBorders>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color w:val="auto"/>
              </w:rPr>
              <w:t>489,544</w:t>
            </w:r>
          </w:p>
        </w:tc>
        <w:tc>
          <w:tcPr>
            <w:tcW w:w="100" w:type="dxa"/>
            <w:vAlign w:val="bottom"/>
            <w:tcBorders>
              <w:bottom w:val="single" w:sz="8" w:color="CFF0FC"/>
            </w:tcBorders>
            <w:shd w:val="clear" w:color="auto" w:fill="CFF0FC"/>
          </w:tcPr>
          <w:p>
            <w:pPr>
              <w:spacing w:after="0"/>
              <w:rPr>
                <w:sz w:val="14"/>
                <w:szCs w:val="14"/>
                <w:color w:val="auto"/>
              </w:rPr>
            </w:pPr>
          </w:p>
        </w:tc>
      </w:tr>
      <w:tr>
        <w:trPr>
          <w:trHeight w:val="20"/>
        </w:trPr>
        <w:tc>
          <w:tcPr>
            <w:tcW w:w="77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6"/>
        </w:trPr>
        <w:tc>
          <w:tcPr>
            <w:tcW w:w="77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76"/>
        </w:trPr>
        <w:tc>
          <w:tcPr>
            <w:tcW w:w="7720" w:type="dxa"/>
            <w:vAlign w:val="bottom"/>
            <w:shd w:val="clear" w:color="auto" w:fill="CFF0FC"/>
          </w:tcPr>
          <w:p>
            <w:pPr>
              <w:ind w:left="2120"/>
              <w:spacing w:after="0"/>
              <w:rPr>
                <w:sz w:val="20"/>
                <w:szCs w:val="20"/>
                <w:color w:val="auto"/>
              </w:rPr>
            </w:pPr>
            <w:r>
              <w:rPr>
                <w:rFonts w:ascii="Arial" w:cs="Arial" w:eastAsia="Arial" w:hAnsi="Arial"/>
                <w:sz w:val="15"/>
                <w:szCs w:val="15"/>
                <w:b w:val="1"/>
                <w:bCs w:val="1"/>
                <w:color w:val="auto"/>
              </w:rPr>
              <w:t>LIABILITIES AND SHAREHOLDERS’ EQUITY</w:t>
            </w:r>
          </w:p>
        </w:tc>
        <w:tc>
          <w:tcPr>
            <w:tcW w:w="1060" w:type="dxa"/>
            <w:vAlign w:val="bottom"/>
            <w:shd w:val="clear" w:color="auto" w:fill="CFF0FC"/>
          </w:tcPr>
          <w:p>
            <w:pPr>
              <w:spacing w:after="0"/>
              <w:rPr>
                <w:sz w:val="15"/>
                <w:szCs w:val="15"/>
                <w:color w:val="auto"/>
              </w:rPr>
            </w:pPr>
          </w:p>
        </w:tc>
        <w:tc>
          <w:tcPr>
            <w:tcW w:w="50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3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175"/>
        </w:trPr>
        <w:tc>
          <w:tcPr>
            <w:tcW w:w="7720" w:type="dxa"/>
            <w:vAlign w:val="bottom"/>
          </w:tcPr>
          <w:p>
            <w:pPr>
              <w:spacing w:after="0"/>
              <w:rPr>
                <w:sz w:val="20"/>
                <w:szCs w:val="20"/>
                <w:color w:val="auto"/>
              </w:rPr>
            </w:pPr>
            <w:r>
              <w:rPr>
                <w:rFonts w:ascii="Arial" w:cs="Arial" w:eastAsia="Arial" w:hAnsi="Arial"/>
                <w:sz w:val="15"/>
                <w:szCs w:val="15"/>
                <w:color w:val="auto"/>
              </w:rPr>
              <w:t>Current liabilities:</w:t>
            </w:r>
          </w:p>
        </w:tc>
        <w:tc>
          <w:tcPr>
            <w:tcW w:w="10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75"/>
        </w:trPr>
        <w:tc>
          <w:tcPr>
            <w:tcW w:w="7720" w:type="dxa"/>
            <w:vAlign w:val="bottom"/>
            <w:shd w:val="clear" w:color="auto" w:fill="CFF0FC"/>
          </w:tcPr>
          <w:p>
            <w:pPr>
              <w:ind w:left="260"/>
              <w:spacing w:after="0"/>
              <w:rPr>
                <w:sz w:val="20"/>
                <w:szCs w:val="20"/>
                <w:color w:val="auto"/>
              </w:rPr>
            </w:pPr>
            <w:r>
              <w:rPr>
                <w:rFonts w:ascii="Arial" w:cs="Arial" w:eastAsia="Arial" w:hAnsi="Arial"/>
                <w:sz w:val="15"/>
                <w:szCs w:val="15"/>
                <w:color w:val="auto"/>
              </w:rPr>
              <w:t>Accounts payable and accrued expenses</w:t>
            </w:r>
          </w:p>
        </w:tc>
        <w:tc>
          <w:tcPr>
            <w:tcW w:w="1060" w:type="dxa"/>
            <w:vAlign w:val="bottom"/>
            <w:shd w:val="clear" w:color="auto" w:fill="CFF0FC"/>
          </w:tcPr>
          <w:p>
            <w:pPr>
              <w:jc w:val="right"/>
              <w:ind w:right="904"/>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17,422</w:t>
            </w:r>
          </w:p>
        </w:tc>
        <w:tc>
          <w:tcPr>
            <w:tcW w:w="280" w:type="dxa"/>
            <w:vAlign w:val="bottom"/>
            <w:shd w:val="clear" w:color="auto" w:fill="CFF0FC"/>
          </w:tcPr>
          <w:p>
            <w:pPr>
              <w:spacing w:after="0"/>
              <w:rPr>
                <w:sz w:val="15"/>
                <w:szCs w:val="15"/>
                <w:color w:val="auto"/>
              </w:rPr>
            </w:pPr>
          </w:p>
        </w:tc>
        <w:tc>
          <w:tcPr>
            <w:tcW w:w="220" w:type="dxa"/>
            <w:vAlign w:val="bottom"/>
            <w:shd w:val="clear" w:color="auto" w:fill="CFF0FC"/>
          </w:tcPr>
          <w:p>
            <w:pPr>
              <w:jc w:val="right"/>
              <w:ind w:right="64"/>
              <w:spacing w:after="0"/>
              <w:rPr>
                <w:sz w:val="20"/>
                <w:szCs w:val="20"/>
                <w:color w:val="auto"/>
              </w:rPr>
            </w:pPr>
            <w:r>
              <w:rPr>
                <w:rFonts w:ascii="Arial" w:cs="Arial" w:eastAsia="Arial" w:hAnsi="Arial"/>
                <w:sz w:val="15"/>
                <w:szCs w:val="15"/>
                <w:color w:val="auto"/>
                <w:w w:val="71"/>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22,938</w:t>
            </w:r>
          </w:p>
        </w:tc>
        <w:tc>
          <w:tcPr>
            <w:tcW w:w="100" w:type="dxa"/>
            <w:vAlign w:val="bottom"/>
            <w:shd w:val="clear" w:color="auto" w:fill="CFF0FC"/>
          </w:tcPr>
          <w:p>
            <w:pPr>
              <w:spacing w:after="0"/>
              <w:rPr>
                <w:sz w:val="15"/>
                <w:szCs w:val="15"/>
                <w:color w:val="auto"/>
              </w:rPr>
            </w:pPr>
          </w:p>
        </w:tc>
      </w:tr>
      <w:tr>
        <w:trPr>
          <w:trHeight w:val="175"/>
        </w:trPr>
        <w:tc>
          <w:tcPr>
            <w:tcW w:w="7720" w:type="dxa"/>
            <w:vAlign w:val="bottom"/>
          </w:tcPr>
          <w:p>
            <w:pPr>
              <w:ind w:left="260"/>
              <w:spacing w:after="0"/>
              <w:rPr>
                <w:sz w:val="20"/>
                <w:szCs w:val="20"/>
                <w:color w:val="auto"/>
              </w:rPr>
            </w:pPr>
            <w:r>
              <w:rPr>
                <w:rFonts w:ascii="Arial" w:cs="Arial" w:eastAsia="Arial" w:hAnsi="Arial"/>
                <w:sz w:val="15"/>
                <w:szCs w:val="15"/>
                <w:color w:val="auto"/>
              </w:rPr>
              <w:t>Accrued royalties</w:t>
            </w:r>
          </w:p>
        </w:tc>
        <w:tc>
          <w:tcPr>
            <w:tcW w:w="106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5"/>
                <w:szCs w:val="15"/>
                <w:color w:val="auto"/>
              </w:rPr>
              <w:t>8,894</w:t>
            </w: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Arial" w:cs="Arial" w:eastAsia="Arial" w:hAnsi="Arial"/>
                <w:sz w:val="15"/>
                <w:szCs w:val="15"/>
                <w:color w:val="auto"/>
              </w:rPr>
              <w:t>16,736</w:t>
            </w:r>
          </w:p>
        </w:tc>
        <w:tc>
          <w:tcPr>
            <w:tcW w:w="100" w:type="dxa"/>
            <w:vAlign w:val="bottom"/>
          </w:tcPr>
          <w:p>
            <w:pPr>
              <w:spacing w:after="0"/>
              <w:rPr>
                <w:sz w:val="15"/>
                <w:szCs w:val="15"/>
                <w:color w:val="auto"/>
              </w:rPr>
            </w:pPr>
          </w:p>
        </w:tc>
      </w:tr>
      <w:tr>
        <w:trPr>
          <w:trHeight w:val="175"/>
        </w:trPr>
        <w:tc>
          <w:tcPr>
            <w:tcW w:w="7720" w:type="dxa"/>
            <w:vAlign w:val="bottom"/>
            <w:shd w:val="clear" w:color="auto" w:fill="CFF0FC"/>
          </w:tcPr>
          <w:p>
            <w:pPr>
              <w:ind w:left="260"/>
              <w:spacing w:after="0"/>
              <w:rPr>
                <w:sz w:val="20"/>
                <w:szCs w:val="20"/>
                <w:color w:val="auto"/>
              </w:rPr>
            </w:pPr>
            <w:r>
              <w:rPr>
                <w:rFonts w:ascii="Arial" w:cs="Arial" w:eastAsia="Arial" w:hAnsi="Arial"/>
                <w:sz w:val="15"/>
                <w:szCs w:val="15"/>
                <w:color w:val="auto"/>
              </w:rPr>
              <w:t>Deferred revenue</w:t>
            </w:r>
          </w:p>
        </w:tc>
        <w:tc>
          <w:tcPr>
            <w:tcW w:w="1060" w:type="dxa"/>
            <w:vAlign w:val="bottom"/>
            <w:tcBorders>
              <w:bottom w:val="single" w:sz="8" w:color="auto"/>
            </w:tcBorders>
            <w:shd w:val="clear" w:color="auto" w:fill="CFF0FC"/>
          </w:tcPr>
          <w:p>
            <w:pPr>
              <w:spacing w:after="0"/>
              <w:rPr>
                <w:sz w:val="15"/>
                <w:szCs w:val="15"/>
                <w:color w:val="auto"/>
              </w:rPr>
            </w:pPr>
          </w:p>
        </w:tc>
        <w:tc>
          <w:tcPr>
            <w:tcW w:w="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66,126</w:t>
            </w:r>
          </w:p>
        </w:tc>
        <w:tc>
          <w:tcPr>
            <w:tcW w:w="280" w:type="dxa"/>
            <w:vAlign w:val="bottom"/>
            <w:shd w:val="clear" w:color="auto" w:fill="CFF0FC"/>
          </w:tcPr>
          <w:p>
            <w:pPr>
              <w:spacing w:after="0"/>
              <w:rPr>
                <w:sz w:val="15"/>
                <w:szCs w:val="15"/>
                <w:color w:val="auto"/>
              </w:rPr>
            </w:pPr>
          </w:p>
        </w:tc>
        <w:tc>
          <w:tcPr>
            <w:tcW w:w="220" w:type="dxa"/>
            <w:vAlign w:val="bottom"/>
            <w:tcBorders>
              <w:bottom w:val="single" w:sz="8" w:color="auto"/>
            </w:tcBorders>
            <w:shd w:val="clear" w:color="auto" w:fill="CFF0FC"/>
          </w:tcPr>
          <w:p>
            <w:pPr>
              <w:spacing w:after="0"/>
              <w:rPr>
                <w:sz w:val="15"/>
                <w:szCs w:val="15"/>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65,511</w:t>
            </w:r>
          </w:p>
        </w:tc>
        <w:tc>
          <w:tcPr>
            <w:tcW w:w="100" w:type="dxa"/>
            <w:vAlign w:val="bottom"/>
            <w:shd w:val="clear" w:color="auto" w:fill="CFF0FC"/>
          </w:tcPr>
          <w:p>
            <w:pPr>
              <w:spacing w:after="0"/>
              <w:rPr>
                <w:sz w:val="15"/>
                <w:szCs w:val="15"/>
                <w:color w:val="auto"/>
              </w:rPr>
            </w:pPr>
          </w:p>
        </w:tc>
      </w:tr>
      <w:tr>
        <w:trPr>
          <w:trHeight w:val="169"/>
        </w:trPr>
        <w:tc>
          <w:tcPr>
            <w:tcW w:w="7720" w:type="dxa"/>
            <w:vAlign w:val="bottom"/>
          </w:tcPr>
          <w:p>
            <w:pPr>
              <w:ind w:left="500"/>
              <w:spacing w:after="0" w:line="169" w:lineRule="exact"/>
              <w:rPr>
                <w:sz w:val="20"/>
                <w:szCs w:val="20"/>
                <w:color w:val="auto"/>
              </w:rPr>
            </w:pPr>
            <w:r>
              <w:rPr>
                <w:rFonts w:ascii="Arial" w:cs="Arial" w:eastAsia="Arial" w:hAnsi="Arial"/>
                <w:sz w:val="15"/>
                <w:szCs w:val="15"/>
                <w:color w:val="auto"/>
              </w:rPr>
              <w:t>Total current liabilities</w:t>
            </w:r>
          </w:p>
        </w:tc>
        <w:tc>
          <w:tcPr>
            <w:tcW w:w="1060" w:type="dxa"/>
            <w:vAlign w:val="bottom"/>
          </w:tcPr>
          <w:p>
            <w:pPr>
              <w:spacing w:after="0"/>
              <w:rPr>
                <w:sz w:val="14"/>
                <w:szCs w:val="14"/>
                <w:color w:val="auto"/>
              </w:rPr>
            </w:pPr>
          </w:p>
        </w:tc>
        <w:tc>
          <w:tcPr>
            <w:tcW w:w="500" w:type="dxa"/>
            <w:vAlign w:val="bottom"/>
          </w:tcPr>
          <w:p>
            <w:pPr>
              <w:jc w:val="right"/>
              <w:spacing w:after="0" w:line="169" w:lineRule="exact"/>
              <w:rPr>
                <w:sz w:val="20"/>
                <w:szCs w:val="20"/>
                <w:color w:val="auto"/>
              </w:rPr>
            </w:pPr>
            <w:r>
              <w:rPr>
                <w:rFonts w:ascii="Arial" w:cs="Arial" w:eastAsia="Arial" w:hAnsi="Arial"/>
                <w:sz w:val="15"/>
                <w:szCs w:val="15"/>
                <w:color w:val="auto"/>
              </w:rPr>
              <w:t>92,442</w:t>
            </w: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tcPr>
          <w:p>
            <w:pPr>
              <w:jc w:val="right"/>
              <w:spacing w:after="0" w:line="169" w:lineRule="exact"/>
              <w:rPr>
                <w:sz w:val="20"/>
                <w:szCs w:val="20"/>
                <w:color w:val="auto"/>
              </w:rPr>
            </w:pPr>
            <w:r>
              <w:rPr>
                <w:rFonts w:ascii="Arial" w:cs="Arial" w:eastAsia="Arial" w:hAnsi="Arial"/>
                <w:sz w:val="15"/>
                <w:szCs w:val="15"/>
                <w:color w:val="auto"/>
              </w:rPr>
              <w:t>105,185</w:t>
            </w:r>
          </w:p>
        </w:tc>
        <w:tc>
          <w:tcPr>
            <w:tcW w:w="100" w:type="dxa"/>
            <w:vAlign w:val="bottom"/>
          </w:tcPr>
          <w:p>
            <w:pPr>
              <w:spacing w:after="0"/>
              <w:rPr>
                <w:sz w:val="14"/>
                <w:szCs w:val="14"/>
                <w:color w:val="auto"/>
              </w:rPr>
            </w:pPr>
          </w:p>
        </w:tc>
      </w:tr>
      <w:tr>
        <w:trPr>
          <w:trHeight w:val="175"/>
        </w:trPr>
        <w:tc>
          <w:tcPr>
            <w:tcW w:w="772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50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3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175"/>
        </w:trPr>
        <w:tc>
          <w:tcPr>
            <w:tcW w:w="7720" w:type="dxa"/>
            <w:vAlign w:val="bottom"/>
          </w:tcPr>
          <w:p>
            <w:pPr>
              <w:spacing w:after="0"/>
              <w:rPr>
                <w:sz w:val="20"/>
                <w:szCs w:val="20"/>
                <w:color w:val="auto"/>
              </w:rPr>
            </w:pPr>
            <w:r>
              <w:rPr>
                <w:rFonts w:ascii="Arial" w:cs="Arial" w:eastAsia="Arial" w:hAnsi="Arial"/>
                <w:sz w:val="15"/>
                <w:szCs w:val="15"/>
                <w:color w:val="auto"/>
              </w:rPr>
              <w:t>Deferred tax liabilities</w:t>
            </w:r>
          </w:p>
        </w:tc>
        <w:tc>
          <w:tcPr>
            <w:tcW w:w="106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5"/>
                <w:szCs w:val="15"/>
                <w:color w:val="auto"/>
              </w:rPr>
              <w:t>13,491</w:t>
            </w: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Arial" w:cs="Arial" w:eastAsia="Arial" w:hAnsi="Arial"/>
                <w:sz w:val="15"/>
                <w:szCs w:val="15"/>
                <w:color w:val="auto"/>
              </w:rPr>
              <w:t>13,183</w:t>
            </w:r>
          </w:p>
        </w:tc>
        <w:tc>
          <w:tcPr>
            <w:tcW w:w="100" w:type="dxa"/>
            <w:vAlign w:val="bottom"/>
          </w:tcPr>
          <w:p>
            <w:pPr>
              <w:spacing w:after="0"/>
              <w:rPr>
                <w:sz w:val="15"/>
                <w:szCs w:val="15"/>
                <w:color w:val="auto"/>
              </w:rPr>
            </w:pPr>
          </w:p>
        </w:tc>
      </w:tr>
      <w:tr>
        <w:trPr>
          <w:trHeight w:val="175"/>
        </w:trPr>
        <w:tc>
          <w:tcPr>
            <w:tcW w:w="7720" w:type="dxa"/>
            <w:vAlign w:val="bottom"/>
            <w:shd w:val="clear" w:color="auto" w:fill="CFF0FC"/>
          </w:tcPr>
          <w:p>
            <w:pPr>
              <w:spacing w:after="0"/>
              <w:rPr>
                <w:sz w:val="20"/>
                <w:szCs w:val="20"/>
                <w:color w:val="auto"/>
              </w:rPr>
            </w:pPr>
            <w:r>
              <w:rPr>
                <w:rFonts w:ascii="Arial" w:cs="Arial" w:eastAsia="Arial" w:hAnsi="Arial"/>
                <w:sz w:val="15"/>
                <w:szCs w:val="15"/>
                <w:color w:val="auto"/>
              </w:rPr>
              <w:t>Deferred revenue, noncurrent</w:t>
            </w:r>
          </w:p>
        </w:tc>
        <w:tc>
          <w:tcPr>
            <w:tcW w:w="1060" w:type="dxa"/>
            <w:vAlign w:val="bottom"/>
            <w:shd w:val="clear" w:color="auto" w:fill="CFF0FC"/>
          </w:tcPr>
          <w:p>
            <w:pPr>
              <w:spacing w:after="0"/>
              <w:rPr>
                <w:sz w:val="15"/>
                <w:szCs w:val="15"/>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1,609</w:t>
            </w:r>
          </w:p>
        </w:tc>
        <w:tc>
          <w:tcPr>
            <w:tcW w:w="2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1,918</w:t>
            </w:r>
          </w:p>
        </w:tc>
        <w:tc>
          <w:tcPr>
            <w:tcW w:w="100" w:type="dxa"/>
            <w:vAlign w:val="bottom"/>
            <w:shd w:val="clear" w:color="auto" w:fill="CFF0FC"/>
          </w:tcPr>
          <w:p>
            <w:pPr>
              <w:spacing w:after="0"/>
              <w:rPr>
                <w:sz w:val="15"/>
                <w:szCs w:val="15"/>
                <w:color w:val="auto"/>
              </w:rPr>
            </w:pPr>
          </w:p>
        </w:tc>
      </w:tr>
      <w:tr>
        <w:trPr>
          <w:trHeight w:val="175"/>
        </w:trPr>
        <w:tc>
          <w:tcPr>
            <w:tcW w:w="7720" w:type="dxa"/>
            <w:vAlign w:val="bottom"/>
          </w:tcPr>
          <w:p>
            <w:pPr>
              <w:spacing w:after="0"/>
              <w:rPr>
                <w:sz w:val="20"/>
                <w:szCs w:val="20"/>
                <w:color w:val="auto"/>
              </w:rPr>
            </w:pPr>
            <w:r>
              <w:rPr>
                <w:rFonts w:ascii="Arial" w:cs="Arial" w:eastAsia="Arial" w:hAnsi="Arial"/>
                <w:sz w:val="15"/>
                <w:szCs w:val="15"/>
                <w:color w:val="auto"/>
              </w:rPr>
              <w:t>Operating lease liability, noncurrent</w:t>
            </w:r>
          </w:p>
        </w:tc>
        <w:tc>
          <w:tcPr>
            <w:tcW w:w="106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5"/>
                <w:szCs w:val="15"/>
                <w:color w:val="auto"/>
              </w:rPr>
              <w:t>29,388</w:t>
            </w: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Arial" w:cs="Arial" w:eastAsia="Arial" w:hAnsi="Arial"/>
                <w:sz w:val="15"/>
                <w:szCs w:val="15"/>
                <w:color w:val="auto"/>
              </w:rPr>
              <w:t>30,733</w:t>
            </w:r>
          </w:p>
        </w:tc>
        <w:tc>
          <w:tcPr>
            <w:tcW w:w="100" w:type="dxa"/>
            <w:vAlign w:val="bottom"/>
          </w:tcPr>
          <w:p>
            <w:pPr>
              <w:spacing w:after="0"/>
              <w:rPr>
                <w:sz w:val="15"/>
                <w:szCs w:val="15"/>
                <w:color w:val="auto"/>
              </w:rPr>
            </w:pPr>
          </w:p>
        </w:tc>
      </w:tr>
      <w:tr>
        <w:trPr>
          <w:trHeight w:val="176"/>
        </w:trPr>
        <w:tc>
          <w:tcPr>
            <w:tcW w:w="7720" w:type="dxa"/>
            <w:vAlign w:val="bottom"/>
            <w:shd w:val="clear" w:color="auto" w:fill="CFF0FC"/>
          </w:tcPr>
          <w:p>
            <w:pPr>
              <w:spacing w:after="0"/>
              <w:rPr>
                <w:sz w:val="20"/>
                <w:szCs w:val="20"/>
                <w:color w:val="auto"/>
              </w:rPr>
            </w:pPr>
            <w:r>
              <w:rPr>
                <w:rFonts w:ascii="Arial" w:cs="Arial" w:eastAsia="Arial" w:hAnsi="Arial"/>
                <w:sz w:val="15"/>
                <w:szCs w:val="15"/>
                <w:color w:val="auto"/>
              </w:rPr>
              <w:t>Other long term liabilities</w:t>
            </w:r>
          </w:p>
        </w:tc>
        <w:tc>
          <w:tcPr>
            <w:tcW w:w="1060" w:type="dxa"/>
            <w:vAlign w:val="bottom"/>
            <w:shd w:val="clear" w:color="auto" w:fill="CFF0FC"/>
          </w:tcPr>
          <w:p>
            <w:pPr>
              <w:spacing w:after="0"/>
              <w:rPr>
                <w:sz w:val="15"/>
                <w:szCs w:val="15"/>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1,471</w:t>
            </w:r>
          </w:p>
        </w:tc>
        <w:tc>
          <w:tcPr>
            <w:tcW w:w="2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357</w:t>
            </w:r>
          </w:p>
        </w:tc>
        <w:tc>
          <w:tcPr>
            <w:tcW w:w="100" w:type="dxa"/>
            <w:vAlign w:val="bottom"/>
            <w:shd w:val="clear" w:color="auto" w:fill="CFF0FC"/>
          </w:tcPr>
          <w:p>
            <w:pPr>
              <w:spacing w:after="0"/>
              <w:rPr>
                <w:sz w:val="15"/>
                <w:szCs w:val="15"/>
                <w:color w:val="auto"/>
              </w:rPr>
            </w:pPr>
          </w:p>
        </w:tc>
      </w:tr>
      <w:tr>
        <w:trPr>
          <w:trHeight w:val="175"/>
        </w:trPr>
        <w:tc>
          <w:tcPr>
            <w:tcW w:w="7720" w:type="dxa"/>
            <w:vAlign w:val="bottom"/>
          </w:tcPr>
          <w:p>
            <w:pPr>
              <w:spacing w:after="0"/>
              <w:rPr>
                <w:sz w:val="20"/>
                <w:szCs w:val="20"/>
                <w:color w:val="auto"/>
              </w:rPr>
            </w:pPr>
            <w:r>
              <w:rPr>
                <w:rFonts w:ascii="Arial" w:cs="Arial" w:eastAsia="Arial" w:hAnsi="Arial"/>
                <w:sz w:val="15"/>
                <w:szCs w:val="15"/>
                <w:color w:val="auto"/>
              </w:rPr>
              <w:t>Commitments and contingencies</w:t>
            </w:r>
          </w:p>
        </w:tc>
        <w:tc>
          <w:tcPr>
            <w:tcW w:w="10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75"/>
        </w:trPr>
        <w:tc>
          <w:tcPr>
            <w:tcW w:w="772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50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3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175"/>
        </w:trPr>
        <w:tc>
          <w:tcPr>
            <w:tcW w:w="7720" w:type="dxa"/>
            <w:vAlign w:val="bottom"/>
          </w:tcPr>
          <w:p>
            <w:pPr>
              <w:spacing w:after="0"/>
              <w:rPr>
                <w:sz w:val="20"/>
                <w:szCs w:val="20"/>
                <w:color w:val="auto"/>
              </w:rPr>
            </w:pPr>
            <w:r>
              <w:rPr>
                <w:rFonts w:ascii="Arial" w:cs="Arial" w:eastAsia="Arial" w:hAnsi="Arial"/>
                <w:sz w:val="15"/>
                <w:szCs w:val="15"/>
                <w:color w:val="auto"/>
              </w:rPr>
              <w:t>Shareholders’ equity:</w:t>
            </w:r>
          </w:p>
        </w:tc>
        <w:tc>
          <w:tcPr>
            <w:tcW w:w="10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62"/>
        </w:trPr>
        <w:tc>
          <w:tcPr>
            <w:tcW w:w="7720" w:type="dxa"/>
            <w:vAlign w:val="bottom"/>
            <w:shd w:val="clear" w:color="auto" w:fill="CFF0FC"/>
          </w:tcPr>
          <w:p>
            <w:pPr>
              <w:ind w:left="260"/>
              <w:spacing w:after="0" w:line="162" w:lineRule="exact"/>
              <w:rPr>
                <w:sz w:val="20"/>
                <w:szCs w:val="20"/>
                <w:color w:val="auto"/>
              </w:rPr>
            </w:pPr>
            <w:r>
              <w:rPr>
                <w:rFonts w:ascii="Arial" w:cs="Arial" w:eastAsia="Arial" w:hAnsi="Arial"/>
                <w:sz w:val="15"/>
                <w:szCs w:val="15"/>
                <w:color w:val="auto"/>
              </w:rPr>
              <w:t>Common stock, no par value, 75,000 shares authorized; 31,997 and 32,379 shares</w:t>
            </w:r>
          </w:p>
        </w:tc>
        <w:tc>
          <w:tcPr>
            <w:tcW w:w="1060" w:type="dxa"/>
            <w:vAlign w:val="bottom"/>
            <w:shd w:val="clear" w:color="auto" w:fill="CFF0FC"/>
          </w:tcPr>
          <w:p>
            <w:pPr>
              <w:spacing w:after="0"/>
              <w:rPr>
                <w:sz w:val="14"/>
                <w:szCs w:val="14"/>
                <w:color w:val="auto"/>
              </w:rPr>
            </w:pPr>
          </w:p>
        </w:tc>
        <w:tc>
          <w:tcPr>
            <w:tcW w:w="50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3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175"/>
        </w:trPr>
        <w:tc>
          <w:tcPr>
            <w:tcW w:w="7720" w:type="dxa"/>
            <w:vAlign w:val="bottom"/>
            <w:shd w:val="clear" w:color="auto" w:fill="CFF0FC"/>
          </w:tcPr>
          <w:p>
            <w:pPr>
              <w:ind w:left="360"/>
              <w:spacing w:after="0"/>
              <w:rPr>
                <w:sz w:val="20"/>
                <w:szCs w:val="20"/>
                <w:color w:val="auto"/>
              </w:rPr>
            </w:pPr>
            <w:r>
              <w:rPr>
                <w:rFonts w:ascii="Arial" w:cs="Arial" w:eastAsia="Arial" w:hAnsi="Arial"/>
                <w:sz w:val="15"/>
                <w:szCs w:val="15"/>
                <w:color w:val="auto"/>
              </w:rPr>
              <w:t>issued and outstanding at June 30, 2020 and December 31, 2019, respectively</w:t>
            </w:r>
          </w:p>
        </w:tc>
        <w:tc>
          <w:tcPr>
            <w:tcW w:w="1060" w:type="dxa"/>
            <w:vAlign w:val="bottom"/>
            <w:shd w:val="clear" w:color="auto" w:fill="CFF0FC"/>
          </w:tcPr>
          <w:p>
            <w:pPr>
              <w:spacing w:after="0"/>
              <w:rPr>
                <w:sz w:val="15"/>
                <w:szCs w:val="15"/>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84"/>
              </w:rPr>
              <w:t>280,746</w:t>
            </w:r>
          </w:p>
        </w:tc>
        <w:tc>
          <w:tcPr>
            <w:tcW w:w="2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290,021</w:t>
            </w:r>
          </w:p>
        </w:tc>
        <w:tc>
          <w:tcPr>
            <w:tcW w:w="100" w:type="dxa"/>
            <w:vAlign w:val="bottom"/>
            <w:shd w:val="clear" w:color="auto" w:fill="CFF0FC"/>
          </w:tcPr>
          <w:p>
            <w:pPr>
              <w:spacing w:after="0"/>
              <w:rPr>
                <w:sz w:val="15"/>
                <w:szCs w:val="15"/>
                <w:color w:val="auto"/>
              </w:rPr>
            </w:pPr>
          </w:p>
        </w:tc>
      </w:tr>
      <w:tr>
        <w:trPr>
          <w:trHeight w:val="175"/>
        </w:trPr>
        <w:tc>
          <w:tcPr>
            <w:tcW w:w="7720" w:type="dxa"/>
            <w:vAlign w:val="bottom"/>
          </w:tcPr>
          <w:p>
            <w:pPr>
              <w:ind w:left="260"/>
              <w:spacing w:after="0"/>
              <w:rPr>
                <w:sz w:val="20"/>
                <w:szCs w:val="20"/>
                <w:color w:val="auto"/>
              </w:rPr>
            </w:pPr>
            <w:r>
              <w:rPr>
                <w:rFonts w:ascii="Arial" w:cs="Arial" w:eastAsia="Arial" w:hAnsi="Arial"/>
                <w:sz w:val="15"/>
                <w:szCs w:val="15"/>
                <w:color w:val="auto"/>
              </w:rPr>
              <w:t>Retained earnings</w:t>
            </w:r>
          </w:p>
        </w:tc>
        <w:tc>
          <w:tcPr>
            <w:tcW w:w="106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5"/>
                <w:szCs w:val="15"/>
                <w:color w:val="auto"/>
              </w:rPr>
              <w:t>58,677</w:t>
            </w: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Arial" w:cs="Arial" w:eastAsia="Arial" w:hAnsi="Arial"/>
                <w:sz w:val="15"/>
                <w:szCs w:val="15"/>
                <w:color w:val="auto"/>
              </w:rPr>
              <w:t>48,143</w:t>
            </w:r>
          </w:p>
        </w:tc>
        <w:tc>
          <w:tcPr>
            <w:tcW w:w="100" w:type="dxa"/>
            <w:vAlign w:val="bottom"/>
          </w:tcPr>
          <w:p>
            <w:pPr>
              <w:spacing w:after="0"/>
              <w:rPr>
                <w:sz w:val="15"/>
                <w:szCs w:val="15"/>
                <w:color w:val="auto"/>
              </w:rPr>
            </w:pPr>
          </w:p>
        </w:tc>
      </w:tr>
      <w:tr>
        <w:trPr>
          <w:trHeight w:val="175"/>
        </w:trPr>
        <w:tc>
          <w:tcPr>
            <w:tcW w:w="7720" w:type="dxa"/>
            <w:vAlign w:val="bottom"/>
            <w:shd w:val="clear" w:color="auto" w:fill="CFF0FC"/>
          </w:tcPr>
          <w:p>
            <w:pPr>
              <w:ind w:left="260"/>
              <w:spacing w:after="0"/>
              <w:rPr>
                <w:sz w:val="20"/>
                <w:szCs w:val="20"/>
                <w:color w:val="auto"/>
              </w:rPr>
            </w:pPr>
            <w:r>
              <w:rPr>
                <w:rFonts w:ascii="Arial" w:cs="Arial" w:eastAsia="Arial" w:hAnsi="Arial"/>
                <w:sz w:val="15"/>
                <w:szCs w:val="15"/>
                <w:color w:val="auto"/>
              </w:rPr>
              <w:t>Accumulated other comprehensive income</w:t>
            </w:r>
          </w:p>
        </w:tc>
        <w:tc>
          <w:tcPr>
            <w:tcW w:w="1060" w:type="dxa"/>
            <w:vAlign w:val="bottom"/>
            <w:tcBorders>
              <w:bottom w:val="single" w:sz="8" w:color="auto"/>
            </w:tcBorders>
            <w:shd w:val="clear" w:color="auto" w:fill="CFF0FC"/>
          </w:tcPr>
          <w:p>
            <w:pPr>
              <w:spacing w:after="0"/>
              <w:rPr>
                <w:sz w:val="15"/>
                <w:szCs w:val="15"/>
                <w:color w:val="auto"/>
              </w:rPr>
            </w:pPr>
          </w:p>
        </w:tc>
        <w:tc>
          <w:tcPr>
            <w:tcW w:w="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1</w:t>
            </w:r>
          </w:p>
        </w:tc>
        <w:tc>
          <w:tcPr>
            <w:tcW w:w="280" w:type="dxa"/>
            <w:vAlign w:val="bottom"/>
            <w:shd w:val="clear" w:color="auto" w:fill="CFF0FC"/>
          </w:tcPr>
          <w:p>
            <w:pPr>
              <w:spacing w:after="0"/>
              <w:rPr>
                <w:sz w:val="15"/>
                <w:szCs w:val="15"/>
                <w:color w:val="auto"/>
              </w:rPr>
            </w:pPr>
          </w:p>
        </w:tc>
        <w:tc>
          <w:tcPr>
            <w:tcW w:w="220" w:type="dxa"/>
            <w:vAlign w:val="bottom"/>
            <w:tcBorders>
              <w:bottom w:val="single" w:sz="8" w:color="auto"/>
            </w:tcBorders>
            <w:shd w:val="clear" w:color="auto" w:fill="CFF0FC"/>
          </w:tcPr>
          <w:p>
            <w:pPr>
              <w:spacing w:after="0"/>
              <w:rPr>
                <w:sz w:val="15"/>
                <w:szCs w:val="15"/>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4</w:t>
            </w:r>
          </w:p>
        </w:tc>
        <w:tc>
          <w:tcPr>
            <w:tcW w:w="100" w:type="dxa"/>
            <w:vAlign w:val="bottom"/>
            <w:shd w:val="clear" w:color="auto" w:fill="CFF0FC"/>
          </w:tcPr>
          <w:p>
            <w:pPr>
              <w:spacing w:after="0"/>
              <w:rPr>
                <w:sz w:val="15"/>
                <w:szCs w:val="15"/>
                <w:color w:val="auto"/>
              </w:rPr>
            </w:pPr>
          </w:p>
        </w:tc>
      </w:tr>
      <w:tr>
        <w:trPr>
          <w:trHeight w:val="169"/>
        </w:trPr>
        <w:tc>
          <w:tcPr>
            <w:tcW w:w="7720" w:type="dxa"/>
            <w:vAlign w:val="bottom"/>
            <w:tcBorders>
              <w:bottom w:val="single" w:sz="8" w:color="CFF0FC"/>
            </w:tcBorders>
          </w:tcPr>
          <w:p>
            <w:pPr>
              <w:ind w:left="500"/>
              <w:spacing w:after="0" w:line="169" w:lineRule="exact"/>
              <w:rPr>
                <w:sz w:val="20"/>
                <w:szCs w:val="20"/>
                <w:color w:val="auto"/>
              </w:rPr>
            </w:pPr>
            <w:r>
              <w:rPr>
                <w:rFonts w:ascii="Arial" w:cs="Arial" w:eastAsia="Arial" w:hAnsi="Arial"/>
                <w:sz w:val="15"/>
                <w:szCs w:val="15"/>
                <w:color w:val="auto"/>
              </w:rPr>
              <w:t>Total shareholders’ equity</w:t>
            </w:r>
          </w:p>
        </w:tc>
        <w:tc>
          <w:tcPr>
            <w:tcW w:w="106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w w:val="84"/>
              </w:rPr>
              <w:t>339,424</w:t>
            </w:r>
          </w:p>
        </w:tc>
        <w:tc>
          <w:tcPr>
            <w:tcW w:w="28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338,168</w:t>
            </w:r>
          </w:p>
        </w:tc>
        <w:tc>
          <w:tcPr>
            <w:tcW w:w="100" w:type="dxa"/>
            <w:vAlign w:val="bottom"/>
            <w:tcBorders>
              <w:bottom w:val="single" w:sz="8" w:color="CFF0FC"/>
            </w:tcBorders>
          </w:tcPr>
          <w:p>
            <w:pPr>
              <w:spacing w:after="0"/>
              <w:rPr>
                <w:sz w:val="14"/>
                <w:szCs w:val="14"/>
                <w:color w:val="auto"/>
              </w:rPr>
            </w:pPr>
          </w:p>
        </w:tc>
      </w:tr>
      <w:tr>
        <w:trPr>
          <w:trHeight w:val="169"/>
        </w:trPr>
        <w:tc>
          <w:tcPr>
            <w:tcW w:w="7720" w:type="dxa"/>
            <w:vAlign w:val="bottom"/>
            <w:tcBorders>
              <w:bottom w:val="single" w:sz="8" w:color="CFF0FC"/>
            </w:tcBorders>
            <w:shd w:val="clear" w:color="auto" w:fill="CFF0FC"/>
          </w:tcPr>
          <w:p>
            <w:pPr>
              <w:ind w:left="500"/>
              <w:spacing w:after="0" w:line="169" w:lineRule="exact"/>
              <w:rPr>
                <w:sz w:val="20"/>
                <w:szCs w:val="20"/>
                <w:color w:val="auto"/>
              </w:rPr>
            </w:pPr>
            <w:r>
              <w:rPr>
                <w:rFonts w:ascii="Arial" w:cs="Arial" w:eastAsia="Arial" w:hAnsi="Arial"/>
                <w:sz w:val="15"/>
                <w:szCs w:val="15"/>
                <w:color w:val="auto"/>
              </w:rPr>
              <w:t>Total liabilities and shareholders’ equity</w:t>
            </w:r>
          </w:p>
        </w:tc>
        <w:tc>
          <w:tcPr>
            <w:tcW w:w="1060" w:type="dxa"/>
            <w:vAlign w:val="bottom"/>
            <w:tcBorders>
              <w:bottom w:val="single" w:sz="8" w:color="auto"/>
            </w:tcBorders>
            <w:shd w:val="clear" w:color="auto" w:fill="CFF0FC"/>
          </w:tcPr>
          <w:p>
            <w:pPr>
              <w:jc w:val="right"/>
              <w:ind w:right="904"/>
              <w:spacing w:after="0" w:line="169" w:lineRule="exact"/>
              <w:rPr>
                <w:sz w:val="20"/>
                <w:szCs w:val="20"/>
                <w:color w:val="auto"/>
              </w:rPr>
            </w:pPr>
            <w:r>
              <w:rPr>
                <w:rFonts w:ascii="Arial" w:cs="Arial" w:eastAsia="Arial" w:hAnsi="Arial"/>
                <w:sz w:val="15"/>
                <w:szCs w:val="15"/>
                <w:color w:val="auto"/>
                <w:w w:val="71"/>
              </w:rPr>
              <w:t>$</w:t>
            </w:r>
          </w:p>
        </w:tc>
        <w:tc>
          <w:tcPr>
            <w:tcW w:w="500" w:type="dxa"/>
            <w:vAlign w:val="bottom"/>
            <w:tcBorders>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color w:val="auto"/>
                <w:w w:val="84"/>
              </w:rPr>
              <w:t>477,825</w:t>
            </w:r>
          </w:p>
        </w:tc>
        <w:tc>
          <w:tcPr>
            <w:tcW w:w="280" w:type="dxa"/>
            <w:vAlign w:val="bottom"/>
            <w:tcBorders>
              <w:bottom w:val="single" w:sz="8" w:color="CFF0FC"/>
            </w:tcBorders>
            <w:shd w:val="clear" w:color="auto" w:fill="CFF0FC"/>
          </w:tcPr>
          <w:p>
            <w:pPr>
              <w:spacing w:after="0"/>
              <w:rPr>
                <w:sz w:val="14"/>
                <w:szCs w:val="14"/>
                <w:color w:val="auto"/>
              </w:rPr>
            </w:pPr>
          </w:p>
        </w:tc>
        <w:tc>
          <w:tcPr>
            <w:tcW w:w="220" w:type="dxa"/>
            <w:vAlign w:val="bottom"/>
            <w:tcBorders>
              <w:bottom w:val="single" w:sz="8" w:color="auto"/>
            </w:tcBorders>
            <w:shd w:val="clear" w:color="auto" w:fill="CFF0FC"/>
          </w:tcPr>
          <w:p>
            <w:pPr>
              <w:jc w:val="right"/>
              <w:ind w:right="64"/>
              <w:spacing w:after="0" w:line="169" w:lineRule="exact"/>
              <w:rPr>
                <w:sz w:val="20"/>
                <w:szCs w:val="20"/>
                <w:color w:val="auto"/>
              </w:rPr>
            </w:pPr>
            <w:r>
              <w:rPr>
                <w:rFonts w:ascii="Arial" w:cs="Arial" w:eastAsia="Arial" w:hAnsi="Arial"/>
                <w:sz w:val="15"/>
                <w:szCs w:val="15"/>
                <w:color w:val="auto"/>
                <w:w w:val="71"/>
              </w:rPr>
              <w:t>$</w:t>
            </w:r>
          </w:p>
        </w:tc>
        <w:tc>
          <w:tcPr>
            <w:tcW w:w="1360" w:type="dxa"/>
            <w:vAlign w:val="bottom"/>
            <w:tcBorders>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color w:val="auto"/>
              </w:rPr>
              <w:t>489,544</w:t>
            </w:r>
          </w:p>
        </w:tc>
        <w:tc>
          <w:tcPr>
            <w:tcW w:w="100" w:type="dxa"/>
            <w:vAlign w:val="bottom"/>
            <w:tcBorders>
              <w:bottom w:val="single" w:sz="8" w:color="CFF0FC"/>
            </w:tcBorders>
            <w:shd w:val="clear" w:color="auto" w:fill="CFF0FC"/>
          </w:tcPr>
          <w:p>
            <w:pPr>
              <w:spacing w:after="0"/>
              <w:rPr>
                <w:sz w:val="14"/>
                <w:szCs w:val="14"/>
                <w:color w:val="auto"/>
              </w:rPr>
            </w:pPr>
          </w:p>
        </w:tc>
      </w:tr>
      <w:tr>
        <w:trPr>
          <w:trHeight w:val="20"/>
        </w:trPr>
        <w:tc>
          <w:tcPr>
            <w:tcW w:w="77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accompanying Notes to the Condensed Consolidated Financial Statements (unaudited).</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229235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HEALTHSTREAM,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INCOME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580" w:type="dxa"/>
            <w:vAlign w:val="bottom"/>
            <w:gridSpan w:val="5"/>
          </w:tcPr>
          <w:p>
            <w:pPr>
              <w:ind w:left="400"/>
              <w:spacing w:after="0"/>
              <w:rPr>
                <w:sz w:val="20"/>
                <w:szCs w:val="20"/>
                <w:color w:val="auto"/>
              </w:rPr>
            </w:pPr>
            <w:r>
              <w:rPr>
                <w:rFonts w:ascii="Arial" w:cs="Arial" w:eastAsia="Arial" w:hAnsi="Arial"/>
                <w:sz w:val="14"/>
                <w:szCs w:val="14"/>
                <w:b w:val="1"/>
                <w:bCs w:val="1"/>
                <w:color w:val="auto"/>
              </w:rPr>
              <w:t>Three Months Ended</w:t>
            </w:r>
          </w:p>
        </w:tc>
        <w:tc>
          <w:tcPr>
            <w:tcW w:w="200" w:type="dxa"/>
            <w:vAlign w:val="bottom"/>
          </w:tcPr>
          <w:p>
            <w:pPr>
              <w:spacing w:after="0"/>
              <w:rPr>
                <w:sz w:val="14"/>
                <w:szCs w:val="14"/>
                <w:color w:val="auto"/>
              </w:rPr>
            </w:pPr>
          </w:p>
        </w:tc>
        <w:tc>
          <w:tcPr>
            <w:tcW w:w="2440" w:type="dxa"/>
            <w:vAlign w:val="bottom"/>
            <w:gridSpan w:val="5"/>
          </w:tcPr>
          <w:p>
            <w:pPr>
              <w:ind w:left="480"/>
              <w:spacing w:after="0"/>
              <w:rPr>
                <w:sz w:val="20"/>
                <w:szCs w:val="20"/>
                <w:color w:val="auto"/>
              </w:rPr>
            </w:pPr>
            <w:r>
              <w:rPr>
                <w:rFonts w:ascii="Arial" w:cs="Arial" w:eastAsia="Arial" w:hAnsi="Arial"/>
                <w:sz w:val="14"/>
                <w:szCs w:val="14"/>
                <w:b w:val="1"/>
                <w:bCs w:val="1"/>
                <w:color w:val="auto"/>
              </w:rPr>
              <w:t>Six Months Ended</w:t>
            </w:r>
          </w:p>
        </w:tc>
      </w:tr>
      <w:tr>
        <w:trPr>
          <w:trHeight w:val="133"/>
        </w:trPr>
        <w:tc>
          <w:tcPr>
            <w:tcW w:w="5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jc w:val="right"/>
              <w:ind w:right="232"/>
              <w:spacing w:after="0" w:line="133" w:lineRule="exact"/>
              <w:rPr>
                <w:sz w:val="20"/>
                <w:szCs w:val="20"/>
                <w:color w:val="auto"/>
              </w:rPr>
            </w:pPr>
            <w:r>
              <w:rPr>
                <w:rFonts w:ascii="Arial" w:cs="Arial" w:eastAsia="Arial" w:hAnsi="Arial"/>
                <w:sz w:val="14"/>
                <w:szCs w:val="14"/>
                <w:b w:val="1"/>
                <w:bCs w:val="1"/>
                <w:color w:val="auto"/>
              </w:rPr>
              <w:t>June 30,</w:t>
            </w:r>
          </w:p>
        </w:tc>
        <w:tc>
          <w:tcPr>
            <w:tcW w:w="24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tcPr>
          <w:p>
            <w:pPr>
              <w:jc w:val="right"/>
              <w:ind w:right="251"/>
              <w:spacing w:after="0" w:line="133" w:lineRule="exact"/>
              <w:rPr>
                <w:sz w:val="20"/>
                <w:szCs w:val="20"/>
                <w:color w:val="auto"/>
              </w:rPr>
            </w:pPr>
            <w:r>
              <w:rPr>
                <w:rFonts w:ascii="Arial" w:cs="Arial" w:eastAsia="Arial" w:hAnsi="Arial"/>
                <w:sz w:val="14"/>
                <w:szCs w:val="14"/>
                <w:b w:val="1"/>
                <w:bCs w:val="1"/>
                <w:color w:val="auto"/>
              </w:rPr>
              <w:t>June 30,</w:t>
            </w:r>
          </w:p>
        </w:tc>
        <w:tc>
          <w:tcPr>
            <w:tcW w:w="24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jc w:val="right"/>
              <w:ind w:right="232"/>
              <w:spacing w:after="0" w:line="133" w:lineRule="exact"/>
              <w:rPr>
                <w:sz w:val="20"/>
                <w:szCs w:val="20"/>
                <w:color w:val="auto"/>
              </w:rPr>
            </w:pPr>
            <w:r>
              <w:rPr>
                <w:rFonts w:ascii="Arial" w:cs="Arial" w:eastAsia="Arial" w:hAnsi="Arial"/>
                <w:sz w:val="14"/>
                <w:szCs w:val="14"/>
                <w:b w:val="1"/>
                <w:bCs w:val="1"/>
                <w:color w:val="auto"/>
              </w:rPr>
              <w:t>June 30,</w:t>
            </w:r>
          </w:p>
        </w:tc>
        <w:tc>
          <w:tcPr>
            <w:tcW w:w="24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tcPr>
          <w:p>
            <w:pPr>
              <w:jc w:val="right"/>
              <w:ind w:right="251"/>
              <w:spacing w:after="0" w:line="133" w:lineRule="exact"/>
              <w:rPr>
                <w:sz w:val="20"/>
                <w:szCs w:val="20"/>
                <w:color w:val="auto"/>
              </w:rPr>
            </w:pPr>
            <w:r>
              <w:rPr>
                <w:rFonts w:ascii="Arial" w:cs="Arial" w:eastAsia="Arial" w:hAnsi="Arial"/>
                <w:sz w:val="14"/>
                <w:szCs w:val="14"/>
                <w:b w:val="1"/>
                <w:bCs w:val="1"/>
                <w:color w:val="auto"/>
              </w:rPr>
              <w:t>June 30,</w:t>
            </w:r>
          </w:p>
        </w:tc>
        <w:tc>
          <w:tcPr>
            <w:tcW w:w="100" w:type="dxa"/>
            <w:vAlign w:val="bottom"/>
          </w:tcPr>
          <w:p>
            <w:pPr>
              <w:spacing w:after="0"/>
              <w:rPr>
                <w:sz w:val="11"/>
                <w:szCs w:val="11"/>
                <w:color w:val="auto"/>
              </w:rPr>
            </w:pPr>
          </w:p>
        </w:tc>
      </w:tr>
      <w:tr>
        <w:trPr>
          <w:trHeight w:val="171"/>
        </w:trPr>
        <w:tc>
          <w:tcPr>
            <w:tcW w:w="5220" w:type="dxa"/>
            <w:vAlign w:val="bottom"/>
            <w:tcBorders>
              <w:bottom w:val="single" w:sz="8" w:color="CFF0FC"/>
            </w:tcBorders>
          </w:tcPr>
          <w:p>
            <w:pPr>
              <w:spacing w:after="0"/>
              <w:rPr>
                <w:sz w:val="14"/>
                <w:szCs w:val="14"/>
                <w:color w:val="auto"/>
              </w:rPr>
            </w:pPr>
          </w:p>
        </w:tc>
        <w:tc>
          <w:tcPr>
            <w:tcW w:w="600" w:type="dxa"/>
            <w:vAlign w:val="bottom"/>
            <w:tcBorders>
              <w:bottom w:val="single" w:sz="8" w:color="CFF0FC"/>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2020</w:t>
            </w:r>
          </w:p>
        </w:tc>
        <w:tc>
          <w:tcPr>
            <w:tcW w:w="240" w:type="dxa"/>
            <w:vAlign w:val="bottom"/>
            <w:tcBorders>
              <w:bottom w:val="single" w:sz="8" w:color="CFF0FC"/>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2019</w:t>
            </w:r>
          </w:p>
        </w:tc>
        <w:tc>
          <w:tcPr>
            <w:tcW w:w="240" w:type="dxa"/>
            <w:vAlign w:val="bottom"/>
            <w:tcBorders>
              <w:bottom w:val="single" w:sz="8" w:color="CFF0FC"/>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2020</w:t>
            </w:r>
          </w:p>
        </w:tc>
        <w:tc>
          <w:tcPr>
            <w:tcW w:w="240" w:type="dxa"/>
            <w:vAlign w:val="bottom"/>
            <w:tcBorders>
              <w:bottom w:val="single" w:sz="8" w:color="CFF0FC"/>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FF0FC"/>
            </w:tcBorders>
          </w:tcPr>
          <w:p>
            <w:pPr>
              <w:spacing w:after="0"/>
              <w:rPr>
                <w:sz w:val="14"/>
                <w:szCs w:val="14"/>
                <w:color w:val="auto"/>
              </w:rPr>
            </w:pPr>
          </w:p>
        </w:tc>
      </w:tr>
      <w:tr>
        <w:trPr>
          <w:trHeight w:val="223"/>
        </w:trPr>
        <w:tc>
          <w:tcPr>
            <w:tcW w:w="5220" w:type="dxa"/>
            <w:vAlign w:val="bottom"/>
            <w:shd w:val="clear" w:color="auto" w:fill="CFF0FC"/>
          </w:tcPr>
          <w:p>
            <w:pPr>
              <w:spacing w:after="0"/>
              <w:rPr>
                <w:sz w:val="20"/>
                <w:szCs w:val="20"/>
                <w:color w:val="auto"/>
              </w:rPr>
            </w:pPr>
            <w:r>
              <w:rPr>
                <w:rFonts w:ascii="Arial" w:cs="Arial" w:eastAsia="Arial" w:hAnsi="Arial"/>
                <w:sz w:val="18"/>
                <w:szCs w:val="18"/>
                <w:color w:val="auto"/>
              </w:rPr>
              <w:t>Revenues, net</w:t>
            </w:r>
          </w:p>
        </w:tc>
        <w:tc>
          <w:tcPr>
            <w:tcW w:w="60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60,553</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63,781</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122,125</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128,967</w:t>
            </w:r>
          </w:p>
        </w:tc>
        <w:tc>
          <w:tcPr>
            <w:tcW w:w="100" w:type="dxa"/>
            <w:vAlign w:val="bottom"/>
            <w:shd w:val="clear" w:color="auto" w:fill="CFF0FC"/>
          </w:tcPr>
          <w:p>
            <w:pPr>
              <w:spacing w:after="0"/>
              <w:rPr>
                <w:sz w:val="19"/>
                <w:szCs w:val="19"/>
                <w:color w:val="auto"/>
              </w:rPr>
            </w:pPr>
          </w:p>
        </w:tc>
      </w:tr>
      <w:tr>
        <w:trPr>
          <w:trHeight w:val="230"/>
        </w:trPr>
        <w:tc>
          <w:tcPr>
            <w:tcW w:w="5220" w:type="dxa"/>
            <w:vAlign w:val="bottom"/>
          </w:tcPr>
          <w:p>
            <w:pPr>
              <w:spacing w:after="0"/>
              <w:rPr>
                <w:sz w:val="20"/>
                <w:szCs w:val="20"/>
                <w:color w:val="auto"/>
              </w:rPr>
            </w:pPr>
            <w:r>
              <w:rPr>
                <w:rFonts w:ascii="Arial" w:cs="Arial" w:eastAsia="Arial" w:hAnsi="Arial"/>
                <w:sz w:val="18"/>
                <w:szCs w:val="18"/>
                <w:color w:val="auto"/>
              </w:rPr>
              <w:t>Operating costs and expenses:</w:t>
            </w:r>
          </w:p>
        </w:tc>
        <w:tc>
          <w:tcPr>
            <w:tcW w:w="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52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Cost of revenues (excluding depreciation and amortization)</w:t>
            </w:r>
          </w:p>
        </w:tc>
        <w:tc>
          <w:tcPr>
            <w:tcW w:w="6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22,935</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26,806</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43,294</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53,667</w:t>
            </w:r>
          </w:p>
        </w:tc>
        <w:tc>
          <w:tcPr>
            <w:tcW w:w="100" w:type="dxa"/>
            <w:vAlign w:val="bottom"/>
            <w:shd w:val="clear" w:color="auto" w:fill="CFF0FC"/>
          </w:tcPr>
          <w:p>
            <w:pPr>
              <w:spacing w:after="0"/>
              <w:rPr>
                <w:sz w:val="19"/>
                <w:szCs w:val="19"/>
                <w:color w:val="auto"/>
              </w:rPr>
            </w:pPr>
          </w:p>
        </w:tc>
      </w:tr>
      <w:tr>
        <w:trPr>
          <w:trHeight w:val="230"/>
        </w:trPr>
        <w:tc>
          <w:tcPr>
            <w:tcW w:w="5220" w:type="dxa"/>
            <w:vAlign w:val="bottom"/>
          </w:tcPr>
          <w:p>
            <w:pPr>
              <w:ind w:left="260"/>
              <w:spacing w:after="0"/>
              <w:rPr>
                <w:sz w:val="20"/>
                <w:szCs w:val="20"/>
                <w:color w:val="auto"/>
              </w:rPr>
            </w:pPr>
            <w:r>
              <w:rPr>
                <w:rFonts w:ascii="Arial" w:cs="Arial" w:eastAsia="Arial" w:hAnsi="Arial"/>
                <w:sz w:val="18"/>
                <w:szCs w:val="18"/>
                <w:color w:val="auto"/>
              </w:rPr>
              <w:t>Product development</w:t>
            </w:r>
          </w:p>
        </w:tc>
        <w:tc>
          <w:tcPr>
            <w:tcW w:w="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7,830</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7,640</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15,298</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14,567</w:t>
            </w:r>
          </w:p>
        </w:tc>
        <w:tc>
          <w:tcPr>
            <w:tcW w:w="100" w:type="dxa"/>
            <w:vAlign w:val="bottom"/>
          </w:tcPr>
          <w:p>
            <w:pPr>
              <w:spacing w:after="0"/>
              <w:rPr>
                <w:sz w:val="19"/>
                <w:szCs w:val="19"/>
                <w:color w:val="auto"/>
              </w:rPr>
            </w:pPr>
          </w:p>
        </w:tc>
      </w:tr>
      <w:tr>
        <w:trPr>
          <w:trHeight w:val="229"/>
        </w:trPr>
        <w:tc>
          <w:tcPr>
            <w:tcW w:w="52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Sales and marketing</w:t>
            </w:r>
          </w:p>
        </w:tc>
        <w:tc>
          <w:tcPr>
            <w:tcW w:w="6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8,236</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9,819</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17,424</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19,340</w:t>
            </w:r>
          </w:p>
        </w:tc>
        <w:tc>
          <w:tcPr>
            <w:tcW w:w="100" w:type="dxa"/>
            <w:vAlign w:val="bottom"/>
            <w:shd w:val="clear" w:color="auto" w:fill="CFF0FC"/>
          </w:tcPr>
          <w:p>
            <w:pPr>
              <w:spacing w:after="0"/>
              <w:rPr>
                <w:sz w:val="19"/>
                <w:szCs w:val="19"/>
                <w:color w:val="auto"/>
              </w:rPr>
            </w:pPr>
          </w:p>
        </w:tc>
      </w:tr>
      <w:tr>
        <w:trPr>
          <w:trHeight w:val="229"/>
        </w:trPr>
        <w:tc>
          <w:tcPr>
            <w:tcW w:w="5220" w:type="dxa"/>
            <w:vAlign w:val="bottom"/>
          </w:tcPr>
          <w:p>
            <w:pPr>
              <w:ind w:left="260"/>
              <w:spacing w:after="0"/>
              <w:rPr>
                <w:sz w:val="20"/>
                <w:szCs w:val="20"/>
                <w:color w:val="auto"/>
              </w:rPr>
            </w:pPr>
            <w:r>
              <w:rPr>
                <w:rFonts w:ascii="Arial" w:cs="Arial" w:eastAsia="Arial" w:hAnsi="Arial"/>
                <w:sz w:val="18"/>
                <w:szCs w:val="18"/>
                <w:color w:val="auto"/>
              </w:rPr>
              <w:t>Other general and administrative expenses</w:t>
            </w:r>
          </w:p>
        </w:tc>
        <w:tc>
          <w:tcPr>
            <w:tcW w:w="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10,098</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10,306</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19,963</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20,276</w:t>
            </w:r>
          </w:p>
        </w:tc>
        <w:tc>
          <w:tcPr>
            <w:tcW w:w="100" w:type="dxa"/>
            <w:vAlign w:val="bottom"/>
          </w:tcPr>
          <w:p>
            <w:pPr>
              <w:spacing w:after="0"/>
              <w:rPr>
                <w:sz w:val="19"/>
                <w:szCs w:val="19"/>
                <w:color w:val="auto"/>
              </w:rPr>
            </w:pPr>
          </w:p>
        </w:tc>
      </w:tr>
      <w:tr>
        <w:trPr>
          <w:trHeight w:val="230"/>
        </w:trPr>
        <w:tc>
          <w:tcPr>
            <w:tcW w:w="52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Depreciation and amortization</w:t>
            </w:r>
          </w:p>
        </w:tc>
        <w:tc>
          <w:tcPr>
            <w:tcW w:w="60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7,150</w:t>
            </w:r>
          </w:p>
        </w:tc>
        <w:tc>
          <w:tcPr>
            <w:tcW w:w="24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6,942</w:t>
            </w:r>
          </w:p>
        </w:tc>
        <w:tc>
          <w:tcPr>
            <w:tcW w:w="24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14,599</w:t>
            </w:r>
          </w:p>
        </w:tc>
        <w:tc>
          <w:tcPr>
            <w:tcW w:w="24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13,480</w:t>
            </w:r>
          </w:p>
        </w:tc>
        <w:tc>
          <w:tcPr>
            <w:tcW w:w="100" w:type="dxa"/>
            <w:vAlign w:val="bottom"/>
            <w:shd w:val="clear" w:color="auto" w:fill="CFF0FC"/>
          </w:tcPr>
          <w:p>
            <w:pPr>
              <w:spacing w:after="0"/>
              <w:rPr>
                <w:sz w:val="19"/>
                <w:szCs w:val="19"/>
                <w:color w:val="auto"/>
              </w:rPr>
            </w:pPr>
          </w:p>
        </w:tc>
      </w:tr>
      <w:tr>
        <w:trPr>
          <w:trHeight w:val="223"/>
        </w:trPr>
        <w:tc>
          <w:tcPr>
            <w:tcW w:w="5220" w:type="dxa"/>
            <w:vAlign w:val="bottom"/>
          </w:tcPr>
          <w:p>
            <w:pPr>
              <w:ind w:left="500"/>
              <w:spacing w:after="0"/>
              <w:rPr>
                <w:sz w:val="20"/>
                <w:szCs w:val="20"/>
                <w:color w:val="auto"/>
              </w:rPr>
            </w:pPr>
            <w:r>
              <w:rPr>
                <w:rFonts w:ascii="Arial" w:cs="Arial" w:eastAsia="Arial" w:hAnsi="Arial"/>
                <w:sz w:val="18"/>
                <w:szCs w:val="18"/>
                <w:color w:val="auto"/>
              </w:rPr>
              <w:t>Total operating costs and expenses</w:t>
            </w:r>
          </w:p>
        </w:tc>
        <w:tc>
          <w:tcPr>
            <w:tcW w:w="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56,249</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61,513</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110,578</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121,330</w:t>
            </w:r>
          </w:p>
        </w:tc>
        <w:tc>
          <w:tcPr>
            <w:tcW w:w="100" w:type="dxa"/>
            <w:vAlign w:val="bottom"/>
          </w:tcPr>
          <w:p>
            <w:pPr>
              <w:spacing w:after="0"/>
              <w:rPr>
                <w:sz w:val="19"/>
                <w:szCs w:val="19"/>
                <w:color w:val="auto"/>
              </w:rPr>
            </w:pPr>
          </w:p>
        </w:tc>
      </w:tr>
      <w:tr>
        <w:trPr>
          <w:trHeight w:val="230"/>
        </w:trPr>
        <w:tc>
          <w:tcPr>
            <w:tcW w:w="522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9"/>
        </w:trPr>
        <w:tc>
          <w:tcPr>
            <w:tcW w:w="5220" w:type="dxa"/>
            <w:vAlign w:val="bottom"/>
          </w:tcPr>
          <w:p>
            <w:pPr>
              <w:spacing w:after="0"/>
              <w:rPr>
                <w:sz w:val="20"/>
                <w:szCs w:val="20"/>
                <w:color w:val="auto"/>
              </w:rPr>
            </w:pPr>
            <w:r>
              <w:rPr>
                <w:rFonts w:ascii="Arial" w:cs="Arial" w:eastAsia="Arial" w:hAnsi="Arial"/>
                <w:sz w:val="18"/>
                <w:szCs w:val="18"/>
                <w:color w:val="auto"/>
              </w:rPr>
              <w:t>Operating income</w:t>
            </w:r>
          </w:p>
        </w:tc>
        <w:tc>
          <w:tcPr>
            <w:tcW w:w="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4,304</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2,268</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11,547</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7,637</w:t>
            </w:r>
          </w:p>
        </w:tc>
        <w:tc>
          <w:tcPr>
            <w:tcW w:w="100" w:type="dxa"/>
            <w:vAlign w:val="bottom"/>
          </w:tcPr>
          <w:p>
            <w:pPr>
              <w:spacing w:after="0"/>
              <w:rPr>
                <w:sz w:val="19"/>
                <w:szCs w:val="19"/>
                <w:color w:val="auto"/>
              </w:rPr>
            </w:pPr>
          </w:p>
        </w:tc>
      </w:tr>
      <w:tr>
        <w:trPr>
          <w:trHeight w:val="229"/>
        </w:trPr>
        <w:tc>
          <w:tcPr>
            <w:tcW w:w="522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52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income, net</w:t>
            </w:r>
          </w:p>
        </w:tc>
        <w:tc>
          <w:tcPr>
            <w:tcW w:w="60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199</w:t>
            </w:r>
          </w:p>
        </w:tc>
        <w:tc>
          <w:tcPr>
            <w:tcW w:w="24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852</w:t>
            </w:r>
          </w:p>
        </w:tc>
        <w:tc>
          <w:tcPr>
            <w:tcW w:w="24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1,906</w:t>
            </w:r>
          </w:p>
        </w:tc>
        <w:tc>
          <w:tcPr>
            <w:tcW w:w="24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1,674</w:t>
            </w:r>
          </w:p>
        </w:tc>
        <w:tc>
          <w:tcPr>
            <w:tcW w:w="100" w:type="dxa"/>
            <w:vAlign w:val="bottom"/>
            <w:tcBorders>
              <w:bottom w:val="single" w:sz="8" w:color="CFF0FC"/>
            </w:tcBorders>
          </w:tcPr>
          <w:p>
            <w:pPr>
              <w:spacing w:after="0"/>
              <w:rPr>
                <w:sz w:val="19"/>
                <w:szCs w:val="19"/>
                <w:color w:val="auto"/>
              </w:rPr>
            </w:pPr>
          </w:p>
        </w:tc>
      </w:tr>
      <w:tr>
        <w:trPr>
          <w:trHeight w:val="223"/>
        </w:trPr>
        <w:tc>
          <w:tcPr>
            <w:tcW w:w="522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5220" w:type="dxa"/>
            <w:vAlign w:val="bottom"/>
          </w:tcPr>
          <w:p>
            <w:pPr>
              <w:spacing w:after="0"/>
              <w:rPr>
                <w:sz w:val="20"/>
                <w:szCs w:val="20"/>
                <w:color w:val="auto"/>
              </w:rPr>
            </w:pPr>
            <w:r>
              <w:rPr>
                <w:rFonts w:ascii="Arial" w:cs="Arial" w:eastAsia="Arial" w:hAnsi="Arial"/>
                <w:sz w:val="18"/>
                <w:szCs w:val="18"/>
                <w:color w:val="auto"/>
              </w:rPr>
              <w:t>Income from continuing operations before income tax provision</w:t>
            </w:r>
          </w:p>
        </w:tc>
        <w:tc>
          <w:tcPr>
            <w:tcW w:w="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4,503</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3,120</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13,453</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9,311</w:t>
            </w:r>
          </w:p>
        </w:tc>
        <w:tc>
          <w:tcPr>
            <w:tcW w:w="100" w:type="dxa"/>
            <w:vAlign w:val="bottom"/>
          </w:tcPr>
          <w:p>
            <w:pPr>
              <w:spacing w:after="0"/>
              <w:rPr>
                <w:sz w:val="19"/>
                <w:szCs w:val="19"/>
                <w:color w:val="auto"/>
              </w:rPr>
            </w:pPr>
          </w:p>
        </w:tc>
      </w:tr>
      <w:tr>
        <w:trPr>
          <w:trHeight w:val="229"/>
        </w:trPr>
        <w:tc>
          <w:tcPr>
            <w:tcW w:w="5220" w:type="dxa"/>
            <w:vAlign w:val="bottom"/>
            <w:shd w:val="clear" w:color="auto" w:fill="CFF0FC"/>
          </w:tcPr>
          <w:p>
            <w:pPr>
              <w:spacing w:after="0"/>
              <w:rPr>
                <w:sz w:val="20"/>
                <w:szCs w:val="20"/>
                <w:color w:val="auto"/>
              </w:rPr>
            </w:pPr>
            <w:r>
              <w:rPr>
                <w:rFonts w:ascii="Arial" w:cs="Arial" w:eastAsia="Arial" w:hAnsi="Arial"/>
                <w:sz w:val="18"/>
                <w:szCs w:val="18"/>
                <w:color w:val="auto"/>
              </w:rPr>
              <w:t>Income tax provision</w:t>
            </w:r>
          </w:p>
        </w:tc>
        <w:tc>
          <w:tcPr>
            <w:tcW w:w="60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1,061</w:t>
            </w:r>
          </w:p>
        </w:tc>
        <w:tc>
          <w:tcPr>
            <w:tcW w:w="24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719</w:t>
            </w:r>
          </w:p>
        </w:tc>
        <w:tc>
          <w:tcPr>
            <w:tcW w:w="24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2,920</w:t>
            </w:r>
          </w:p>
        </w:tc>
        <w:tc>
          <w:tcPr>
            <w:tcW w:w="24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2,130</w:t>
            </w:r>
          </w:p>
        </w:tc>
        <w:tc>
          <w:tcPr>
            <w:tcW w:w="100" w:type="dxa"/>
            <w:vAlign w:val="bottom"/>
            <w:shd w:val="clear" w:color="auto" w:fill="CFF0FC"/>
          </w:tcPr>
          <w:p>
            <w:pPr>
              <w:spacing w:after="0"/>
              <w:rPr>
                <w:sz w:val="19"/>
                <w:szCs w:val="19"/>
                <w:color w:val="auto"/>
              </w:rPr>
            </w:pPr>
          </w:p>
        </w:tc>
      </w:tr>
      <w:tr>
        <w:trPr>
          <w:trHeight w:val="223"/>
        </w:trPr>
        <w:tc>
          <w:tcPr>
            <w:tcW w:w="5220" w:type="dxa"/>
            <w:vAlign w:val="bottom"/>
          </w:tcPr>
          <w:p>
            <w:pPr>
              <w:ind w:left="260"/>
              <w:spacing w:after="0"/>
              <w:rPr>
                <w:sz w:val="20"/>
                <w:szCs w:val="20"/>
                <w:color w:val="auto"/>
              </w:rPr>
            </w:pPr>
            <w:r>
              <w:rPr>
                <w:rFonts w:ascii="Arial" w:cs="Arial" w:eastAsia="Arial" w:hAnsi="Arial"/>
                <w:sz w:val="18"/>
                <w:szCs w:val="18"/>
                <w:color w:val="auto"/>
              </w:rPr>
              <w:t>Income from continuing operations</w:t>
            </w:r>
          </w:p>
        </w:tc>
        <w:tc>
          <w:tcPr>
            <w:tcW w:w="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3,442</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2,401</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10,533</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7,181</w:t>
            </w:r>
          </w:p>
        </w:tc>
        <w:tc>
          <w:tcPr>
            <w:tcW w:w="100" w:type="dxa"/>
            <w:vAlign w:val="bottom"/>
          </w:tcPr>
          <w:p>
            <w:pPr>
              <w:spacing w:after="0"/>
              <w:rPr>
                <w:sz w:val="19"/>
                <w:szCs w:val="19"/>
                <w:color w:val="auto"/>
              </w:rPr>
            </w:pPr>
          </w:p>
        </w:tc>
      </w:tr>
      <w:tr>
        <w:trPr>
          <w:trHeight w:val="229"/>
        </w:trPr>
        <w:tc>
          <w:tcPr>
            <w:tcW w:w="5220" w:type="dxa"/>
            <w:vAlign w:val="bottom"/>
            <w:shd w:val="clear" w:color="auto" w:fill="CFF0FC"/>
          </w:tcPr>
          <w:p>
            <w:pPr>
              <w:spacing w:after="0"/>
              <w:rPr>
                <w:sz w:val="20"/>
                <w:szCs w:val="20"/>
                <w:color w:val="auto"/>
              </w:rPr>
            </w:pPr>
            <w:r>
              <w:rPr>
                <w:rFonts w:ascii="Arial" w:cs="Arial" w:eastAsia="Arial" w:hAnsi="Arial"/>
                <w:sz w:val="18"/>
                <w:szCs w:val="18"/>
                <w:color w:val="auto"/>
              </w:rPr>
              <w:t>Discontinued operations:</w:t>
            </w:r>
          </w:p>
        </w:tc>
        <w:tc>
          <w:tcPr>
            <w:tcW w:w="6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9"/>
        </w:trPr>
        <w:tc>
          <w:tcPr>
            <w:tcW w:w="5220" w:type="dxa"/>
            <w:vAlign w:val="bottom"/>
          </w:tcPr>
          <w:p>
            <w:pPr>
              <w:ind w:left="260"/>
              <w:spacing w:after="0"/>
              <w:rPr>
                <w:sz w:val="20"/>
                <w:szCs w:val="20"/>
                <w:color w:val="auto"/>
              </w:rPr>
            </w:pPr>
            <w:r>
              <w:rPr>
                <w:rFonts w:ascii="Arial" w:cs="Arial" w:eastAsia="Arial" w:hAnsi="Arial"/>
                <w:sz w:val="18"/>
                <w:szCs w:val="18"/>
                <w:color w:val="auto"/>
              </w:rPr>
              <w:t>Gain on sale of discontinued operations</w:t>
            </w:r>
          </w:p>
        </w:tc>
        <w:tc>
          <w:tcPr>
            <w:tcW w:w="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1,620</w:t>
            </w:r>
          </w:p>
        </w:tc>
        <w:tc>
          <w:tcPr>
            <w:tcW w:w="100" w:type="dxa"/>
            <w:vAlign w:val="bottom"/>
          </w:tcPr>
          <w:p>
            <w:pPr>
              <w:spacing w:after="0"/>
              <w:rPr>
                <w:sz w:val="19"/>
                <w:szCs w:val="19"/>
                <w:color w:val="auto"/>
              </w:rPr>
            </w:pPr>
          </w:p>
        </w:tc>
      </w:tr>
      <w:tr>
        <w:trPr>
          <w:trHeight w:val="230"/>
        </w:trPr>
        <w:tc>
          <w:tcPr>
            <w:tcW w:w="52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Income tax provision</w:t>
            </w:r>
          </w:p>
        </w:tc>
        <w:tc>
          <w:tcPr>
            <w:tcW w:w="6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426</w:t>
            </w:r>
          </w:p>
        </w:tc>
        <w:tc>
          <w:tcPr>
            <w:tcW w:w="100" w:type="dxa"/>
            <w:vAlign w:val="bottom"/>
            <w:shd w:val="clear" w:color="auto" w:fill="CFF0FC"/>
          </w:tcPr>
          <w:p>
            <w:pPr>
              <w:spacing w:after="0"/>
              <w:rPr>
                <w:sz w:val="19"/>
                <w:szCs w:val="19"/>
                <w:color w:val="auto"/>
              </w:rPr>
            </w:pPr>
          </w:p>
        </w:tc>
      </w:tr>
      <w:tr>
        <w:trPr>
          <w:trHeight w:val="223"/>
        </w:trPr>
        <w:tc>
          <w:tcPr>
            <w:tcW w:w="522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Income from discontinued operations</w:t>
            </w:r>
          </w:p>
        </w:tc>
        <w:tc>
          <w:tcPr>
            <w:tcW w:w="600" w:type="dxa"/>
            <w:vAlign w:val="bottom"/>
            <w:tcBorders>
              <w:bottom w:val="single" w:sz="8" w:color="CFF0FC"/>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FF0FC"/>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FF0FC"/>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FF0FC"/>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1,194</w:t>
            </w:r>
          </w:p>
        </w:tc>
        <w:tc>
          <w:tcPr>
            <w:tcW w:w="100" w:type="dxa"/>
            <w:vAlign w:val="bottom"/>
            <w:tcBorders>
              <w:bottom w:val="single" w:sz="8" w:color="CFF0FC"/>
            </w:tcBorders>
          </w:tcPr>
          <w:p>
            <w:pPr>
              <w:spacing w:after="0"/>
              <w:rPr>
                <w:sz w:val="19"/>
                <w:szCs w:val="19"/>
                <w:color w:val="auto"/>
              </w:rPr>
            </w:pPr>
          </w:p>
        </w:tc>
      </w:tr>
      <w:tr>
        <w:trPr>
          <w:trHeight w:val="223"/>
        </w:trPr>
        <w:tc>
          <w:tcPr>
            <w:tcW w:w="52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income</w:t>
            </w:r>
          </w:p>
        </w:tc>
        <w:tc>
          <w:tcPr>
            <w:tcW w:w="60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3,442</w:t>
            </w:r>
          </w:p>
        </w:tc>
        <w:tc>
          <w:tcPr>
            <w:tcW w:w="24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2,401</w:t>
            </w:r>
          </w:p>
        </w:tc>
        <w:tc>
          <w:tcPr>
            <w:tcW w:w="24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10,533</w:t>
            </w:r>
          </w:p>
        </w:tc>
        <w:tc>
          <w:tcPr>
            <w:tcW w:w="24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8,375</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5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5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5220" w:type="dxa"/>
            <w:vAlign w:val="bottom"/>
            <w:shd w:val="clear" w:color="auto" w:fill="CFF0FC"/>
          </w:tcPr>
          <w:p>
            <w:pPr>
              <w:spacing w:after="0"/>
              <w:rPr>
                <w:sz w:val="20"/>
                <w:szCs w:val="20"/>
                <w:color w:val="auto"/>
              </w:rPr>
            </w:pPr>
            <w:r>
              <w:rPr>
                <w:rFonts w:ascii="Arial" w:cs="Arial" w:eastAsia="Arial" w:hAnsi="Arial"/>
                <w:sz w:val="18"/>
                <w:szCs w:val="18"/>
                <w:color w:val="auto"/>
              </w:rPr>
              <w:t>Net income per share – basic:</w:t>
            </w:r>
          </w:p>
        </w:tc>
        <w:tc>
          <w:tcPr>
            <w:tcW w:w="6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9"/>
        </w:trPr>
        <w:tc>
          <w:tcPr>
            <w:tcW w:w="5220" w:type="dxa"/>
            <w:vAlign w:val="bottom"/>
          </w:tcPr>
          <w:p>
            <w:pPr>
              <w:ind w:left="260"/>
              <w:spacing w:after="0"/>
              <w:rPr>
                <w:sz w:val="20"/>
                <w:szCs w:val="20"/>
                <w:color w:val="auto"/>
              </w:rPr>
            </w:pPr>
            <w:r>
              <w:rPr>
                <w:rFonts w:ascii="Arial" w:cs="Arial" w:eastAsia="Arial" w:hAnsi="Arial"/>
                <w:sz w:val="18"/>
                <w:szCs w:val="18"/>
                <w:color w:val="auto"/>
              </w:rPr>
              <w:t>Continuing operations</w:t>
            </w:r>
          </w:p>
        </w:tc>
        <w:tc>
          <w:tcPr>
            <w:tcW w:w="80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0.11</w:t>
            </w:r>
          </w:p>
        </w:tc>
        <w:tc>
          <w:tcPr>
            <w:tcW w:w="44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0.07</w:t>
            </w:r>
          </w:p>
        </w:tc>
        <w:tc>
          <w:tcPr>
            <w:tcW w:w="240" w:type="dxa"/>
            <w:vAlign w:val="bottom"/>
          </w:tcPr>
          <w:p>
            <w:pPr>
              <w:spacing w:after="0"/>
              <w:rPr>
                <w:sz w:val="19"/>
                <w:szCs w:val="19"/>
                <w:color w:val="auto"/>
              </w:rPr>
            </w:pP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0.33</w:t>
            </w:r>
          </w:p>
        </w:tc>
        <w:tc>
          <w:tcPr>
            <w:tcW w:w="44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0.22</w:t>
            </w:r>
          </w:p>
        </w:tc>
        <w:tc>
          <w:tcPr>
            <w:tcW w:w="100" w:type="dxa"/>
            <w:vAlign w:val="bottom"/>
          </w:tcPr>
          <w:p>
            <w:pPr>
              <w:spacing w:after="0"/>
              <w:rPr>
                <w:sz w:val="19"/>
                <w:szCs w:val="19"/>
                <w:color w:val="auto"/>
              </w:rPr>
            </w:pPr>
          </w:p>
        </w:tc>
      </w:tr>
      <w:tr>
        <w:trPr>
          <w:trHeight w:val="230"/>
        </w:trPr>
        <w:tc>
          <w:tcPr>
            <w:tcW w:w="52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Discontinued operations</w:t>
            </w:r>
          </w:p>
        </w:tc>
        <w:tc>
          <w:tcPr>
            <w:tcW w:w="6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0.04</w:t>
            </w:r>
          </w:p>
        </w:tc>
        <w:tc>
          <w:tcPr>
            <w:tcW w:w="100" w:type="dxa"/>
            <w:vAlign w:val="bottom"/>
            <w:shd w:val="clear" w:color="auto" w:fill="CFF0FC"/>
          </w:tcPr>
          <w:p>
            <w:pPr>
              <w:spacing w:after="0"/>
              <w:rPr>
                <w:sz w:val="19"/>
                <w:szCs w:val="19"/>
                <w:color w:val="auto"/>
              </w:rPr>
            </w:pPr>
          </w:p>
        </w:tc>
      </w:tr>
      <w:tr>
        <w:trPr>
          <w:trHeight w:val="263"/>
        </w:trPr>
        <w:tc>
          <w:tcPr>
            <w:tcW w:w="52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Net income per share - basic</w:t>
            </w:r>
          </w:p>
        </w:tc>
        <w:tc>
          <w:tcPr>
            <w:tcW w:w="600" w:type="dxa"/>
            <w:vAlign w:val="bottom"/>
            <w:tcBorders>
              <w:bottom w:val="single" w:sz="8" w:color="CFF0FC"/>
            </w:tcBorders>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0.11</w:t>
            </w:r>
          </w:p>
        </w:tc>
        <w:tc>
          <w:tcPr>
            <w:tcW w:w="240" w:type="dxa"/>
            <w:vAlign w:val="bottom"/>
            <w:tcBorders>
              <w:bottom w:val="single" w:sz="8" w:color="CFF0FC"/>
            </w:tcBorders>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0.07</w:t>
            </w:r>
          </w:p>
        </w:tc>
        <w:tc>
          <w:tcPr>
            <w:tcW w:w="240" w:type="dxa"/>
            <w:vAlign w:val="bottom"/>
            <w:tcBorders>
              <w:bottom w:val="single" w:sz="8" w:color="CFF0FC"/>
            </w:tcBorders>
          </w:tcPr>
          <w:p>
            <w:pPr>
              <w:spacing w:after="0"/>
              <w:rPr>
                <w:sz w:val="22"/>
                <w:szCs w:val="22"/>
                <w:color w:val="auto"/>
              </w:rPr>
            </w:pPr>
          </w:p>
        </w:tc>
        <w:tc>
          <w:tcPr>
            <w:tcW w:w="200" w:type="dxa"/>
            <w:vAlign w:val="bottom"/>
            <w:tcBorders>
              <w:top w:val="single" w:sz="8" w:color="auto"/>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0.33</w:t>
            </w:r>
          </w:p>
        </w:tc>
        <w:tc>
          <w:tcPr>
            <w:tcW w:w="240" w:type="dxa"/>
            <w:vAlign w:val="bottom"/>
            <w:tcBorders>
              <w:bottom w:val="single" w:sz="8" w:color="CFF0FC"/>
            </w:tcBorders>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0.26</w:t>
            </w:r>
          </w:p>
        </w:tc>
        <w:tc>
          <w:tcPr>
            <w:tcW w:w="100" w:type="dxa"/>
            <w:vAlign w:val="bottom"/>
            <w:tcBorders>
              <w:bottom w:val="single" w:sz="8" w:color="CFF0FC"/>
            </w:tcBorders>
          </w:tcPr>
          <w:p>
            <w:pPr>
              <w:spacing w:after="0"/>
              <w:rPr>
                <w:sz w:val="22"/>
                <w:szCs w:val="22"/>
                <w:color w:val="auto"/>
              </w:rPr>
            </w:pPr>
          </w:p>
        </w:tc>
      </w:tr>
      <w:tr>
        <w:trPr>
          <w:trHeight w:val="210"/>
        </w:trPr>
        <w:tc>
          <w:tcPr>
            <w:tcW w:w="522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0"/>
        </w:trPr>
        <w:tc>
          <w:tcPr>
            <w:tcW w:w="5220" w:type="dxa"/>
            <w:vAlign w:val="bottom"/>
          </w:tcPr>
          <w:p>
            <w:pPr>
              <w:spacing w:after="0"/>
              <w:rPr>
                <w:sz w:val="20"/>
                <w:szCs w:val="20"/>
                <w:color w:val="auto"/>
              </w:rPr>
            </w:pPr>
            <w:r>
              <w:rPr>
                <w:rFonts w:ascii="Arial" w:cs="Arial" w:eastAsia="Arial" w:hAnsi="Arial"/>
                <w:sz w:val="18"/>
                <w:szCs w:val="18"/>
                <w:color w:val="auto"/>
              </w:rPr>
              <w:t>Net income per share - diluted:</w:t>
            </w:r>
          </w:p>
        </w:tc>
        <w:tc>
          <w:tcPr>
            <w:tcW w:w="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52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Continuing operations</w:t>
            </w:r>
          </w:p>
        </w:tc>
        <w:tc>
          <w:tcPr>
            <w:tcW w:w="800" w:type="dxa"/>
            <w:vAlign w:val="bottom"/>
            <w:gridSpan w:val="2"/>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0.11</w:t>
            </w:r>
          </w:p>
        </w:tc>
        <w:tc>
          <w:tcPr>
            <w:tcW w:w="440" w:type="dxa"/>
            <w:vAlign w:val="bottom"/>
            <w:gridSpan w:val="2"/>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0.07</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0.33</w:t>
            </w:r>
          </w:p>
        </w:tc>
        <w:tc>
          <w:tcPr>
            <w:tcW w:w="440" w:type="dxa"/>
            <w:vAlign w:val="bottom"/>
            <w:gridSpan w:val="2"/>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0.22</w:t>
            </w:r>
          </w:p>
        </w:tc>
        <w:tc>
          <w:tcPr>
            <w:tcW w:w="100" w:type="dxa"/>
            <w:vAlign w:val="bottom"/>
            <w:shd w:val="clear" w:color="auto" w:fill="CFF0FC"/>
          </w:tcPr>
          <w:p>
            <w:pPr>
              <w:spacing w:after="0"/>
              <w:rPr>
                <w:sz w:val="19"/>
                <w:szCs w:val="19"/>
                <w:color w:val="auto"/>
              </w:rPr>
            </w:pPr>
          </w:p>
        </w:tc>
      </w:tr>
      <w:tr>
        <w:trPr>
          <w:trHeight w:val="230"/>
        </w:trPr>
        <w:tc>
          <w:tcPr>
            <w:tcW w:w="5220" w:type="dxa"/>
            <w:vAlign w:val="bottom"/>
          </w:tcPr>
          <w:p>
            <w:pPr>
              <w:ind w:left="260"/>
              <w:spacing w:after="0"/>
              <w:rPr>
                <w:sz w:val="20"/>
                <w:szCs w:val="20"/>
                <w:color w:val="auto"/>
              </w:rPr>
            </w:pPr>
            <w:r>
              <w:rPr>
                <w:rFonts w:ascii="Arial" w:cs="Arial" w:eastAsia="Arial" w:hAnsi="Arial"/>
                <w:sz w:val="18"/>
                <w:szCs w:val="18"/>
                <w:color w:val="auto"/>
              </w:rPr>
              <w:t>Discontinued operations</w:t>
            </w:r>
          </w:p>
        </w:tc>
        <w:tc>
          <w:tcPr>
            <w:tcW w:w="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0.04</w:t>
            </w:r>
          </w:p>
        </w:tc>
        <w:tc>
          <w:tcPr>
            <w:tcW w:w="100" w:type="dxa"/>
            <w:vAlign w:val="bottom"/>
          </w:tcPr>
          <w:p>
            <w:pPr>
              <w:spacing w:after="0"/>
              <w:rPr>
                <w:sz w:val="19"/>
                <w:szCs w:val="19"/>
                <w:color w:val="auto"/>
              </w:rPr>
            </w:pPr>
          </w:p>
        </w:tc>
      </w:tr>
      <w:tr>
        <w:trPr>
          <w:trHeight w:val="223"/>
        </w:trPr>
        <w:tc>
          <w:tcPr>
            <w:tcW w:w="522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income per share - diluted</w:t>
            </w:r>
          </w:p>
        </w:tc>
        <w:tc>
          <w:tcPr>
            <w:tcW w:w="60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0.11</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0.07</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0.33</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0.26</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5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5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9"/>
        </w:trPr>
        <w:tc>
          <w:tcPr>
            <w:tcW w:w="5220" w:type="dxa"/>
            <w:vAlign w:val="bottom"/>
            <w:shd w:val="clear" w:color="auto" w:fill="CFF0FC"/>
          </w:tcPr>
          <w:p>
            <w:pPr>
              <w:spacing w:after="0"/>
              <w:rPr>
                <w:sz w:val="20"/>
                <w:szCs w:val="20"/>
                <w:color w:val="auto"/>
              </w:rPr>
            </w:pPr>
            <w:r>
              <w:rPr>
                <w:rFonts w:ascii="Arial" w:cs="Arial" w:eastAsia="Arial" w:hAnsi="Arial"/>
                <w:sz w:val="18"/>
                <w:szCs w:val="18"/>
                <w:color w:val="auto"/>
              </w:rPr>
              <w:t>Weighted average shares of common stock outstanding:</w:t>
            </w:r>
          </w:p>
        </w:tc>
        <w:tc>
          <w:tcPr>
            <w:tcW w:w="6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70"/>
        </w:trPr>
        <w:tc>
          <w:tcPr>
            <w:tcW w:w="522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Basic</w:t>
            </w:r>
          </w:p>
        </w:tc>
        <w:tc>
          <w:tcPr>
            <w:tcW w:w="600" w:type="dxa"/>
            <w:vAlign w:val="bottom"/>
            <w:tcBorders>
              <w:bottom w:val="single" w:sz="8" w:color="CFF0FC"/>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31,997</w:t>
            </w:r>
          </w:p>
        </w:tc>
        <w:tc>
          <w:tcPr>
            <w:tcW w:w="240" w:type="dxa"/>
            <w:vAlign w:val="bottom"/>
            <w:tcBorders>
              <w:bottom w:val="single" w:sz="8" w:color="CFF0FC"/>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32,394</w:t>
            </w:r>
          </w:p>
        </w:tc>
        <w:tc>
          <w:tcPr>
            <w:tcW w:w="240" w:type="dxa"/>
            <w:vAlign w:val="bottom"/>
            <w:tcBorders>
              <w:bottom w:val="single" w:sz="8" w:color="CFF0FC"/>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32,166</w:t>
            </w:r>
          </w:p>
        </w:tc>
        <w:tc>
          <w:tcPr>
            <w:tcW w:w="240" w:type="dxa"/>
            <w:vAlign w:val="bottom"/>
            <w:tcBorders>
              <w:bottom w:val="single" w:sz="8" w:color="CFF0FC"/>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32,366</w:t>
            </w:r>
          </w:p>
        </w:tc>
        <w:tc>
          <w:tcPr>
            <w:tcW w:w="100" w:type="dxa"/>
            <w:vAlign w:val="bottom"/>
            <w:tcBorders>
              <w:bottom w:val="single" w:sz="8" w:color="CFF0FC"/>
            </w:tcBorders>
          </w:tcPr>
          <w:p>
            <w:pPr>
              <w:spacing w:after="0"/>
              <w:rPr>
                <w:sz w:val="23"/>
                <w:szCs w:val="23"/>
                <w:color w:val="auto"/>
              </w:rPr>
            </w:pPr>
          </w:p>
        </w:tc>
      </w:tr>
      <w:tr>
        <w:trPr>
          <w:trHeight w:val="210"/>
        </w:trPr>
        <w:tc>
          <w:tcPr>
            <w:tcW w:w="522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Diluted</w:t>
            </w:r>
          </w:p>
        </w:tc>
        <w:tc>
          <w:tcPr>
            <w:tcW w:w="60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32,025</w:t>
            </w:r>
          </w:p>
        </w:tc>
        <w:tc>
          <w:tcPr>
            <w:tcW w:w="24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32,434</w:t>
            </w:r>
          </w:p>
        </w:tc>
        <w:tc>
          <w:tcPr>
            <w:tcW w:w="24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32,191</w:t>
            </w:r>
          </w:p>
        </w:tc>
        <w:tc>
          <w:tcPr>
            <w:tcW w:w="24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32,406</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
        </w:trPr>
        <w:tc>
          <w:tcPr>
            <w:tcW w:w="5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See accompanying Notes to the Condensed Consolidated Financial Statements (unaudited).</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229235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HEALTHSTREAM,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INCOME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5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80" w:type="dxa"/>
            <w:vAlign w:val="bottom"/>
            <w:gridSpan w:val="5"/>
          </w:tcPr>
          <w:p>
            <w:pPr>
              <w:ind w:left="440"/>
              <w:spacing w:after="0"/>
              <w:rPr>
                <w:sz w:val="20"/>
                <w:szCs w:val="20"/>
                <w:color w:val="auto"/>
              </w:rPr>
            </w:pPr>
            <w:r>
              <w:rPr>
                <w:rFonts w:ascii="Arial" w:cs="Arial" w:eastAsia="Arial" w:hAnsi="Arial"/>
                <w:sz w:val="14"/>
                <w:szCs w:val="14"/>
                <w:b w:val="1"/>
                <w:bCs w:val="1"/>
                <w:color w:val="auto"/>
              </w:rPr>
              <w:t>Three Months Ended</w:t>
            </w:r>
          </w:p>
        </w:tc>
        <w:tc>
          <w:tcPr>
            <w:tcW w:w="220" w:type="dxa"/>
            <w:vAlign w:val="bottom"/>
          </w:tcPr>
          <w:p>
            <w:pPr>
              <w:spacing w:after="0"/>
              <w:rPr>
                <w:sz w:val="14"/>
                <w:szCs w:val="14"/>
                <w:color w:val="auto"/>
              </w:rPr>
            </w:pPr>
          </w:p>
        </w:tc>
        <w:tc>
          <w:tcPr>
            <w:tcW w:w="2580" w:type="dxa"/>
            <w:vAlign w:val="bottom"/>
            <w:gridSpan w:val="5"/>
          </w:tcPr>
          <w:p>
            <w:pPr>
              <w:ind w:left="540"/>
              <w:spacing w:after="0"/>
              <w:rPr>
                <w:sz w:val="20"/>
                <w:szCs w:val="20"/>
                <w:color w:val="auto"/>
              </w:rPr>
            </w:pPr>
            <w:r>
              <w:rPr>
                <w:rFonts w:ascii="Arial" w:cs="Arial" w:eastAsia="Arial" w:hAnsi="Arial"/>
                <w:sz w:val="14"/>
                <w:szCs w:val="14"/>
                <w:b w:val="1"/>
                <w:bCs w:val="1"/>
                <w:color w:val="auto"/>
              </w:rPr>
              <w:t>Six Months Ended</w:t>
            </w:r>
          </w:p>
        </w:tc>
      </w:tr>
      <w:tr>
        <w:trPr>
          <w:trHeight w:val="133"/>
        </w:trPr>
        <w:tc>
          <w:tcPr>
            <w:tcW w:w="552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260" w:type="dxa"/>
            <w:vAlign w:val="bottom"/>
            <w:tcBorders>
              <w:top w:val="single" w:sz="8" w:color="auto"/>
            </w:tcBorders>
            <w:gridSpan w:val="2"/>
          </w:tcPr>
          <w:p>
            <w:pPr>
              <w:ind w:left="140"/>
              <w:spacing w:after="0" w:line="133" w:lineRule="exact"/>
              <w:rPr>
                <w:sz w:val="20"/>
                <w:szCs w:val="20"/>
                <w:color w:val="auto"/>
              </w:rPr>
            </w:pPr>
            <w:r>
              <w:rPr>
                <w:rFonts w:ascii="Arial" w:cs="Arial" w:eastAsia="Arial" w:hAnsi="Arial"/>
                <w:sz w:val="14"/>
                <w:szCs w:val="14"/>
                <w:b w:val="1"/>
                <w:bCs w:val="1"/>
                <w:color w:val="auto"/>
              </w:rPr>
              <w:t>June 30,</w:t>
            </w:r>
          </w:p>
        </w:tc>
        <w:tc>
          <w:tcPr>
            <w:tcW w:w="22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tcPr>
          <w:p>
            <w:pPr>
              <w:jc w:val="right"/>
              <w:ind w:right="255"/>
              <w:spacing w:after="0" w:line="133" w:lineRule="exact"/>
              <w:rPr>
                <w:sz w:val="20"/>
                <w:szCs w:val="20"/>
                <w:color w:val="auto"/>
              </w:rPr>
            </w:pPr>
            <w:r>
              <w:rPr>
                <w:rFonts w:ascii="Arial" w:cs="Arial" w:eastAsia="Arial" w:hAnsi="Arial"/>
                <w:sz w:val="14"/>
                <w:szCs w:val="14"/>
                <w:b w:val="1"/>
                <w:bCs w:val="1"/>
                <w:color w:val="auto"/>
              </w:rPr>
              <w:t>June 30,</w:t>
            </w:r>
          </w:p>
        </w:tc>
        <w:tc>
          <w:tcPr>
            <w:tcW w:w="24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280" w:type="dxa"/>
            <w:vAlign w:val="bottom"/>
            <w:tcBorders>
              <w:top w:val="single" w:sz="8" w:color="auto"/>
            </w:tcBorders>
            <w:gridSpan w:val="2"/>
          </w:tcPr>
          <w:p>
            <w:pPr>
              <w:jc w:val="right"/>
              <w:ind w:right="620"/>
              <w:spacing w:after="0" w:line="133" w:lineRule="exact"/>
              <w:rPr>
                <w:sz w:val="20"/>
                <w:szCs w:val="20"/>
                <w:color w:val="auto"/>
              </w:rPr>
            </w:pPr>
            <w:r>
              <w:rPr>
                <w:rFonts w:ascii="Arial" w:cs="Arial" w:eastAsia="Arial" w:hAnsi="Arial"/>
                <w:sz w:val="14"/>
                <w:szCs w:val="14"/>
                <w:b w:val="1"/>
                <w:bCs w:val="1"/>
                <w:color w:val="auto"/>
              </w:rPr>
              <w:t>June 30,</w:t>
            </w:r>
          </w:p>
        </w:tc>
        <w:tc>
          <w:tcPr>
            <w:tcW w:w="22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tcPr>
          <w:p>
            <w:pPr>
              <w:jc w:val="right"/>
              <w:ind w:right="255"/>
              <w:spacing w:after="0" w:line="133" w:lineRule="exact"/>
              <w:rPr>
                <w:sz w:val="20"/>
                <w:szCs w:val="20"/>
                <w:color w:val="auto"/>
              </w:rPr>
            </w:pPr>
            <w:r>
              <w:rPr>
                <w:rFonts w:ascii="Arial" w:cs="Arial" w:eastAsia="Arial" w:hAnsi="Arial"/>
                <w:sz w:val="14"/>
                <w:szCs w:val="14"/>
                <w:b w:val="1"/>
                <w:bCs w:val="1"/>
                <w:color w:val="auto"/>
              </w:rPr>
              <w:t>June 30,</w:t>
            </w:r>
          </w:p>
        </w:tc>
        <w:tc>
          <w:tcPr>
            <w:tcW w:w="120" w:type="dxa"/>
            <w:vAlign w:val="bottom"/>
          </w:tcPr>
          <w:p>
            <w:pPr>
              <w:spacing w:after="0"/>
              <w:rPr>
                <w:sz w:val="11"/>
                <w:szCs w:val="11"/>
                <w:color w:val="auto"/>
              </w:rPr>
            </w:pPr>
          </w:p>
        </w:tc>
      </w:tr>
      <w:tr>
        <w:trPr>
          <w:trHeight w:val="171"/>
        </w:trPr>
        <w:tc>
          <w:tcPr>
            <w:tcW w:w="5520" w:type="dxa"/>
            <w:vAlign w:val="bottom"/>
            <w:tcBorders>
              <w:bottom w:val="single" w:sz="8" w:color="CFF0FC"/>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17"/>
              <w:spacing w:after="0"/>
              <w:rPr>
                <w:sz w:val="20"/>
                <w:szCs w:val="20"/>
                <w:color w:val="auto"/>
              </w:rPr>
            </w:pPr>
            <w:r>
              <w:rPr>
                <w:rFonts w:ascii="Arial" w:cs="Arial" w:eastAsia="Arial" w:hAnsi="Arial"/>
                <w:sz w:val="14"/>
                <w:szCs w:val="14"/>
                <w:b w:val="1"/>
                <w:bCs w:val="1"/>
                <w:color w:val="auto"/>
              </w:rPr>
              <w:t>2020</w:t>
            </w:r>
          </w:p>
        </w:tc>
        <w:tc>
          <w:tcPr>
            <w:tcW w:w="22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rPr>
              <w:t>2019</w:t>
            </w:r>
          </w:p>
        </w:tc>
        <w:tc>
          <w:tcPr>
            <w:tcW w:w="24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417"/>
              <w:spacing w:after="0"/>
              <w:rPr>
                <w:sz w:val="20"/>
                <w:szCs w:val="20"/>
                <w:color w:val="auto"/>
              </w:rPr>
            </w:pPr>
            <w:r>
              <w:rPr>
                <w:rFonts w:ascii="Arial" w:cs="Arial" w:eastAsia="Arial" w:hAnsi="Arial"/>
                <w:sz w:val="14"/>
                <w:szCs w:val="14"/>
                <w:b w:val="1"/>
                <w:bCs w:val="1"/>
                <w:color w:val="auto"/>
              </w:rPr>
              <w:t>2020</w:t>
            </w:r>
          </w:p>
        </w:tc>
        <w:tc>
          <w:tcPr>
            <w:tcW w:w="22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FF0FC"/>
            </w:tcBorders>
          </w:tcPr>
          <w:p>
            <w:pPr>
              <w:spacing w:after="0"/>
              <w:rPr>
                <w:sz w:val="14"/>
                <w:szCs w:val="14"/>
                <w:color w:val="auto"/>
              </w:rPr>
            </w:pPr>
          </w:p>
        </w:tc>
      </w:tr>
      <w:tr>
        <w:trPr>
          <w:trHeight w:val="223"/>
        </w:trPr>
        <w:tc>
          <w:tcPr>
            <w:tcW w:w="5520" w:type="dxa"/>
            <w:vAlign w:val="bottom"/>
            <w:shd w:val="clear" w:color="auto" w:fill="CFF0FC"/>
          </w:tcPr>
          <w:p>
            <w:pPr>
              <w:spacing w:after="0"/>
              <w:rPr>
                <w:sz w:val="20"/>
                <w:szCs w:val="20"/>
                <w:color w:val="auto"/>
              </w:rPr>
            </w:pPr>
            <w:r>
              <w:rPr>
                <w:rFonts w:ascii="Arial" w:cs="Arial" w:eastAsia="Arial" w:hAnsi="Arial"/>
                <w:sz w:val="18"/>
                <w:szCs w:val="18"/>
                <w:color w:val="auto"/>
              </w:rPr>
              <w:t>Net income</w:t>
            </w:r>
          </w:p>
        </w:tc>
        <w:tc>
          <w:tcPr>
            <w:tcW w:w="240" w:type="dxa"/>
            <w:vAlign w:val="bottom"/>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3,442</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2,401</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10,533</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8,375</w:t>
            </w:r>
          </w:p>
        </w:tc>
        <w:tc>
          <w:tcPr>
            <w:tcW w:w="120" w:type="dxa"/>
            <w:vAlign w:val="bottom"/>
            <w:shd w:val="clear" w:color="auto" w:fill="CFF0FC"/>
          </w:tcPr>
          <w:p>
            <w:pPr>
              <w:spacing w:after="0"/>
              <w:rPr>
                <w:sz w:val="19"/>
                <w:szCs w:val="19"/>
                <w:color w:val="auto"/>
              </w:rPr>
            </w:pPr>
          </w:p>
        </w:tc>
      </w:tr>
      <w:tr>
        <w:trPr>
          <w:trHeight w:val="230"/>
        </w:trPr>
        <w:tc>
          <w:tcPr>
            <w:tcW w:w="55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9"/>
        </w:trPr>
        <w:tc>
          <w:tcPr>
            <w:tcW w:w="5520" w:type="dxa"/>
            <w:vAlign w:val="bottom"/>
            <w:shd w:val="clear" w:color="auto" w:fill="CFF0FC"/>
          </w:tcPr>
          <w:p>
            <w:pPr>
              <w:spacing w:after="0"/>
              <w:rPr>
                <w:sz w:val="20"/>
                <w:szCs w:val="20"/>
                <w:color w:val="auto"/>
              </w:rPr>
            </w:pPr>
            <w:r>
              <w:rPr>
                <w:rFonts w:ascii="Arial" w:cs="Arial" w:eastAsia="Arial" w:hAnsi="Arial"/>
                <w:sz w:val="18"/>
                <w:szCs w:val="18"/>
                <w:color w:val="auto"/>
              </w:rPr>
              <w:t>Other comprehensive income, net of taxes:</w:t>
            </w:r>
          </w:p>
        </w:tc>
        <w:tc>
          <w:tcPr>
            <w:tcW w:w="24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5520" w:type="dxa"/>
            <w:vAlign w:val="bottom"/>
          </w:tcPr>
          <w:p>
            <w:pPr>
              <w:ind w:left="260"/>
              <w:spacing w:after="0"/>
              <w:rPr>
                <w:sz w:val="20"/>
                <w:szCs w:val="20"/>
                <w:color w:val="auto"/>
              </w:rPr>
            </w:pPr>
            <w:r>
              <w:rPr>
                <w:rFonts w:ascii="Arial" w:cs="Arial" w:eastAsia="Arial" w:hAnsi="Arial"/>
                <w:sz w:val="18"/>
                <w:szCs w:val="18"/>
                <w:color w:val="auto"/>
              </w:rPr>
              <w:t>Foreign currency translation adjustments</w:t>
            </w:r>
          </w:p>
        </w:tc>
        <w:tc>
          <w:tcPr>
            <w:tcW w:w="2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17</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(27)</w:t>
            </w: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9"/>
                <w:szCs w:val="19"/>
                <w:color w:val="auto"/>
              </w:rPr>
            </w:pPr>
          </w:p>
        </w:tc>
      </w:tr>
      <w:tr>
        <w:trPr>
          <w:trHeight w:val="229"/>
        </w:trPr>
        <w:tc>
          <w:tcPr>
            <w:tcW w:w="55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Unrealized gain on marketable securities</w:t>
            </w:r>
          </w:p>
        </w:tc>
        <w:tc>
          <w:tcPr>
            <w:tcW w:w="24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125</w:t>
            </w:r>
          </w:p>
        </w:tc>
        <w:tc>
          <w:tcPr>
            <w:tcW w:w="2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24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w:t>
            </w:r>
          </w:p>
        </w:tc>
        <w:tc>
          <w:tcPr>
            <w:tcW w:w="2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w:t>
            </w:r>
          </w:p>
        </w:tc>
        <w:tc>
          <w:tcPr>
            <w:tcW w:w="120" w:type="dxa"/>
            <w:vAlign w:val="bottom"/>
            <w:shd w:val="clear" w:color="auto" w:fill="CFF0FC"/>
          </w:tcPr>
          <w:p>
            <w:pPr>
              <w:spacing w:after="0"/>
              <w:rPr>
                <w:sz w:val="19"/>
                <w:szCs w:val="19"/>
                <w:color w:val="auto"/>
              </w:rPr>
            </w:pPr>
          </w:p>
        </w:tc>
      </w:tr>
      <w:tr>
        <w:trPr>
          <w:trHeight w:val="223"/>
        </w:trPr>
        <w:tc>
          <w:tcPr>
            <w:tcW w:w="5520" w:type="dxa"/>
            <w:vAlign w:val="bottom"/>
          </w:tcPr>
          <w:p>
            <w:pPr>
              <w:spacing w:after="0"/>
              <w:rPr>
                <w:sz w:val="20"/>
                <w:szCs w:val="20"/>
                <w:color w:val="auto"/>
              </w:rPr>
            </w:pPr>
            <w:r>
              <w:rPr>
                <w:rFonts w:ascii="Arial" w:cs="Arial" w:eastAsia="Arial" w:hAnsi="Arial"/>
                <w:sz w:val="18"/>
                <w:szCs w:val="18"/>
                <w:color w:val="auto"/>
              </w:rPr>
              <w:t>Total other comprehensive income (loss)</w:t>
            </w:r>
          </w:p>
        </w:tc>
        <w:tc>
          <w:tcPr>
            <w:tcW w:w="2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142</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14</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(3)</w:t>
            </w: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46</w:t>
            </w:r>
          </w:p>
        </w:tc>
        <w:tc>
          <w:tcPr>
            <w:tcW w:w="120" w:type="dxa"/>
            <w:vAlign w:val="bottom"/>
          </w:tcPr>
          <w:p>
            <w:pPr>
              <w:spacing w:after="0"/>
              <w:rPr>
                <w:sz w:val="19"/>
                <w:szCs w:val="19"/>
                <w:color w:val="auto"/>
              </w:rPr>
            </w:pPr>
          </w:p>
        </w:tc>
      </w:tr>
      <w:tr>
        <w:trPr>
          <w:trHeight w:val="223"/>
        </w:trPr>
        <w:tc>
          <w:tcPr>
            <w:tcW w:w="552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Comprehensive income</w:t>
            </w:r>
          </w:p>
        </w:tc>
        <w:tc>
          <w:tcPr>
            <w:tcW w:w="240" w:type="dxa"/>
            <w:vAlign w:val="bottom"/>
            <w:tcBorders>
              <w:top w:val="single" w:sz="8" w:color="auto"/>
              <w:bottom w:val="single" w:sz="8" w:color="auto"/>
            </w:tcBorders>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3,584</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2,415</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10,530</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8,421</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55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See accompanying Notes to the Condensed Consolidated Financial Statements (unaudited).</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229235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HEALTHSTREAM,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SHAREHOLDERS' EQUITY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940" w:type="dxa"/>
            <w:vAlign w:val="bottom"/>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3660" w:type="dxa"/>
            <w:vAlign w:val="bottom"/>
            <w:tcBorders>
              <w:bottom w:val="single" w:sz="8" w:color="auto"/>
            </w:tcBorders>
            <w:gridSpan w:val="9"/>
          </w:tcPr>
          <w:p>
            <w:pPr>
              <w:jc w:val="center"/>
              <w:ind w:right="380"/>
              <w:spacing w:after="0"/>
              <w:rPr>
                <w:sz w:val="20"/>
                <w:szCs w:val="20"/>
                <w:color w:val="auto"/>
              </w:rPr>
            </w:pPr>
            <w:r>
              <w:rPr>
                <w:rFonts w:ascii="Arial" w:cs="Arial" w:eastAsia="Arial" w:hAnsi="Arial"/>
                <w:sz w:val="14"/>
                <w:szCs w:val="14"/>
                <w:b w:val="1"/>
                <w:bCs w:val="1"/>
                <w:color w:val="auto"/>
                <w:w w:val="92"/>
              </w:rPr>
              <w:t>Six Months Ended June 30, 2020</w:t>
            </w: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49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tcPr>
          <w:p>
            <w:pPr>
              <w:jc w:val="center"/>
              <w:ind w:right="320"/>
              <w:spacing w:after="0" w:line="133" w:lineRule="exact"/>
              <w:rPr>
                <w:sz w:val="20"/>
                <w:szCs w:val="20"/>
                <w:color w:val="auto"/>
              </w:rPr>
            </w:pPr>
            <w:r>
              <w:rPr>
                <w:rFonts w:ascii="Arial" w:cs="Arial" w:eastAsia="Arial" w:hAnsi="Arial"/>
                <w:sz w:val="14"/>
                <w:szCs w:val="14"/>
                <w:b w:val="1"/>
                <w:bCs w:val="1"/>
                <w:color w:val="auto"/>
                <w:w w:val="93"/>
              </w:rPr>
              <w:t>Accumulated</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8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48"/>
        </w:trPr>
        <w:tc>
          <w:tcPr>
            <w:tcW w:w="4940" w:type="dxa"/>
            <w:vAlign w:val="bottom"/>
          </w:tcPr>
          <w:p>
            <w:pPr>
              <w:spacing w:after="0"/>
              <w:rPr>
                <w:sz w:val="12"/>
                <w:szCs w:val="12"/>
                <w:color w:val="auto"/>
              </w:rPr>
            </w:pPr>
          </w:p>
        </w:tc>
        <w:tc>
          <w:tcPr>
            <w:tcW w:w="2480" w:type="dxa"/>
            <w:vAlign w:val="bottom"/>
            <w:gridSpan w:val="5"/>
            <w:vMerge w:val="restart"/>
          </w:tcPr>
          <w:p>
            <w:pPr>
              <w:jc w:val="right"/>
              <w:ind w:right="840"/>
              <w:spacing w:after="0"/>
              <w:rPr>
                <w:sz w:val="20"/>
                <w:szCs w:val="20"/>
                <w:color w:val="auto"/>
              </w:rPr>
            </w:pPr>
            <w:r>
              <w:rPr>
                <w:rFonts w:ascii="Arial" w:cs="Arial" w:eastAsia="Arial" w:hAnsi="Arial"/>
                <w:sz w:val="14"/>
                <w:szCs w:val="14"/>
                <w:b w:val="1"/>
                <w:bCs w:val="1"/>
                <w:color w:val="auto"/>
              </w:rPr>
              <w:t>Common Stock</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gridSpan w:val="2"/>
            <w:vMerge w:val="restart"/>
          </w:tcPr>
          <w:p>
            <w:pPr>
              <w:jc w:val="center"/>
              <w:ind w:right="400"/>
              <w:spacing w:after="0"/>
              <w:rPr>
                <w:sz w:val="20"/>
                <w:szCs w:val="20"/>
                <w:color w:val="auto"/>
              </w:rPr>
            </w:pPr>
            <w:r>
              <w:rPr>
                <w:rFonts w:ascii="Arial" w:cs="Arial" w:eastAsia="Arial" w:hAnsi="Arial"/>
                <w:sz w:val="14"/>
                <w:szCs w:val="14"/>
                <w:b w:val="1"/>
                <w:bCs w:val="1"/>
                <w:color w:val="auto"/>
                <w:w w:val="94"/>
              </w:rPr>
              <w:t>Retained</w:t>
            </w:r>
          </w:p>
        </w:tc>
        <w:tc>
          <w:tcPr>
            <w:tcW w:w="100" w:type="dxa"/>
            <w:vAlign w:val="bottom"/>
          </w:tcPr>
          <w:p>
            <w:pPr>
              <w:spacing w:after="0"/>
              <w:rPr>
                <w:sz w:val="12"/>
                <w:szCs w:val="12"/>
                <w:color w:val="auto"/>
              </w:rPr>
            </w:pPr>
          </w:p>
        </w:tc>
        <w:tc>
          <w:tcPr>
            <w:tcW w:w="11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6"/>
              </w:rPr>
              <w:t>Other</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940" w:type="dxa"/>
            <w:vAlign w:val="bottom"/>
          </w:tcPr>
          <w:p>
            <w:pPr>
              <w:spacing w:after="0"/>
              <w:rPr>
                <w:sz w:val="14"/>
                <w:szCs w:val="14"/>
                <w:color w:val="auto"/>
              </w:rPr>
            </w:pPr>
          </w:p>
        </w:tc>
        <w:tc>
          <w:tcPr>
            <w:tcW w:w="2480" w:type="dxa"/>
            <w:vAlign w:val="bottom"/>
            <w:gridSpan w:val="5"/>
            <w:vMerge w:val="continue"/>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128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1"/>
              </w:rPr>
              <w:t>Comprehensive</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Shareholders’</w:t>
            </w:r>
          </w:p>
        </w:tc>
        <w:tc>
          <w:tcPr>
            <w:tcW w:w="0" w:type="dxa"/>
            <w:vAlign w:val="bottom"/>
          </w:tcPr>
          <w:p>
            <w:pPr>
              <w:spacing w:after="0"/>
              <w:rPr>
                <w:sz w:val="1"/>
                <w:szCs w:val="1"/>
                <w:color w:val="auto"/>
              </w:rPr>
            </w:pPr>
          </w:p>
        </w:tc>
      </w:tr>
      <w:tr>
        <w:trPr>
          <w:trHeight w:val="155"/>
        </w:trPr>
        <w:tc>
          <w:tcPr>
            <w:tcW w:w="4940" w:type="dxa"/>
            <w:vAlign w:val="bottom"/>
            <w:vMerge w:val="restart"/>
          </w:tcPr>
          <w:p>
            <w:pPr>
              <w:spacing w:after="0"/>
              <w:rPr>
                <w:sz w:val="20"/>
                <w:szCs w:val="20"/>
                <w:color w:val="auto"/>
              </w:rPr>
            </w:pPr>
            <w:r>
              <w:rPr>
                <w:rFonts w:ascii="Arial" w:cs="Arial" w:eastAsia="Arial" w:hAnsi="Arial"/>
                <w:sz w:val="18"/>
                <w:szCs w:val="18"/>
                <w:color w:val="auto"/>
              </w:rPr>
              <w:t>Balance at December 31, 2019</w:t>
            </w:r>
          </w:p>
        </w:tc>
        <w:tc>
          <w:tcPr>
            <w:tcW w:w="1280" w:type="dxa"/>
            <w:vAlign w:val="bottom"/>
            <w:tcBorders>
              <w:top w:val="single" w:sz="8" w:color="auto"/>
            </w:tcBorders>
            <w:gridSpan w:val="2"/>
          </w:tcPr>
          <w:p>
            <w:pPr>
              <w:jc w:val="right"/>
              <w:ind w:right="560"/>
              <w:spacing w:after="0" w:line="155" w:lineRule="exact"/>
              <w:rPr>
                <w:sz w:val="20"/>
                <w:szCs w:val="20"/>
                <w:color w:val="auto"/>
              </w:rPr>
            </w:pPr>
            <w:r>
              <w:rPr>
                <w:rFonts w:ascii="Arial" w:cs="Arial" w:eastAsia="Arial" w:hAnsi="Arial"/>
                <w:sz w:val="14"/>
                <w:szCs w:val="14"/>
                <w:b w:val="1"/>
                <w:bCs w:val="1"/>
                <w:color w:val="auto"/>
              </w:rPr>
              <w:t>Shares</w:t>
            </w:r>
          </w:p>
        </w:tc>
        <w:tc>
          <w:tcPr>
            <w:tcW w:w="18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jc w:val="right"/>
              <w:ind w:right="212"/>
              <w:spacing w:after="0" w:line="155" w:lineRule="exact"/>
              <w:rPr>
                <w:sz w:val="20"/>
                <w:szCs w:val="20"/>
                <w:color w:val="auto"/>
              </w:rPr>
            </w:pPr>
            <w:r>
              <w:rPr>
                <w:rFonts w:ascii="Arial" w:cs="Arial" w:eastAsia="Arial" w:hAnsi="Arial"/>
                <w:sz w:val="14"/>
                <w:szCs w:val="14"/>
                <w:b w:val="1"/>
                <w:bCs w:val="1"/>
                <w:color w:val="auto"/>
              </w:rPr>
              <w:t>Amount</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20" w:type="dxa"/>
            <w:vAlign w:val="bottom"/>
            <w:gridSpan w:val="2"/>
          </w:tcPr>
          <w:p>
            <w:pPr>
              <w:jc w:val="center"/>
              <w:ind w:right="400"/>
              <w:spacing w:after="0" w:line="155" w:lineRule="exact"/>
              <w:rPr>
                <w:sz w:val="20"/>
                <w:szCs w:val="20"/>
                <w:color w:val="auto"/>
              </w:rPr>
            </w:pPr>
            <w:r>
              <w:rPr>
                <w:rFonts w:ascii="Arial" w:cs="Arial" w:eastAsia="Arial" w:hAnsi="Arial"/>
                <w:sz w:val="14"/>
                <w:szCs w:val="14"/>
                <w:b w:val="1"/>
                <w:bCs w:val="1"/>
                <w:color w:val="auto"/>
                <w:w w:val="93"/>
              </w:rPr>
              <w:t>Earnings</w:t>
            </w:r>
          </w:p>
        </w:tc>
        <w:tc>
          <w:tcPr>
            <w:tcW w:w="1280" w:type="dxa"/>
            <w:vAlign w:val="bottom"/>
            <w:gridSpan w:val="3"/>
          </w:tcPr>
          <w:p>
            <w:pPr>
              <w:jc w:val="center"/>
              <w:ind w:right="240"/>
              <w:spacing w:after="0" w:line="155" w:lineRule="exact"/>
              <w:rPr>
                <w:sz w:val="20"/>
                <w:szCs w:val="20"/>
                <w:color w:val="auto"/>
              </w:rPr>
            </w:pPr>
            <w:r>
              <w:rPr>
                <w:rFonts w:ascii="Arial" w:cs="Arial" w:eastAsia="Arial" w:hAnsi="Arial"/>
                <w:sz w:val="14"/>
                <w:szCs w:val="14"/>
                <w:b w:val="1"/>
                <w:bCs w:val="1"/>
                <w:color w:val="auto"/>
                <w:w w:val="92"/>
              </w:rPr>
              <w:t>Income (Loss)</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80" w:type="dxa"/>
            <w:vAlign w:val="bottom"/>
            <w:gridSpan w:val="2"/>
          </w:tcPr>
          <w:p>
            <w:pPr>
              <w:jc w:val="center"/>
              <w:ind w:right="220"/>
              <w:spacing w:after="0" w:line="155" w:lineRule="exact"/>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223"/>
        </w:trPr>
        <w:tc>
          <w:tcPr>
            <w:tcW w:w="4940" w:type="dxa"/>
            <w:vAlign w:val="bottom"/>
            <w:vMerge w:val="continue"/>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32,379</w:t>
            </w:r>
          </w:p>
        </w:tc>
        <w:tc>
          <w:tcPr>
            <w:tcW w:w="240" w:type="dxa"/>
            <w:vAlign w:val="bottom"/>
          </w:tcPr>
          <w:p>
            <w:pPr>
              <w:spacing w:after="0"/>
              <w:rPr>
                <w:sz w:val="19"/>
                <w:szCs w:val="19"/>
                <w:color w:val="auto"/>
              </w:rPr>
            </w:pPr>
          </w:p>
        </w:tc>
        <w:tc>
          <w:tcPr>
            <w:tcW w:w="180" w:type="dxa"/>
            <w:vAlign w:val="bottom"/>
            <w:tcBorders>
              <w:top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290,021</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48,143</w:t>
            </w:r>
          </w:p>
        </w:tc>
        <w:tc>
          <w:tcPr>
            <w:tcW w:w="22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338,168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40" w:type="dxa"/>
            <w:vAlign w:val="bottom"/>
            <w:shd w:val="clear" w:color="auto" w:fill="CFF0FC"/>
          </w:tcPr>
          <w:p>
            <w:pPr>
              <w:spacing w:after="0"/>
              <w:rPr>
                <w:sz w:val="20"/>
                <w:szCs w:val="20"/>
                <w:color w:val="auto"/>
              </w:rPr>
            </w:pPr>
            <w:r>
              <w:rPr>
                <w:rFonts w:ascii="Arial" w:cs="Arial" w:eastAsia="Arial" w:hAnsi="Arial"/>
                <w:sz w:val="18"/>
                <w:szCs w:val="18"/>
                <w:color w:val="auto"/>
              </w:rPr>
              <w:t>Net income</w:t>
            </w:r>
          </w:p>
        </w:tc>
        <w:tc>
          <w:tcPr>
            <w:tcW w:w="12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7,092</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7,092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40" w:type="dxa"/>
            <w:vAlign w:val="bottom"/>
          </w:tcPr>
          <w:p>
            <w:pPr>
              <w:spacing w:after="0"/>
              <w:rPr>
                <w:sz w:val="20"/>
                <w:szCs w:val="20"/>
                <w:color w:val="auto"/>
              </w:rPr>
            </w:pPr>
            <w:r>
              <w:rPr>
                <w:rFonts w:ascii="Arial" w:cs="Arial" w:eastAsia="Arial" w:hAnsi="Arial"/>
                <w:sz w:val="18"/>
                <w:szCs w:val="18"/>
                <w:color w:val="auto"/>
              </w:rPr>
              <w:t>Comprehensive loss</w:t>
            </w: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(145)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(145)</w:t>
            </w:r>
          </w:p>
        </w:tc>
        <w:tc>
          <w:tcPr>
            <w:tcW w:w="0" w:type="dxa"/>
            <w:vAlign w:val="bottom"/>
          </w:tcPr>
          <w:p>
            <w:pPr>
              <w:spacing w:after="0"/>
              <w:rPr>
                <w:sz w:val="1"/>
                <w:szCs w:val="1"/>
                <w:color w:val="auto"/>
              </w:rPr>
            </w:pPr>
          </w:p>
        </w:tc>
      </w:tr>
      <w:tr>
        <w:trPr>
          <w:trHeight w:val="229"/>
        </w:trPr>
        <w:tc>
          <w:tcPr>
            <w:tcW w:w="4940" w:type="dxa"/>
            <w:vAlign w:val="bottom"/>
            <w:shd w:val="clear" w:color="auto" w:fill="CFF0FC"/>
          </w:tcPr>
          <w:p>
            <w:pPr>
              <w:spacing w:after="0"/>
              <w:rPr>
                <w:sz w:val="20"/>
                <w:szCs w:val="20"/>
                <w:color w:val="auto"/>
              </w:rPr>
            </w:pPr>
            <w:r>
              <w:rPr>
                <w:rFonts w:ascii="Arial" w:cs="Arial" w:eastAsia="Arial" w:hAnsi="Arial"/>
                <w:sz w:val="18"/>
                <w:szCs w:val="18"/>
                <w:color w:val="auto"/>
              </w:rPr>
              <w:t>Stock based compensation</w:t>
            </w:r>
          </w:p>
        </w:tc>
        <w:tc>
          <w:tcPr>
            <w:tcW w:w="12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550</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4940" w:type="dxa"/>
            <w:vAlign w:val="bottom"/>
          </w:tcPr>
          <w:p>
            <w:pPr>
              <w:spacing w:after="0"/>
              <w:rPr>
                <w:sz w:val="20"/>
                <w:szCs w:val="20"/>
                <w:color w:val="auto"/>
              </w:rPr>
            </w:pPr>
            <w:r>
              <w:rPr>
                <w:rFonts w:ascii="Arial" w:cs="Arial" w:eastAsia="Arial" w:hAnsi="Arial"/>
                <w:sz w:val="18"/>
                <w:szCs w:val="18"/>
                <w:color w:val="auto"/>
              </w:rPr>
              <w:t>Common stock issued under stock plans,</w:t>
            </w: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940" w:type="dxa"/>
            <w:vAlign w:val="bottom"/>
          </w:tcPr>
          <w:p>
            <w:pPr>
              <w:ind w:left="180"/>
              <w:spacing w:after="0"/>
              <w:rPr>
                <w:sz w:val="20"/>
                <w:szCs w:val="20"/>
                <w:color w:val="auto"/>
              </w:rPr>
            </w:pPr>
            <w:r>
              <w:rPr>
                <w:rFonts w:ascii="Arial" w:cs="Arial" w:eastAsia="Arial" w:hAnsi="Arial"/>
                <w:sz w:val="18"/>
                <w:szCs w:val="18"/>
                <w:color w:val="auto"/>
              </w:rPr>
              <w:t>net of shares withheld for employee taxes</w:t>
            </w:r>
          </w:p>
        </w:tc>
        <w:tc>
          <w:tcPr>
            <w:tcW w:w="1040" w:type="dxa"/>
            <w:vAlign w:val="bottom"/>
          </w:tcPr>
          <w:p>
            <w:pPr>
              <w:jc w:val="right"/>
              <w:spacing w:after="0"/>
              <w:rPr>
                <w:sz w:val="20"/>
                <w:szCs w:val="20"/>
                <w:color w:val="auto"/>
              </w:rPr>
            </w:pPr>
            <w:r>
              <w:rPr>
                <w:rFonts w:ascii="Arial" w:cs="Arial" w:eastAsia="Arial" w:hAnsi="Arial"/>
                <w:sz w:val="18"/>
                <w:szCs w:val="18"/>
                <w:color w:val="auto"/>
              </w:rPr>
              <w:t>62</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(373)</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(373)</w:t>
            </w:r>
          </w:p>
        </w:tc>
        <w:tc>
          <w:tcPr>
            <w:tcW w:w="0" w:type="dxa"/>
            <w:vAlign w:val="bottom"/>
          </w:tcPr>
          <w:p>
            <w:pPr>
              <w:spacing w:after="0"/>
              <w:rPr>
                <w:sz w:val="1"/>
                <w:szCs w:val="1"/>
                <w:color w:val="auto"/>
              </w:rPr>
            </w:pPr>
          </w:p>
        </w:tc>
      </w:tr>
      <w:tr>
        <w:trPr>
          <w:trHeight w:val="229"/>
        </w:trPr>
        <w:tc>
          <w:tcPr>
            <w:tcW w:w="4940" w:type="dxa"/>
            <w:vAlign w:val="bottom"/>
            <w:shd w:val="clear" w:color="auto" w:fill="CFF0FC"/>
          </w:tcPr>
          <w:p>
            <w:pPr>
              <w:spacing w:after="0"/>
              <w:rPr>
                <w:sz w:val="20"/>
                <w:szCs w:val="20"/>
                <w:color w:val="auto"/>
              </w:rPr>
            </w:pPr>
            <w:r>
              <w:rPr>
                <w:rFonts w:ascii="Arial" w:cs="Arial" w:eastAsia="Arial" w:hAnsi="Arial"/>
                <w:sz w:val="18"/>
                <w:szCs w:val="18"/>
                <w:color w:val="auto"/>
              </w:rPr>
              <w:t>Repurchase of common stock</w:t>
            </w:r>
          </w:p>
        </w:tc>
        <w:tc>
          <w:tcPr>
            <w:tcW w:w="12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(438)</w:t>
            </w:r>
          </w:p>
        </w:tc>
        <w:tc>
          <w:tcPr>
            <w:tcW w:w="18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(9,876)</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(9,876)</w:t>
            </w:r>
          </w:p>
        </w:tc>
        <w:tc>
          <w:tcPr>
            <w:tcW w:w="0" w:type="dxa"/>
            <w:vAlign w:val="bottom"/>
          </w:tcPr>
          <w:p>
            <w:pPr>
              <w:spacing w:after="0"/>
              <w:rPr>
                <w:sz w:val="1"/>
                <w:szCs w:val="1"/>
                <w:color w:val="auto"/>
              </w:rPr>
            </w:pPr>
          </w:p>
        </w:tc>
      </w:tr>
      <w:tr>
        <w:trPr>
          <w:trHeight w:val="263"/>
        </w:trPr>
        <w:tc>
          <w:tcPr>
            <w:tcW w:w="49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Balance at March 31, 2020</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32,003</w:t>
            </w:r>
          </w:p>
        </w:tc>
        <w:tc>
          <w:tcPr>
            <w:tcW w:w="240" w:type="dxa"/>
            <w:vAlign w:val="bottom"/>
            <w:tcBorders>
              <w:bottom w:val="single" w:sz="8" w:color="CFF0FC"/>
            </w:tcBorders>
          </w:tcPr>
          <w:p>
            <w:pPr>
              <w:spacing w:after="0"/>
              <w:rPr>
                <w:sz w:val="22"/>
                <w:szCs w:val="22"/>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280,322</w:t>
            </w:r>
          </w:p>
        </w:tc>
        <w:tc>
          <w:tcPr>
            <w:tcW w:w="140" w:type="dxa"/>
            <w:vAlign w:val="bottom"/>
            <w:tcBorders>
              <w:bottom w:val="single" w:sz="8" w:color="CFF0FC"/>
            </w:tcBorders>
          </w:tcPr>
          <w:p>
            <w:pPr>
              <w:spacing w:after="0"/>
              <w:rPr>
                <w:sz w:val="22"/>
                <w:szCs w:val="22"/>
                <w:color w:val="auto"/>
              </w:rPr>
            </w:pPr>
          </w:p>
        </w:tc>
        <w:tc>
          <w:tcPr>
            <w:tcW w:w="80" w:type="dxa"/>
            <w:vAlign w:val="bottom"/>
            <w:tcBorders>
              <w:bottom w:val="single" w:sz="8" w:color="CFF0FC"/>
            </w:tcBorders>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55,235</w:t>
            </w:r>
          </w:p>
        </w:tc>
        <w:tc>
          <w:tcPr>
            <w:tcW w:w="220" w:type="dxa"/>
            <w:vAlign w:val="bottom"/>
            <w:tcBorders>
              <w:bottom w:val="single" w:sz="8" w:color="CFF0FC"/>
            </w:tcBorders>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(141)</w:t>
            </w:r>
          </w:p>
        </w:tc>
        <w:tc>
          <w:tcPr>
            <w:tcW w:w="220" w:type="dxa"/>
            <w:vAlign w:val="bottom"/>
            <w:tcBorders>
              <w:bottom w:val="single" w:sz="8" w:color="CFF0FC"/>
            </w:tcBorders>
          </w:tcPr>
          <w:p>
            <w:pPr>
              <w:spacing w:after="0"/>
              <w:rPr>
                <w:sz w:val="22"/>
                <w:szCs w:val="22"/>
                <w:color w:val="auto"/>
              </w:rPr>
            </w:pPr>
          </w:p>
        </w:tc>
        <w:tc>
          <w:tcPr>
            <w:tcW w:w="20" w:type="dxa"/>
            <w:vAlign w:val="bottom"/>
            <w:tcBorders>
              <w:bottom w:val="single" w:sz="8" w:color="CFF0FC"/>
            </w:tcBorders>
          </w:tcPr>
          <w:p>
            <w:pPr>
              <w:spacing w:after="0"/>
              <w:rPr>
                <w:sz w:val="22"/>
                <w:szCs w:val="22"/>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335,416</w:t>
            </w:r>
          </w:p>
        </w:tc>
        <w:tc>
          <w:tcPr>
            <w:tcW w:w="10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4940" w:type="dxa"/>
            <w:vAlign w:val="bottom"/>
            <w:shd w:val="clear" w:color="auto" w:fill="CFF0FC"/>
          </w:tcPr>
          <w:p>
            <w:pPr>
              <w:spacing w:after="0"/>
              <w:rPr>
                <w:sz w:val="20"/>
                <w:szCs w:val="20"/>
                <w:color w:val="auto"/>
              </w:rPr>
            </w:pPr>
            <w:r>
              <w:rPr>
                <w:rFonts w:ascii="Arial" w:cs="Arial" w:eastAsia="Arial" w:hAnsi="Arial"/>
                <w:sz w:val="18"/>
                <w:szCs w:val="18"/>
                <w:color w:val="auto"/>
              </w:rPr>
              <w:t>Net income</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3,442</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3,442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940" w:type="dxa"/>
            <w:vAlign w:val="bottom"/>
          </w:tcPr>
          <w:p>
            <w:pPr>
              <w:spacing w:after="0"/>
              <w:rPr>
                <w:sz w:val="20"/>
                <w:szCs w:val="20"/>
                <w:color w:val="auto"/>
              </w:rPr>
            </w:pPr>
            <w:r>
              <w:rPr>
                <w:rFonts w:ascii="Arial" w:cs="Arial" w:eastAsia="Arial" w:hAnsi="Arial"/>
                <w:sz w:val="18"/>
                <w:szCs w:val="18"/>
                <w:color w:val="auto"/>
              </w:rPr>
              <w:t>Comprehensive income</w:t>
            </w: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142</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142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40" w:type="dxa"/>
            <w:vAlign w:val="bottom"/>
            <w:shd w:val="clear" w:color="auto" w:fill="CFF0FC"/>
          </w:tcPr>
          <w:p>
            <w:pPr>
              <w:spacing w:after="0"/>
              <w:rPr>
                <w:sz w:val="20"/>
                <w:szCs w:val="20"/>
                <w:color w:val="auto"/>
              </w:rPr>
            </w:pPr>
            <w:r>
              <w:rPr>
                <w:rFonts w:ascii="Arial" w:cs="Arial" w:eastAsia="Arial" w:hAnsi="Arial"/>
                <w:sz w:val="18"/>
                <w:szCs w:val="18"/>
                <w:color w:val="auto"/>
              </w:rPr>
              <w:t>Stock based compensation</w:t>
            </w:r>
          </w:p>
        </w:tc>
        <w:tc>
          <w:tcPr>
            <w:tcW w:w="12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557</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4940" w:type="dxa"/>
            <w:vAlign w:val="bottom"/>
          </w:tcPr>
          <w:p>
            <w:pPr>
              <w:spacing w:after="0"/>
              <w:rPr>
                <w:sz w:val="20"/>
                <w:szCs w:val="20"/>
                <w:color w:val="auto"/>
              </w:rPr>
            </w:pPr>
            <w:r>
              <w:rPr>
                <w:rFonts w:ascii="Arial" w:cs="Arial" w:eastAsia="Arial" w:hAnsi="Arial"/>
                <w:sz w:val="18"/>
                <w:szCs w:val="18"/>
                <w:color w:val="auto"/>
              </w:rPr>
              <w:t>Common stock issued under stock plans,</w:t>
            </w: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940" w:type="dxa"/>
            <w:vAlign w:val="bottom"/>
          </w:tcPr>
          <w:p>
            <w:pPr>
              <w:ind w:left="180"/>
              <w:spacing w:after="0"/>
              <w:rPr>
                <w:sz w:val="20"/>
                <w:szCs w:val="20"/>
                <w:color w:val="auto"/>
              </w:rPr>
            </w:pPr>
            <w:r>
              <w:rPr>
                <w:rFonts w:ascii="Arial" w:cs="Arial" w:eastAsia="Arial" w:hAnsi="Arial"/>
                <w:sz w:val="18"/>
                <w:szCs w:val="18"/>
                <w:color w:val="auto"/>
              </w:rPr>
              <w:t>net of shares withheld for employee taxes</w:t>
            </w: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940" w:type="dxa"/>
            <w:vAlign w:val="bottom"/>
            <w:shd w:val="clear" w:color="auto" w:fill="CFF0FC"/>
          </w:tcPr>
          <w:p>
            <w:pPr>
              <w:spacing w:after="0"/>
              <w:rPr>
                <w:sz w:val="20"/>
                <w:szCs w:val="20"/>
                <w:color w:val="auto"/>
              </w:rPr>
            </w:pPr>
            <w:r>
              <w:rPr>
                <w:rFonts w:ascii="Arial" w:cs="Arial" w:eastAsia="Arial" w:hAnsi="Arial"/>
                <w:sz w:val="18"/>
                <w:szCs w:val="18"/>
                <w:color w:val="auto"/>
              </w:rPr>
              <w:t>Repurchase of common stock</w:t>
            </w:r>
          </w:p>
        </w:tc>
        <w:tc>
          <w:tcPr>
            <w:tcW w:w="12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(6)</w:t>
            </w:r>
          </w:p>
        </w:tc>
        <w:tc>
          <w:tcPr>
            <w:tcW w:w="18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(133)</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223"/>
        </w:trPr>
        <w:tc>
          <w:tcPr>
            <w:tcW w:w="4940" w:type="dxa"/>
            <w:vAlign w:val="bottom"/>
          </w:tcPr>
          <w:p>
            <w:pPr>
              <w:spacing w:after="0"/>
              <w:rPr>
                <w:sz w:val="20"/>
                <w:szCs w:val="20"/>
                <w:color w:val="auto"/>
              </w:rPr>
            </w:pPr>
            <w:r>
              <w:rPr>
                <w:rFonts w:ascii="Arial" w:cs="Arial" w:eastAsia="Arial" w:hAnsi="Arial"/>
                <w:sz w:val="18"/>
                <w:szCs w:val="18"/>
                <w:color w:val="auto"/>
              </w:rPr>
              <w:t>Balance at June 30, 2020</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31,997</w:t>
            </w:r>
          </w:p>
        </w:tc>
        <w:tc>
          <w:tcPr>
            <w:tcW w:w="24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280,746</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58,677</w:t>
            </w:r>
          </w:p>
        </w:tc>
        <w:tc>
          <w:tcPr>
            <w:tcW w:w="2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339,424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94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See accompanying Notes to the Condensed Consolidated Financial Statements (unaudited).</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229235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HEALTHSTREAM,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SHAREHOLDERS' EQUITY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940" w:type="dxa"/>
            <w:vAlign w:val="bottom"/>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3580" w:type="dxa"/>
            <w:vAlign w:val="bottom"/>
            <w:tcBorders>
              <w:bottom w:val="single" w:sz="8" w:color="auto"/>
            </w:tcBorders>
            <w:gridSpan w:val="9"/>
          </w:tcPr>
          <w:p>
            <w:pPr>
              <w:jc w:val="center"/>
              <w:ind w:right="300"/>
              <w:spacing w:after="0"/>
              <w:rPr>
                <w:sz w:val="20"/>
                <w:szCs w:val="20"/>
                <w:color w:val="auto"/>
              </w:rPr>
            </w:pPr>
            <w:r>
              <w:rPr>
                <w:rFonts w:ascii="Arial" w:cs="Arial" w:eastAsia="Arial" w:hAnsi="Arial"/>
                <w:sz w:val="14"/>
                <w:szCs w:val="14"/>
                <w:b w:val="1"/>
                <w:bCs w:val="1"/>
                <w:color w:val="auto"/>
                <w:w w:val="92"/>
              </w:rPr>
              <w:t>Six Months Ended June 30, 2019</w:t>
            </w: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49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gridSpan w:val="2"/>
          </w:tcPr>
          <w:p>
            <w:pPr>
              <w:jc w:val="center"/>
              <w:ind w:right="240"/>
              <w:spacing w:after="0" w:line="133" w:lineRule="exact"/>
              <w:rPr>
                <w:sz w:val="20"/>
                <w:szCs w:val="20"/>
                <w:color w:val="auto"/>
              </w:rPr>
            </w:pPr>
            <w:r>
              <w:rPr>
                <w:rFonts w:ascii="Arial" w:cs="Arial" w:eastAsia="Arial" w:hAnsi="Arial"/>
                <w:sz w:val="14"/>
                <w:szCs w:val="14"/>
                <w:b w:val="1"/>
                <w:bCs w:val="1"/>
                <w:color w:val="auto"/>
                <w:w w:val="93"/>
              </w:rPr>
              <w:t>Accumulated</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48"/>
        </w:trPr>
        <w:tc>
          <w:tcPr>
            <w:tcW w:w="4940" w:type="dxa"/>
            <w:vAlign w:val="bottom"/>
          </w:tcPr>
          <w:p>
            <w:pPr>
              <w:spacing w:after="0"/>
              <w:rPr>
                <w:sz w:val="12"/>
                <w:szCs w:val="12"/>
                <w:color w:val="auto"/>
              </w:rPr>
            </w:pPr>
          </w:p>
        </w:tc>
        <w:tc>
          <w:tcPr>
            <w:tcW w:w="2480" w:type="dxa"/>
            <w:vAlign w:val="bottom"/>
            <w:gridSpan w:val="5"/>
            <w:vMerge w:val="restart"/>
          </w:tcPr>
          <w:p>
            <w:pPr>
              <w:jc w:val="right"/>
              <w:ind w:right="840"/>
              <w:spacing w:after="0"/>
              <w:rPr>
                <w:sz w:val="20"/>
                <w:szCs w:val="20"/>
                <w:color w:val="auto"/>
              </w:rPr>
            </w:pPr>
            <w:r>
              <w:rPr>
                <w:rFonts w:ascii="Arial" w:cs="Arial" w:eastAsia="Arial" w:hAnsi="Arial"/>
                <w:sz w:val="14"/>
                <w:szCs w:val="14"/>
                <w:b w:val="1"/>
                <w:bCs w:val="1"/>
                <w:color w:val="auto"/>
              </w:rPr>
              <w:t>Common Stock</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gridSpan w:val="2"/>
            <w:vMerge w:val="restart"/>
          </w:tcPr>
          <w:p>
            <w:pPr>
              <w:jc w:val="center"/>
              <w:ind w:right="400"/>
              <w:spacing w:after="0"/>
              <w:rPr>
                <w:sz w:val="20"/>
                <w:szCs w:val="20"/>
                <w:color w:val="auto"/>
              </w:rPr>
            </w:pPr>
            <w:r>
              <w:rPr>
                <w:rFonts w:ascii="Arial" w:cs="Arial" w:eastAsia="Arial" w:hAnsi="Arial"/>
                <w:sz w:val="14"/>
                <w:szCs w:val="14"/>
                <w:b w:val="1"/>
                <w:bCs w:val="1"/>
                <w:color w:val="auto"/>
                <w:w w:val="94"/>
              </w:rPr>
              <w:t>Retained</w:t>
            </w:r>
          </w:p>
        </w:tc>
        <w:tc>
          <w:tcPr>
            <w:tcW w:w="100" w:type="dxa"/>
            <w:vAlign w:val="bottom"/>
          </w:tcPr>
          <w:p>
            <w:pPr>
              <w:spacing w:after="0"/>
              <w:rPr>
                <w:sz w:val="12"/>
                <w:szCs w:val="12"/>
                <w:color w:val="auto"/>
              </w:rPr>
            </w:pPr>
          </w:p>
        </w:tc>
        <w:tc>
          <w:tcPr>
            <w:tcW w:w="11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6"/>
              </w:rPr>
              <w:t>Other</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940" w:type="dxa"/>
            <w:vAlign w:val="bottom"/>
          </w:tcPr>
          <w:p>
            <w:pPr>
              <w:spacing w:after="0"/>
              <w:rPr>
                <w:sz w:val="14"/>
                <w:szCs w:val="14"/>
                <w:color w:val="auto"/>
              </w:rPr>
            </w:pPr>
          </w:p>
        </w:tc>
        <w:tc>
          <w:tcPr>
            <w:tcW w:w="2480" w:type="dxa"/>
            <w:vAlign w:val="bottom"/>
            <w:gridSpan w:val="5"/>
            <w:vMerge w:val="continue"/>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120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1"/>
              </w:rPr>
              <w:t>Comprehensive</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Shareholders’</w:t>
            </w:r>
          </w:p>
        </w:tc>
        <w:tc>
          <w:tcPr>
            <w:tcW w:w="0" w:type="dxa"/>
            <w:vAlign w:val="bottom"/>
          </w:tcPr>
          <w:p>
            <w:pPr>
              <w:spacing w:after="0"/>
              <w:rPr>
                <w:sz w:val="1"/>
                <w:szCs w:val="1"/>
                <w:color w:val="auto"/>
              </w:rPr>
            </w:pPr>
          </w:p>
        </w:tc>
      </w:tr>
      <w:tr>
        <w:trPr>
          <w:trHeight w:val="155"/>
        </w:trPr>
        <w:tc>
          <w:tcPr>
            <w:tcW w:w="4940" w:type="dxa"/>
            <w:vAlign w:val="bottom"/>
            <w:vMerge w:val="restart"/>
          </w:tcPr>
          <w:p>
            <w:pPr>
              <w:spacing w:after="0"/>
              <w:rPr>
                <w:sz w:val="20"/>
                <w:szCs w:val="20"/>
                <w:color w:val="auto"/>
              </w:rPr>
            </w:pPr>
            <w:r>
              <w:rPr>
                <w:rFonts w:ascii="Arial" w:cs="Arial" w:eastAsia="Arial" w:hAnsi="Arial"/>
                <w:sz w:val="18"/>
                <w:szCs w:val="18"/>
                <w:color w:val="auto"/>
              </w:rPr>
              <w:t>Balance at December 31, 2018</w:t>
            </w:r>
          </w:p>
        </w:tc>
        <w:tc>
          <w:tcPr>
            <w:tcW w:w="1280" w:type="dxa"/>
            <w:vAlign w:val="bottom"/>
            <w:tcBorders>
              <w:top w:val="single" w:sz="8" w:color="auto"/>
            </w:tcBorders>
            <w:gridSpan w:val="2"/>
          </w:tcPr>
          <w:p>
            <w:pPr>
              <w:jc w:val="right"/>
              <w:ind w:right="560"/>
              <w:spacing w:after="0" w:line="155" w:lineRule="exact"/>
              <w:rPr>
                <w:sz w:val="20"/>
                <w:szCs w:val="20"/>
                <w:color w:val="auto"/>
              </w:rPr>
            </w:pPr>
            <w:r>
              <w:rPr>
                <w:rFonts w:ascii="Arial" w:cs="Arial" w:eastAsia="Arial" w:hAnsi="Arial"/>
                <w:sz w:val="14"/>
                <w:szCs w:val="14"/>
                <w:b w:val="1"/>
                <w:bCs w:val="1"/>
                <w:color w:val="auto"/>
              </w:rPr>
              <w:t>Shares</w:t>
            </w:r>
          </w:p>
        </w:tc>
        <w:tc>
          <w:tcPr>
            <w:tcW w:w="18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jc w:val="right"/>
              <w:ind w:right="213"/>
              <w:spacing w:after="0" w:line="155" w:lineRule="exact"/>
              <w:rPr>
                <w:sz w:val="20"/>
                <w:szCs w:val="20"/>
                <w:color w:val="auto"/>
              </w:rPr>
            </w:pPr>
            <w:r>
              <w:rPr>
                <w:rFonts w:ascii="Arial" w:cs="Arial" w:eastAsia="Arial" w:hAnsi="Arial"/>
                <w:sz w:val="14"/>
                <w:szCs w:val="14"/>
                <w:b w:val="1"/>
                <w:bCs w:val="1"/>
                <w:color w:val="auto"/>
              </w:rPr>
              <w:t>Amount</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20" w:type="dxa"/>
            <w:vAlign w:val="bottom"/>
            <w:gridSpan w:val="2"/>
          </w:tcPr>
          <w:p>
            <w:pPr>
              <w:jc w:val="center"/>
              <w:ind w:right="400"/>
              <w:spacing w:after="0" w:line="155" w:lineRule="exact"/>
              <w:rPr>
                <w:sz w:val="20"/>
                <w:szCs w:val="20"/>
                <w:color w:val="auto"/>
              </w:rPr>
            </w:pPr>
            <w:r>
              <w:rPr>
                <w:rFonts w:ascii="Arial" w:cs="Arial" w:eastAsia="Arial" w:hAnsi="Arial"/>
                <w:sz w:val="14"/>
                <w:szCs w:val="14"/>
                <w:b w:val="1"/>
                <w:bCs w:val="1"/>
                <w:color w:val="auto"/>
                <w:w w:val="93"/>
              </w:rPr>
              <w:t>Earnings</w:t>
            </w:r>
          </w:p>
        </w:tc>
        <w:tc>
          <w:tcPr>
            <w:tcW w:w="1200" w:type="dxa"/>
            <w:vAlign w:val="bottom"/>
            <w:gridSpan w:val="3"/>
          </w:tcPr>
          <w:p>
            <w:pPr>
              <w:jc w:val="center"/>
              <w:ind w:right="160"/>
              <w:spacing w:after="0" w:line="155" w:lineRule="exact"/>
              <w:rPr>
                <w:sz w:val="20"/>
                <w:szCs w:val="20"/>
                <w:color w:val="auto"/>
              </w:rPr>
            </w:pPr>
            <w:r>
              <w:rPr>
                <w:rFonts w:ascii="Arial" w:cs="Arial" w:eastAsia="Arial" w:hAnsi="Arial"/>
                <w:sz w:val="14"/>
                <w:szCs w:val="14"/>
                <w:b w:val="1"/>
                <w:bCs w:val="1"/>
                <w:color w:val="auto"/>
                <w:w w:val="92"/>
              </w:rPr>
              <w:t>(Loss) Income</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gridSpan w:val="2"/>
          </w:tcPr>
          <w:p>
            <w:pPr>
              <w:jc w:val="center"/>
              <w:ind w:right="220"/>
              <w:spacing w:after="0" w:line="155" w:lineRule="exact"/>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223"/>
        </w:trPr>
        <w:tc>
          <w:tcPr>
            <w:tcW w:w="4940" w:type="dxa"/>
            <w:vAlign w:val="bottom"/>
            <w:vMerge w:val="continue"/>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32,325</w:t>
            </w:r>
          </w:p>
        </w:tc>
        <w:tc>
          <w:tcPr>
            <w:tcW w:w="240" w:type="dxa"/>
            <w:vAlign w:val="bottom"/>
          </w:tcPr>
          <w:p>
            <w:pPr>
              <w:spacing w:after="0"/>
              <w:rPr>
                <w:sz w:val="19"/>
                <w:szCs w:val="19"/>
                <w:color w:val="auto"/>
              </w:rPr>
            </w:pPr>
          </w:p>
        </w:tc>
        <w:tc>
          <w:tcPr>
            <w:tcW w:w="180" w:type="dxa"/>
            <w:vAlign w:val="bottom"/>
            <w:tcBorders>
              <w:top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286,597</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32,373</w:t>
            </w:r>
          </w:p>
        </w:tc>
        <w:tc>
          <w:tcPr>
            <w:tcW w:w="22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318,947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40" w:type="dxa"/>
            <w:vAlign w:val="bottom"/>
            <w:shd w:val="clear" w:color="auto" w:fill="CFF0FC"/>
          </w:tcPr>
          <w:p>
            <w:pPr>
              <w:spacing w:after="0"/>
              <w:rPr>
                <w:sz w:val="20"/>
                <w:szCs w:val="20"/>
                <w:color w:val="auto"/>
              </w:rPr>
            </w:pPr>
            <w:r>
              <w:rPr>
                <w:rFonts w:ascii="Arial" w:cs="Arial" w:eastAsia="Arial" w:hAnsi="Arial"/>
                <w:sz w:val="18"/>
                <w:szCs w:val="18"/>
                <w:color w:val="auto"/>
              </w:rPr>
              <w:t>Net income</w:t>
            </w:r>
          </w:p>
        </w:tc>
        <w:tc>
          <w:tcPr>
            <w:tcW w:w="12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5,974</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5,974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40" w:type="dxa"/>
            <w:vAlign w:val="bottom"/>
          </w:tcPr>
          <w:p>
            <w:pPr>
              <w:spacing w:after="0"/>
              <w:rPr>
                <w:sz w:val="20"/>
                <w:szCs w:val="20"/>
                <w:color w:val="auto"/>
              </w:rPr>
            </w:pPr>
            <w:r>
              <w:rPr>
                <w:rFonts w:ascii="Arial" w:cs="Arial" w:eastAsia="Arial" w:hAnsi="Arial"/>
                <w:sz w:val="18"/>
                <w:szCs w:val="18"/>
                <w:color w:val="auto"/>
              </w:rPr>
              <w:t>Comprehensive income</w:t>
            </w: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32</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40" w:type="dxa"/>
            <w:vAlign w:val="bottom"/>
            <w:shd w:val="clear" w:color="auto" w:fill="CFF0FC"/>
          </w:tcPr>
          <w:p>
            <w:pPr>
              <w:spacing w:after="0"/>
              <w:rPr>
                <w:sz w:val="20"/>
                <w:szCs w:val="20"/>
                <w:color w:val="auto"/>
              </w:rPr>
            </w:pPr>
            <w:r>
              <w:rPr>
                <w:rFonts w:ascii="Arial" w:cs="Arial" w:eastAsia="Arial" w:hAnsi="Arial"/>
                <w:sz w:val="18"/>
                <w:szCs w:val="18"/>
                <w:color w:val="auto"/>
              </w:rPr>
              <w:t>Stock based compensation</w:t>
            </w:r>
          </w:p>
        </w:tc>
        <w:tc>
          <w:tcPr>
            <w:tcW w:w="12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516</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4940" w:type="dxa"/>
            <w:vAlign w:val="bottom"/>
          </w:tcPr>
          <w:p>
            <w:pPr>
              <w:spacing w:after="0"/>
              <w:rPr>
                <w:sz w:val="20"/>
                <w:szCs w:val="20"/>
                <w:color w:val="auto"/>
              </w:rPr>
            </w:pPr>
            <w:r>
              <w:rPr>
                <w:rFonts w:ascii="Arial" w:cs="Arial" w:eastAsia="Arial" w:hAnsi="Arial"/>
                <w:sz w:val="18"/>
                <w:szCs w:val="18"/>
                <w:color w:val="auto"/>
              </w:rPr>
              <w:t>Common stock issued under stock plans,</w:t>
            </w: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940" w:type="dxa"/>
            <w:vAlign w:val="bottom"/>
          </w:tcPr>
          <w:p>
            <w:pPr>
              <w:ind w:left="180"/>
              <w:spacing w:after="0"/>
              <w:rPr>
                <w:sz w:val="20"/>
                <w:szCs w:val="20"/>
                <w:color w:val="auto"/>
              </w:rPr>
            </w:pPr>
            <w:r>
              <w:rPr>
                <w:rFonts w:ascii="Arial" w:cs="Arial" w:eastAsia="Arial" w:hAnsi="Arial"/>
                <w:sz w:val="18"/>
                <w:szCs w:val="18"/>
                <w:color w:val="auto"/>
              </w:rPr>
              <w:t>net of shares withheld for employee taxes</w:t>
            </w:r>
          </w:p>
        </w:tc>
        <w:tc>
          <w:tcPr>
            <w:tcW w:w="1040" w:type="dxa"/>
            <w:vAlign w:val="bottom"/>
          </w:tcPr>
          <w:p>
            <w:pPr>
              <w:jc w:val="right"/>
              <w:spacing w:after="0"/>
              <w:rPr>
                <w:sz w:val="20"/>
                <w:szCs w:val="20"/>
                <w:color w:val="auto"/>
              </w:rPr>
            </w:pPr>
            <w:r>
              <w:rPr>
                <w:rFonts w:ascii="Arial" w:cs="Arial" w:eastAsia="Arial" w:hAnsi="Arial"/>
                <w:sz w:val="18"/>
                <w:szCs w:val="18"/>
                <w:color w:val="auto"/>
              </w:rPr>
              <w:t>63</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(328)</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(328)</w:t>
            </w:r>
          </w:p>
        </w:tc>
        <w:tc>
          <w:tcPr>
            <w:tcW w:w="0" w:type="dxa"/>
            <w:vAlign w:val="bottom"/>
          </w:tcPr>
          <w:p>
            <w:pPr>
              <w:spacing w:after="0"/>
              <w:rPr>
                <w:sz w:val="1"/>
                <w:szCs w:val="1"/>
                <w:color w:val="auto"/>
              </w:rPr>
            </w:pPr>
          </w:p>
        </w:tc>
      </w:tr>
      <w:tr>
        <w:trPr>
          <w:trHeight w:val="223"/>
        </w:trPr>
        <w:tc>
          <w:tcPr>
            <w:tcW w:w="49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at March 31, 2019</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32,388</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286,785</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38,347</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325,141</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940" w:type="dxa"/>
            <w:vAlign w:val="bottom"/>
            <w:vMerge w:val="restart"/>
          </w:tcPr>
          <w:p>
            <w:pPr>
              <w:spacing w:after="0"/>
              <w:rPr>
                <w:sz w:val="20"/>
                <w:szCs w:val="20"/>
                <w:color w:val="auto"/>
              </w:rPr>
            </w:pPr>
            <w:r>
              <w:rPr>
                <w:rFonts w:ascii="Arial" w:cs="Arial" w:eastAsia="Arial" w:hAnsi="Arial"/>
                <w:sz w:val="18"/>
                <w:szCs w:val="18"/>
                <w:color w:val="auto"/>
              </w:rPr>
              <w:t>Net income</w:t>
            </w:r>
          </w:p>
        </w:tc>
        <w:tc>
          <w:tcPr>
            <w:tcW w:w="12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940" w:type="dxa"/>
            <w:vAlign w:val="bottom"/>
            <w:vMerge w:val="continue"/>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2,401</w:t>
            </w: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2,401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940" w:type="dxa"/>
            <w:vAlign w:val="bottom"/>
            <w:shd w:val="clear" w:color="auto" w:fill="CFF0FC"/>
          </w:tcPr>
          <w:p>
            <w:pPr>
              <w:spacing w:after="0"/>
              <w:rPr>
                <w:sz w:val="20"/>
                <w:szCs w:val="20"/>
                <w:color w:val="auto"/>
              </w:rPr>
            </w:pPr>
            <w:r>
              <w:rPr>
                <w:rFonts w:ascii="Arial" w:cs="Arial" w:eastAsia="Arial" w:hAnsi="Arial"/>
                <w:sz w:val="18"/>
                <w:szCs w:val="18"/>
                <w:color w:val="auto"/>
              </w:rPr>
              <w:t>Comprehensive income</w:t>
            </w:r>
          </w:p>
        </w:tc>
        <w:tc>
          <w:tcPr>
            <w:tcW w:w="12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40" w:type="dxa"/>
            <w:vAlign w:val="bottom"/>
          </w:tcPr>
          <w:p>
            <w:pPr>
              <w:spacing w:after="0"/>
              <w:rPr>
                <w:sz w:val="20"/>
                <w:szCs w:val="20"/>
                <w:color w:val="auto"/>
              </w:rPr>
            </w:pPr>
            <w:r>
              <w:rPr>
                <w:rFonts w:ascii="Arial" w:cs="Arial" w:eastAsia="Arial" w:hAnsi="Arial"/>
                <w:sz w:val="18"/>
                <w:szCs w:val="18"/>
                <w:color w:val="auto"/>
              </w:rPr>
              <w:t>Stock donated to Company (held in treasury)</w:t>
            </w: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(86)</w:t>
            </w:r>
          </w:p>
        </w:tc>
        <w:tc>
          <w:tcPr>
            <w:tcW w:w="18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940" w:type="dxa"/>
            <w:vAlign w:val="bottom"/>
            <w:shd w:val="clear" w:color="auto" w:fill="CFF0FC"/>
          </w:tcPr>
          <w:p>
            <w:pPr>
              <w:spacing w:after="0"/>
              <w:rPr>
                <w:sz w:val="20"/>
                <w:szCs w:val="20"/>
                <w:color w:val="auto"/>
              </w:rPr>
            </w:pPr>
            <w:r>
              <w:rPr>
                <w:rFonts w:ascii="Arial" w:cs="Arial" w:eastAsia="Arial" w:hAnsi="Arial"/>
                <w:sz w:val="18"/>
                <w:szCs w:val="18"/>
                <w:color w:val="auto"/>
              </w:rPr>
              <w:t>Stock based compensation</w:t>
            </w:r>
          </w:p>
        </w:tc>
        <w:tc>
          <w:tcPr>
            <w:tcW w:w="12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2,558</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2,558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4940" w:type="dxa"/>
            <w:vAlign w:val="bottom"/>
          </w:tcPr>
          <w:p>
            <w:pPr>
              <w:spacing w:after="0"/>
              <w:rPr>
                <w:sz w:val="20"/>
                <w:szCs w:val="20"/>
                <w:color w:val="auto"/>
              </w:rPr>
            </w:pPr>
            <w:r>
              <w:rPr>
                <w:rFonts w:ascii="Arial" w:cs="Arial" w:eastAsia="Arial" w:hAnsi="Arial"/>
                <w:sz w:val="18"/>
                <w:szCs w:val="18"/>
                <w:color w:val="auto"/>
              </w:rPr>
              <w:t>Common stock issued under stock plans,</w:t>
            </w: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940" w:type="dxa"/>
            <w:vAlign w:val="bottom"/>
          </w:tcPr>
          <w:p>
            <w:pPr>
              <w:ind w:left="180"/>
              <w:spacing w:after="0"/>
              <w:rPr>
                <w:sz w:val="20"/>
                <w:szCs w:val="20"/>
                <w:color w:val="auto"/>
              </w:rPr>
            </w:pPr>
            <w:r>
              <w:rPr>
                <w:rFonts w:ascii="Arial" w:cs="Arial" w:eastAsia="Arial" w:hAnsi="Arial"/>
                <w:sz w:val="18"/>
                <w:szCs w:val="18"/>
                <w:color w:val="auto"/>
              </w:rPr>
              <w:t>net of shares withheld for employee taxes</w:t>
            </w:r>
          </w:p>
        </w:tc>
        <w:tc>
          <w:tcPr>
            <w:tcW w:w="1040" w:type="dxa"/>
            <w:vAlign w:val="bottom"/>
          </w:tcPr>
          <w:p>
            <w:pPr>
              <w:jc w:val="right"/>
              <w:spacing w:after="0"/>
              <w:rPr>
                <w:sz w:val="20"/>
                <w:szCs w:val="20"/>
                <w:color w:val="auto"/>
              </w:rPr>
            </w:pPr>
            <w:r>
              <w:rPr>
                <w:rFonts w:ascii="Arial" w:cs="Arial" w:eastAsia="Arial" w:hAnsi="Arial"/>
                <w:sz w:val="18"/>
                <w:szCs w:val="18"/>
                <w:color w:val="auto"/>
              </w:rPr>
              <w:t>72</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(443)</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(443)</w:t>
            </w:r>
          </w:p>
        </w:tc>
        <w:tc>
          <w:tcPr>
            <w:tcW w:w="0" w:type="dxa"/>
            <w:vAlign w:val="bottom"/>
          </w:tcPr>
          <w:p>
            <w:pPr>
              <w:spacing w:after="0"/>
              <w:rPr>
                <w:sz w:val="1"/>
                <w:szCs w:val="1"/>
                <w:color w:val="auto"/>
              </w:rPr>
            </w:pPr>
          </w:p>
        </w:tc>
      </w:tr>
      <w:tr>
        <w:trPr>
          <w:trHeight w:val="223"/>
        </w:trPr>
        <w:tc>
          <w:tcPr>
            <w:tcW w:w="49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at June 30, 2019</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32,374</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288,900</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40,748</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329,671</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94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See accompanying Notes to the Condensed Consolidated Financial Statements (unaudited).</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229235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HEALTHSTREAM,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7720" w:type="dxa"/>
            <w:vAlign w:val="bottom"/>
          </w:tcPr>
          <w:p>
            <w:pPr>
              <w:spacing w:after="0"/>
              <w:rPr>
                <w:sz w:val="19"/>
                <w:szCs w:val="19"/>
                <w:color w:val="auto"/>
              </w:rPr>
            </w:pPr>
          </w:p>
        </w:tc>
        <w:tc>
          <w:tcPr>
            <w:tcW w:w="2820" w:type="dxa"/>
            <w:vAlign w:val="bottom"/>
            <w:tcBorders>
              <w:bottom w:val="single" w:sz="8" w:color="auto"/>
            </w:tcBorders>
            <w:gridSpan w:val="4"/>
          </w:tcPr>
          <w:p>
            <w:pPr>
              <w:jc w:val="right"/>
              <w:ind w:right="35"/>
              <w:spacing w:after="0"/>
              <w:rPr>
                <w:sz w:val="20"/>
                <w:szCs w:val="20"/>
                <w:color w:val="auto"/>
              </w:rPr>
            </w:pPr>
            <w:r>
              <w:rPr>
                <w:rFonts w:ascii="Arial" w:cs="Arial" w:eastAsia="Arial" w:hAnsi="Arial"/>
                <w:sz w:val="17"/>
                <w:szCs w:val="17"/>
                <w:b w:val="1"/>
                <w:bCs w:val="1"/>
                <w:color w:val="auto"/>
              </w:rPr>
              <w:t>Six Months Ended June 30,</w:t>
            </w:r>
          </w:p>
        </w:tc>
        <w:tc>
          <w:tcPr>
            <w:tcW w:w="6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2"/>
        </w:trPr>
        <w:tc>
          <w:tcPr>
            <w:tcW w:w="7720" w:type="dxa"/>
            <w:vAlign w:val="bottom"/>
            <w:tcBorders>
              <w:bottom w:val="single" w:sz="8" w:color="CFF0FC"/>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2020</w:t>
            </w:r>
          </w:p>
        </w:tc>
        <w:tc>
          <w:tcPr>
            <w:tcW w:w="580" w:type="dxa"/>
            <w:vAlign w:val="bottom"/>
            <w:tcBorders>
              <w:bottom w:val="single" w:sz="8" w:color="auto"/>
            </w:tcBorders>
          </w:tcPr>
          <w:p>
            <w:pPr>
              <w:spacing w:after="0"/>
              <w:rPr>
                <w:sz w:val="18"/>
                <w:szCs w:val="18"/>
                <w:color w:val="auto"/>
              </w:rPr>
            </w:pPr>
          </w:p>
        </w:tc>
        <w:tc>
          <w:tcPr>
            <w:tcW w:w="280" w:type="dxa"/>
            <w:vAlign w:val="bottom"/>
            <w:tcBorders>
              <w:bottom w:val="single" w:sz="8" w:color="CFF0FC"/>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2019</w:t>
            </w:r>
          </w:p>
        </w:tc>
        <w:tc>
          <w:tcPr>
            <w:tcW w:w="600" w:type="dxa"/>
            <w:vAlign w:val="bottom"/>
            <w:tcBorders>
              <w:bottom w:val="single" w:sz="8" w:color="auto"/>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r>
      <w:tr>
        <w:trPr>
          <w:trHeight w:val="209"/>
        </w:trPr>
        <w:tc>
          <w:tcPr>
            <w:tcW w:w="7720" w:type="dxa"/>
            <w:vAlign w:val="bottom"/>
            <w:shd w:val="clear" w:color="auto" w:fill="CFF0FC"/>
          </w:tcPr>
          <w:p>
            <w:pPr>
              <w:spacing w:after="0"/>
              <w:rPr>
                <w:sz w:val="20"/>
                <w:szCs w:val="20"/>
                <w:color w:val="auto"/>
              </w:rPr>
            </w:pPr>
            <w:r>
              <w:rPr>
                <w:rFonts w:ascii="Arial" w:cs="Arial" w:eastAsia="Arial" w:hAnsi="Arial"/>
                <w:sz w:val="17"/>
                <w:szCs w:val="17"/>
                <w:color w:val="auto"/>
              </w:rPr>
              <w:t>OPERATING ACTIVITIES:</w:t>
            </w:r>
          </w:p>
        </w:tc>
        <w:tc>
          <w:tcPr>
            <w:tcW w:w="98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spacing w:after="0"/>
              <w:rPr>
                <w:sz w:val="20"/>
                <w:szCs w:val="20"/>
                <w:color w:val="auto"/>
              </w:rPr>
            </w:pPr>
            <w:r>
              <w:rPr>
                <w:rFonts w:ascii="Arial" w:cs="Arial" w:eastAsia="Arial" w:hAnsi="Arial"/>
                <w:sz w:val="17"/>
                <w:szCs w:val="17"/>
                <w:color w:val="auto"/>
              </w:rPr>
              <w:t>Net income</w:t>
            </w:r>
          </w:p>
        </w:tc>
        <w:tc>
          <w:tcPr>
            <w:tcW w:w="980" w:type="dxa"/>
            <w:vAlign w:val="bottom"/>
          </w:tcPr>
          <w:p>
            <w:pPr>
              <w:jc w:val="right"/>
              <w:ind w:right="795"/>
              <w:spacing w:after="0"/>
              <w:rPr>
                <w:sz w:val="20"/>
                <w:szCs w:val="20"/>
                <w:color w:val="auto"/>
              </w:rPr>
            </w:pPr>
            <w:r>
              <w:rPr>
                <w:rFonts w:ascii="Arial" w:cs="Arial" w:eastAsia="Arial" w:hAnsi="Arial"/>
                <w:sz w:val="17"/>
                <w:szCs w:val="17"/>
                <w:color w:val="auto"/>
                <w:w w:val="84"/>
              </w:rPr>
              <w:t>$</w:t>
            </w:r>
          </w:p>
        </w:tc>
        <w:tc>
          <w:tcPr>
            <w:tcW w:w="580" w:type="dxa"/>
            <w:vAlign w:val="bottom"/>
          </w:tcPr>
          <w:p>
            <w:pPr>
              <w:jc w:val="right"/>
              <w:spacing w:after="0"/>
              <w:rPr>
                <w:sz w:val="20"/>
                <w:szCs w:val="20"/>
                <w:color w:val="auto"/>
              </w:rPr>
            </w:pPr>
            <w:r>
              <w:rPr>
                <w:rFonts w:ascii="Arial" w:cs="Arial" w:eastAsia="Arial" w:hAnsi="Arial"/>
                <w:sz w:val="17"/>
                <w:szCs w:val="17"/>
                <w:color w:val="auto"/>
              </w:rPr>
              <w:t>10,533</w:t>
            </w:r>
          </w:p>
        </w:tc>
        <w:tc>
          <w:tcPr>
            <w:tcW w:w="280" w:type="dxa"/>
            <w:vAlign w:val="bottom"/>
          </w:tcPr>
          <w:p>
            <w:pPr>
              <w:spacing w:after="0"/>
              <w:rPr>
                <w:sz w:val="18"/>
                <w:szCs w:val="18"/>
                <w:color w:val="auto"/>
              </w:rPr>
            </w:pPr>
          </w:p>
        </w:tc>
        <w:tc>
          <w:tcPr>
            <w:tcW w:w="980" w:type="dxa"/>
            <w:vAlign w:val="bottom"/>
          </w:tcPr>
          <w:p>
            <w:pPr>
              <w:jc w:val="right"/>
              <w:ind w:right="795"/>
              <w:spacing w:after="0"/>
              <w:rPr>
                <w:sz w:val="20"/>
                <w:szCs w:val="20"/>
                <w:color w:val="auto"/>
              </w:rPr>
            </w:pPr>
            <w:r>
              <w:rPr>
                <w:rFonts w:ascii="Arial" w:cs="Arial" w:eastAsia="Arial" w:hAnsi="Arial"/>
                <w:sz w:val="17"/>
                <w:szCs w:val="17"/>
                <w:color w:val="auto"/>
                <w:w w:val="84"/>
              </w:rPr>
              <w:t>$</w:t>
            </w:r>
          </w:p>
        </w:tc>
        <w:tc>
          <w:tcPr>
            <w:tcW w:w="600" w:type="dxa"/>
            <w:vAlign w:val="bottom"/>
          </w:tcPr>
          <w:p>
            <w:pPr>
              <w:jc w:val="right"/>
              <w:spacing w:after="0"/>
              <w:rPr>
                <w:sz w:val="20"/>
                <w:szCs w:val="20"/>
                <w:color w:val="auto"/>
              </w:rPr>
            </w:pPr>
            <w:r>
              <w:rPr>
                <w:rFonts w:ascii="Arial" w:cs="Arial" w:eastAsia="Arial" w:hAnsi="Arial"/>
                <w:sz w:val="17"/>
                <w:szCs w:val="17"/>
                <w:color w:val="auto"/>
              </w:rPr>
              <w:t>8,375</w:t>
            </w:r>
          </w:p>
        </w:tc>
        <w:tc>
          <w:tcPr>
            <w:tcW w:w="100" w:type="dxa"/>
            <w:vAlign w:val="bottom"/>
          </w:tcPr>
          <w:p>
            <w:pPr>
              <w:spacing w:after="0"/>
              <w:rPr>
                <w:sz w:val="18"/>
                <w:szCs w:val="18"/>
                <w:color w:val="auto"/>
              </w:rPr>
            </w:pPr>
          </w:p>
        </w:tc>
      </w:tr>
      <w:tr>
        <w:trPr>
          <w:trHeight w:val="216"/>
        </w:trPr>
        <w:tc>
          <w:tcPr>
            <w:tcW w:w="7720" w:type="dxa"/>
            <w:vAlign w:val="bottom"/>
            <w:shd w:val="clear" w:color="auto" w:fill="CFF0FC"/>
          </w:tcPr>
          <w:p>
            <w:pPr>
              <w:spacing w:after="0"/>
              <w:rPr>
                <w:sz w:val="20"/>
                <w:szCs w:val="20"/>
                <w:color w:val="auto"/>
              </w:rPr>
            </w:pPr>
            <w:r>
              <w:rPr>
                <w:rFonts w:ascii="Arial" w:cs="Arial" w:eastAsia="Arial" w:hAnsi="Arial"/>
                <w:sz w:val="17"/>
                <w:szCs w:val="17"/>
                <w:color w:val="auto"/>
              </w:rPr>
              <w:t>Income from discontinued operations</w:t>
            </w:r>
          </w:p>
        </w:tc>
        <w:tc>
          <w:tcPr>
            <w:tcW w:w="98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300"/>
              <w:spacing w:after="0"/>
              <w:rPr>
                <w:sz w:val="20"/>
                <w:szCs w:val="20"/>
                <w:color w:val="auto"/>
              </w:rPr>
            </w:pPr>
            <w:r>
              <w:rPr>
                <w:rFonts w:ascii="Arial" w:cs="Arial" w:eastAsia="Arial" w:hAnsi="Arial"/>
                <w:sz w:val="17"/>
                <w:szCs w:val="17"/>
                <w:color w:val="auto"/>
              </w:rPr>
              <w:t>—</w:t>
            </w:r>
          </w:p>
        </w:tc>
        <w:tc>
          <w:tcPr>
            <w:tcW w:w="980" w:type="dxa"/>
            <w:vAlign w:val="bottom"/>
            <w:shd w:val="clear" w:color="auto" w:fill="CFF0FC"/>
          </w:tcPr>
          <w:p>
            <w:pPr>
              <w:spacing w:after="0"/>
              <w:rPr>
                <w:sz w:val="18"/>
                <w:szCs w:val="18"/>
                <w:color w:val="auto"/>
              </w:rPr>
            </w:pPr>
          </w:p>
        </w:tc>
        <w:tc>
          <w:tcPr>
            <w:tcW w:w="70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(1,194)</w:t>
            </w:r>
          </w:p>
        </w:tc>
      </w:tr>
      <w:tr>
        <w:trPr>
          <w:trHeight w:val="216"/>
        </w:trPr>
        <w:tc>
          <w:tcPr>
            <w:tcW w:w="7720" w:type="dxa"/>
            <w:vAlign w:val="bottom"/>
          </w:tcPr>
          <w:p>
            <w:pPr>
              <w:spacing w:after="0"/>
              <w:rPr>
                <w:sz w:val="20"/>
                <w:szCs w:val="20"/>
                <w:color w:val="auto"/>
              </w:rPr>
            </w:pPr>
            <w:r>
              <w:rPr>
                <w:rFonts w:ascii="Arial" w:cs="Arial" w:eastAsia="Arial" w:hAnsi="Arial"/>
                <w:sz w:val="17"/>
                <w:szCs w:val="17"/>
                <w:color w:val="auto"/>
              </w:rPr>
              <w:t>Adjustments to reconcile net income to net cash provided by operating activities:</w:t>
            </w:r>
          </w:p>
        </w:tc>
        <w:tc>
          <w:tcPr>
            <w:tcW w:w="9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720" w:type="dxa"/>
            <w:vAlign w:val="bottom"/>
            <w:shd w:val="clear" w:color="auto" w:fill="CFF0FC"/>
          </w:tcPr>
          <w:p>
            <w:pPr>
              <w:ind w:left="260"/>
              <w:spacing w:after="0"/>
              <w:rPr>
                <w:sz w:val="20"/>
                <w:szCs w:val="20"/>
                <w:color w:val="auto"/>
              </w:rPr>
            </w:pPr>
            <w:r>
              <w:rPr>
                <w:rFonts w:ascii="Arial" w:cs="Arial" w:eastAsia="Arial" w:hAnsi="Arial"/>
                <w:sz w:val="17"/>
                <w:szCs w:val="17"/>
                <w:color w:val="auto"/>
              </w:rPr>
              <w:t>Depreciation and amortization</w:t>
            </w:r>
          </w:p>
        </w:tc>
        <w:tc>
          <w:tcPr>
            <w:tcW w:w="98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14,599</w:t>
            </w:r>
          </w:p>
        </w:tc>
        <w:tc>
          <w:tcPr>
            <w:tcW w:w="2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13,480</w:t>
            </w: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260"/>
              <w:spacing w:after="0"/>
              <w:rPr>
                <w:sz w:val="20"/>
                <w:szCs w:val="20"/>
                <w:color w:val="auto"/>
              </w:rPr>
            </w:pPr>
            <w:r>
              <w:rPr>
                <w:rFonts w:ascii="Arial" w:cs="Arial" w:eastAsia="Arial" w:hAnsi="Arial"/>
                <w:sz w:val="17"/>
                <w:szCs w:val="17"/>
                <w:color w:val="auto"/>
              </w:rPr>
              <w:t>Stock based compensation</w:t>
            </w:r>
          </w:p>
        </w:tc>
        <w:tc>
          <w:tcPr>
            <w:tcW w:w="9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1,107</w:t>
            </w: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3,074</w:t>
            </w:r>
          </w:p>
        </w:tc>
        <w:tc>
          <w:tcPr>
            <w:tcW w:w="100" w:type="dxa"/>
            <w:vAlign w:val="bottom"/>
          </w:tcPr>
          <w:p>
            <w:pPr>
              <w:spacing w:after="0"/>
              <w:rPr>
                <w:sz w:val="18"/>
                <w:szCs w:val="18"/>
                <w:color w:val="auto"/>
              </w:rPr>
            </w:pPr>
          </w:p>
        </w:tc>
      </w:tr>
      <w:tr>
        <w:trPr>
          <w:trHeight w:val="216"/>
        </w:trPr>
        <w:tc>
          <w:tcPr>
            <w:tcW w:w="7720" w:type="dxa"/>
            <w:vAlign w:val="bottom"/>
            <w:shd w:val="clear" w:color="auto" w:fill="CFF0FC"/>
          </w:tcPr>
          <w:p>
            <w:pPr>
              <w:ind w:left="260"/>
              <w:spacing w:after="0"/>
              <w:rPr>
                <w:sz w:val="20"/>
                <w:szCs w:val="20"/>
                <w:color w:val="auto"/>
              </w:rPr>
            </w:pPr>
            <w:r>
              <w:rPr>
                <w:rFonts w:ascii="Arial" w:cs="Arial" w:eastAsia="Arial" w:hAnsi="Arial"/>
                <w:sz w:val="17"/>
                <w:szCs w:val="17"/>
                <w:color w:val="auto"/>
              </w:rPr>
              <w:t>Amortization of deferred commissions</w:t>
            </w:r>
          </w:p>
        </w:tc>
        <w:tc>
          <w:tcPr>
            <w:tcW w:w="98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4,254</w:t>
            </w:r>
          </w:p>
        </w:tc>
        <w:tc>
          <w:tcPr>
            <w:tcW w:w="2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4,201</w:t>
            </w: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260"/>
              <w:spacing w:after="0"/>
              <w:rPr>
                <w:sz w:val="20"/>
                <w:szCs w:val="20"/>
                <w:color w:val="auto"/>
              </w:rPr>
            </w:pPr>
            <w:r>
              <w:rPr>
                <w:rFonts w:ascii="Arial" w:cs="Arial" w:eastAsia="Arial" w:hAnsi="Arial"/>
                <w:sz w:val="17"/>
                <w:szCs w:val="17"/>
                <w:color w:val="auto"/>
              </w:rPr>
              <w:t>Provision for doubtful accounts</w:t>
            </w:r>
          </w:p>
        </w:tc>
        <w:tc>
          <w:tcPr>
            <w:tcW w:w="9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351</w:t>
            </w: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48</w:t>
            </w:r>
          </w:p>
        </w:tc>
        <w:tc>
          <w:tcPr>
            <w:tcW w:w="100" w:type="dxa"/>
            <w:vAlign w:val="bottom"/>
          </w:tcPr>
          <w:p>
            <w:pPr>
              <w:spacing w:after="0"/>
              <w:rPr>
                <w:sz w:val="18"/>
                <w:szCs w:val="18"/>
                <w:color w:val="auto"/>
              </w:rPr>
            </w:pPr>
          </w:p>
        </w:tc>
      </w:tr>
      <w:tr>
        <w:trPr>
          <w:trHeight w:val="216"/>
        </w:trPr>
        <w:tc>
          <w:tcPr>
            <w:tcW w:w="7720" w:type="dxa"/>
            <w:vAlign w:val="bottom"/>
            <w:shd w:val="clear" w:color="auto" w:fill="CFF0FC"/>
          </w:tcPr>
          <w:p>
            <w:pPr>
              <w:ind w:left="260"/>
              <w:spacing w:after="0"/>
              <w:rPr>
                <w:sz w:val="20"/>
                <w:szCs w:val="20"/>
                <w:color w:val="auto"/>
              </w:rPr>
            </w:pPr>
            <w:r>
              <w:rPr>
                <w:rFonts w:ascii="Arial" w:cs="Arial" w:eastAsia="Arial" w:hAnsi="Arial"/>
                <w:sz w:val="17"/>
                <w:szCs w:val="17"/>
                <w:color w:val="auto"/>
              </w:rPr>
              <w:t>Deferred income taxes</w:t>
            </w:r>
          </w:p>
        </w:tc>
        <w:tc>
          <w:tcPr>
            <w:tcW w:w="98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2,427</w:t>
            </w:r>
          </w:p>
        </w:tc>
        <w:tc>
          <w:tcPr>
            <w:tcW w:w="2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2,066</w:t>
            </w: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260"/>
              <w:spacing w:after="0"/>
              <w:rPr>
                <w:sz w:val="20"/>
                <w:szCs w:val="20"/>
                <w:color w:val="auto"/>
              </w:rPr>
            </w:pPr>
            <w:r>
              <w:rPr>
                <w:rFonts w:ascii="Arial" w:cs="Arial" w:eastAsia="Arial" w:hAnsi="Arial"/>
                <w:sz w:val="17"/>
                <w:szCs w:val="17"/>
                <w:color w:val="auto"/>
              </w:rPr>
              <w:t>Loss (gain) on non-marketable equity investments</w:t>
            </w:r>
          </w:p>
        </w:tc>
        <w:tc>
          <w:tcPr>
            <w:tcW w:w="9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50</w:t>
            </w: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7"/>
                <w:szCs w:val="17"/>
                <w:color w:val="auto"/>
              </w:rPr>
              <w:t>(69)</w:t>
            </w:r>
          </w:p>
        </w:tc>
      </w:tr>
      <w:tr>
        <w:trPr>
          <w:trHeight w:val="216"/>
        </w:trPr>
        <w:tc>
          <w:tcPr>
            <w:tcW w:w="7720" w:type="dxa"/>
            <w:vAlign w:val="bottom"/>
            <w:shd w:val="clear" w:color="auto" w:fill="CFF0FC"/>
          </w:tcPr>
          <w:p>
            <w:pPr>
              <w:ind w:left="260"/>
              <w:spacing w:after="0"/>
              <w:rPr>
                <w:sz w:val="20"/>
                <w:szCs w:val="20"/>
                <w:color w:val="auto"/>
              </w:rPr>
            </w:pPr>
            <w:r>
              <w:rPr>
                <w:rFonts w:ascii="Arial" w:cs="Arial" w:eastAsia="Arial" w:hAnsi="Arial"/>
                <w:sz w:val="17"/>
                <w:szCs w:val="17"/>
                <w:color w:val="auto"/>
              </w:rPr>
              <w:t>Non-cash royalty expense</w:t>
            </w:r>
          </w:p>
        </w:tc>
        <w:tc>
          <w:tcPr>
            <w:tcW w:w="98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220"/>
              <w:spacing w:after="0"/>
              <w:rPr>
                <w:sz w:val="20"/>
                <w:szCs w:val="20"/>
                <w:color w:val="auto"/>
              </w:rPr>
            </w:pPr>
            <w:r>
              <w:rPr>
                <w:rFonts w:ascii="Arial" w:cs="Arial" w:eastAsia="Arial" w:hAnsi="Arial"/>
                <w:sz w:val="17"/>
                <w:szCs w:val="17"/>
                <w:color w:val="auto"/>
              </w:rPr>
              <w:t>(3,440)</w:t>
            </w:r>
          </w:p>
        </w:tc>
        <w:tc>
          <w:tcPr>
            <w:tcW w:w="980" w:type="dxa"/>
            <w:vAlign w:val="bottom"/>
            <w:shd w:val="clear" w:color="auto" w:fill="CFF0FC"/>
          </w:tcPr>
          <w:p>
            <w:pPr>
              <w:spacing w:after="0"/>
              <w:rPr>
                <w:sz w:val="18"/>
                <w:szCs w:val="18"/>
                <w:color w:val="auto"/>
              </w:rPr>
            </w:pPr>
          </w:p>
        </w:tc>
        <w:tc>
          <w:tcPr>
            <w:tcW w:w="700" w:type="dxa"/>
            <w:vAlign w:val="bottom"/>
            <w:gridSpan w:val="2"/>
            <w:shd w:val="clear" w:color="auto" w:fill="CFF0FC"/>
          </w:tcPr>
          <w:p>
            <w:pPr>
              <w:jc w:val="right"/>
              <w:ind w:right="120"/>
              <w:spacing w:after="0"/>
              <w:rPr>
                <w:sz w:val="20"/>
                <w:szCs w:val="20"/>
                <w:color w:val="auto"/>
              </w:rPr>
            </w:pPr>
            <w:r>
              <w:rPr>
                <w:rFonts w:ascii="Arial" w:cs="Arial" w:eastAsia="Arial" w:hAnsi="Arial"/>
                <w:sz w:val="17"/>
                <w:szCs w:val="17"/>
                <w:color w:val="auto"/>
              </w:rPr>
              <w:t>—</w:t>
            </w:r>
          </w:p>
        </w:tc>
      </w:tr>
      <w:tr>
        <w:trPr>
          <w:trHeight w:val="216"/>
        </w:trPr>
        <w:tc>
          <w:tcPr>
            <w:tcW w:w="7720" w:type="dxa"/>
            <w:vAlign w:val="bottom"/>
          </w:tcPr>
          <w:p>
            <w:pPr>
              <w:ind w:left="260"/>
              <w:spacing w:after="0"/>
              <w:rPr>
                <w:sz w:val="20"/>
                <w:szCs w:val="20"/>
                <w:color w:val="auto"/>
              </w:rPr>
            </w:pPr>
            <w:r>
              <w:rPr>
                <w:rFonts w:ascii="Arial" w:cs="Arial" w:eastAsia="Arial" w:hAnsi="Arial"/>
                <w:sz w:val="17"/>
                <w:szCs w:val="17"/>
                <w:color w:val="auto"/>
              </w:rPr>
              <w:t>Change in fair value of non-marketable equity investments</w:t>
            </w:r>
          </w:p>
        </w:tc>
        <w:tc>
          <w:tcPr>
            <w:tcW w:w="98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7"/>
                <w:szCs w:val="17"/>
                <w:color w:val="auto"/>
              </w:rPr>
              <w:t>(1,181)</w:t>
            </w:r>
          </w:p>
        </w:tc>
        <w:tc>
          <w:tcPr>
            <w:tcW w:w="98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r>
      <w:tr>
        <w:trPr>
          <w:trHeight w:val="216"/>
        </w:trPr>
        <w:tc>
          <w:tcPr>
            <w:tcW w:w="7720" w:type="dxa"/>
            <w:vAlign w:val="bottom"/>
            <w:shd w:val="clear" w:color="auto" w:fill="CFF0FC"/>
          </w:tcPr>
          <w:p>
            <w:pPr>
              <w:ind w:left="260"/>
              <w:spacing w:after="0"/>
              <w:rPr>
                <w:sz w:val="20"/>
                <w:szCs w:val="20"/>
                <w:color w:val="auto"/>
              </w:rPr>
            </w:pPr>
            <w:r>
              <w:rPr>
                <w:rFonts w:ascii="Arial" w:cs="Arial" w:eastAsia="Arial" w:hAnsi="Arial"/>
                <w:sz w:val="17"/>
                <w:szCs w:val="17"/>
                <w:color w:val="auto"/>
              </w:rPr>
              <w:t>Other</w:t>
            </w:r>
          </w:p>
        </w:tc>
        <w:tc>
          <w:tcPr>
            <w:tcW w:w="98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121</w:t>
            </w:r>
          </w:p>
        </w:tc>
        <w:tc>
          <w:tcPr>
            <w:tcW w:w="2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70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(84)</w:t>
            </w:r>
          </w:p>
        </w:tc>
      </w:tr>
      <w:tr>
        <w:trPr>
          <w:trHeight w:val="216"/>
        </w:trPr>
        <w:tc>
          <w:tcPr>
            <w:tcW w:w="7720" w:type="dxa"/>
            <w:vAlign w:val="bottom"/>
          </w:tcPr>
          <w:p>
            <w:pPr>
              <w:spacing w:after="0"/>
              <w:rPr>
                <w:sz w:val="20"/>
                <w:szCs w:val="20"/>
                <w:color w:val="auto"/>
              </w:rPr>
            </w:pPr>
            <w:r>
              <w:rPr>
                <w:rFonts w:ascii="Arial" w:cs="Arial" w:eastAsia="Arial" w:hAnsi="Arial"/>
                <w:sz w:val="17"/>
                <w:szCs w:val="17"/>
                <w:color w:val="auto"/>
              </w:rPr>
              <w:t>Changes in operating assets and liabilities:</w:t>
            </w:r>
          </w:p>
        </w:tc>
        <w:tc>
          <w:tcPr>
            <w:tcW w:w="9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720" w:type="dxa"/>
            <w:vAlign w:val="bottom"/>
            <w:shd w:val="clear" w:color="auto" w:fill="CFF0FC"/>
          </w:tcPr>
          <w:p>
            <w:pPr>
              <w:ind w:left="260"/>
              <w:spacing w:after="0"/>
              <w:rPr>
                <w:sz w:val="20"/>
                <w:szCs w:val="20"/>
                <w:color w:val="auto"/>
              </w:rPr>
            </w:pPr>
            <w:r>
              <w:rPr>
                <w:rFonts w:ascii="Arial" w:cs="Arial" w:eastAsia="Arial" w:hAnsi="Arial"/>
                <w:sz w:val="17"/>
                <w:szCs w:val="17"/>
                <w:color w:val="auto"/>
              </w:rPr>
              <w:t>Accounts and unbilled receivables</w:t>
            </w:r>
          </w:p>
        </w:tc>
        <w:tc>
          <w:tcPr>
            <w:tcW w:w="98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220"/>
              <w:spacing w:after="0"/>
              <w:rPr>
                <w:sz w:val="20"/>
                <w:szCs w:val="20"/>
                <w:color w:val="auto"/>
              </w:rPr>
            </w:pPr>
            <w:r>
              <w:rPr>
                <w:rFonts w:ascii="Arial" w:cs="Arial" w:eastAsia="Arial" w:hAnsi="Arial"/>
                <w:sz w:val="17"/>
                <w:szCs w:val="17"/>
                <w:color w:val="auto"/>
              </w:rPr>
              <w:t>(3,759)</w:t>
            </w:r>
          </w:p>
        </w:tc>
        <w:tc>
          <w:tcPr>
            <w:tcW w:w="98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12,019</w:t>
            </w: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260"/>
              <w:spacing w:after="0"/>
              <w:rPr>
                <w:sz w:val="20"/>
                <w:szCs w:val="20"/>
                <w:color w:val="auto"/>
              </w:rPr>
            </w:pPr>
            <w:r>
              <w:rPr>
                <w:rFonts w:ascii="Arial" w:cs="Arial" w:eastAsia="Arial" w:hAnsi="Arial"/>
                <w:sz w:val="17"/>
                <w:szCs w:val="17"/>
                <w:color w:val="auto"/>
              </w:rPr>
              <w:t>Prepaid royalties</w:t>
            </w:r>
          </w:p>
        </w:tc>
        <w:tc>
          <w:tcPr>
            <w:tcW w:w="9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576</w:t>
            </w: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1,626</w:t>
            </w:r>
          </w:p>
        </w:tc>
        <w:tc>
          <w:tcPr>
            <w:tcW w:w="100" w:type="dxa"/>
            <w:vAlign w:val="bottom"/>
          </w:tcPr>
          <w:p>
            <w:pPr>
              <w:spacing w:after="0"/>
              <w:rPr>
                <w:sz w:val="18"/>
                <w:szCs w:val="18"/>
                <w:color w:val="auto"/>
              </w:rPr>
            </w:pPr>
          </w:p>
        </w:tc>
      </w:tr>
      <w:tr>
        <w:trPr>
          <w:trHeight w:val="216"/>
        </w:trPr>
        <w:tc>
          <w:tcPr>
            <w:tcW w:w="7720" w:type="dxa"/>
            <w:vAlign w:val="bottom"/>
            <w:shd w:val="clear" w:color="auto" w:fill="CFF0FC"/>
          </w:tcPr>
          <w:p>
            <w:pPr>
              <w:ind w:left="260"/>
              <w:spacing w:after="0"/>
              <w:rPr>
                <w:sz w:val="20"/>
                <w:szCs w:val="20"/>
                <w:color w:val="auto"/>
              </w:rPr>
            </w:pPr>
            <w:r>
              <w:rPr>
                <w:rFonts w:ascii="Arial" w:cs="Arial" w:eastAsia="Arial" w:hAnsi="Arial"/>
                <w:sz w:val="17"/>
                <w:szCs w:val="17"/>
                <w:color w:val="auto"/>
              </w:rPr>
              <w:t>Other prepaid expenses and other current assets</w:t>
            </w:r>
          </w:p>
        </w:tc>
        <w:tc>
          <w:tcPr>
            <w:tcW w:w="98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547</w:t>
            </w:r>
          </w:p>
        </w:tc>
        <w:tc>
          <w:tcPr>
            <w:tcW w:w="2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2,746</w:t>
            </w: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260"/>
              <w:spacing w:after="0"/>
              <w:rPr>
                <w:sz w:val="20"/>
                <w:szCs w:val="20"/>
                <w:color w:val="auto"/>
              </w:rPr>
            </w:pPr>
            <w:r>
              <w:rPr>
                <w:rFonts w:ascii="Arial" w:cs="Arial" w:eastAsia="Arial" w:hAnsi="Arial"/>
                <w:sz w:val="17"/>
                <w:szCs w:val="17"/>
                <w:color w:val="auto"/>
              </w:rPr>
              <w:t>Deferred commissions</w:t>
            </w:r>
          </w:p>
        </w:tc>
        <w:tc>
          <w:tcPr>
            <w:tcW w:w="98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7"/>
                <w:szCs w:val="17"/>
                <w:color w:val="auto"/>
              </w:rPr>
              <w:t>(3,634)</w:t>
            </w:r>
          </w:p>
        </w:tc>
        <w:tc>
          <w:tcPr>
            <w:tcW w:w="98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7"/>
                <w:szCs w:val="17"/>
                <w:color w:val="auto"/>
              </w:rPr>
              <w:t>(3,265)</w:t>
            </w:r>
          </w:p>
        </w:tc>
      </w:tr>
      <w:tr>
        <w:trPr>
          <w:trHeight w:val="216"/>
        </w:trPr>
        <w:tc>
          <w:tcPr>
            <w:tcW w:w="7720" w:type="dxa"/>
            <w:vAlign w:val="bottom"/>
            <w:shd w:val="clear" w:color="auto" w:fill="CFF0FC"/>
          </w:tcPr>
          <w:p>
            <w:pPr>
              <w:ind w:left="260"/>
              <w:spacing w:after="0"/>
              <w:rPr>
                <w:sz w:val="20"/>
                <w:szCs w:val="20"/>
                <w:color w:val="auto"/>
              </w:rPr>
            </w:pPr>
            <w:r>
              <w:rPr>
                <w:rFonts w:ascii="Arial" w:cs="Arial" w:eastAsia="Arial" w:hAnsi="Arial"/>
                <w:sz w:val="17"/>
                <w:szCs w:val="17"/>
                <w:color w:val="auto"/>
              </w:rPr>
              <w:t>Other assets</w:t>
            </w:r>
          </w:p>
        </w:tc>
        <w:tc>
          <w:tcPr>
            <w:tcW w:w="98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505</w:t>
            </w:r>
          </w:p>
        </w:tc>
        <w:tc>
          <w:tcPr>
            <w:tcW w:w="2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70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(391)</w:t>
            </w:r>
          </w:p>
        </w:tc>
      </w:tr>
      <w:tr>
        <w:trPr>
          <w:trHeight w:val="216"/>
        </w:trPr>
        <w:tc>
          <w:tcPr>
            <w:tcW w:w="7720" w:type="dxa"/>
            <w:vAlign w:val="bottom"/>
          </w:tcPr>
          <w:p>
            <w:pPr>
              <w:ind w:left="260"/>
              <w:spacing w:after="0"/>
              <w:rPr>
                <w:sz w:val="20"/>
                <w:szCs w:val="20"/>
                <w:color w:val="auto"/>
              </w:rPr>
            </w:pPr>
            <w:r>
              <w:rPr>
                <w:rFonts w:ascii="Arial" w:cs="Arial" w:eastAsia="Arial" w:hAnsi="Arial"/>
                <w:sz w:val="17"/>
                <w:szCs w:val="17"/>
                <w:color w:val="auto"/>
              </w:rPr>
              <w:t>Accounts payable and accrued expenses</w:t>
            </w:r>
          </w:p>
        </w:tc>
        <w:tc>
          <w:tcPr>
            <w:tcW w:w="98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7"/>
                <w:szCs w:val="17"/>
                <w:color w:val="auto"/>
              </w:rPr>
              <w:t>(5,167)</w:t>
            </w:r>
          </w:p>
        </w:tc>
        <w:tc>
          <w:tcPr>
            <w:tcW w:w="98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7"/>
                <w:szCs w:val="17"/>
                <w:color w:val="auto"/>
              </w:rPr>
              <w:t>(4,060)</w:t>
            </w:r>
          </w:p>
        </w:tc>
      </w:tr>
      <w:tr>
        <w:trPr>
          <w:trHeight w:val="216"/>
        </w:trPr>
        <w:tc>
          <w:tcPr>
            <w:tcW w:w="7720" w:type="dxa"/>
            <w:vAlign w:val="bottom"/>
            <w:shd w:val="clear" w:color="auto" w:fill="CFF0FC"/>
          </w:tcPr>
          <w:p>
            <w:pPr>
              <w:ind w:left="260"/>
              <w:spacing w:after="0"/>
              <w:rPr>
                <w:sz w:val="20"/>
                <w:szCs w:val="20"/>
                <w:color w:val="auto"/>
              </w:rPr>
            </w:pPr>
            <w:r>
              <w:rPr>
                <w:rFonts w:ascii="Arial" w:cs="Arial" w:eastAsia="Arial" w:hAnsi="Arial"/>
                <w:sz w:val="17"/>
                <w:szCs w:val="17"/>
                <w:color w:val="auto"/>
              </w:rPr>
              <w:t>Accrued royalties</w:t>
            </w:r>
          </w:p>
        </w:tc>
        <w:tc>
          <w:tcPr>
            <w:tcW w:w="98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220"/>
              <w:spacing w:after="0"/>
              <w:rPr>
                <w:sz w:val="20"/>
                <w:szCs w:val="20"/>
                <w:color w:val="auto"/>
              </w:rPr>
            </w:pPr>
            <w:r>
              <w:rPr>
                <w:rFonts w:ascii="Arial" w:cs="Arial" w:eastAsia="Arial" w:hAnsi="Arial"/>
                <w:sz w:val="17"/>
                <w:szCs w:val="17"/>
                <w:color w:val="auto"/>
              </w:rPr>
              <w:t>(4,588)</w:t>
            </w:r>
          </w:p>
        </w:tc>
        <w:tc>
          <w:tcPr>
            <w:tcW w:w="980" w:type="dxa"/>
            <w:vAlign w:val="bottom"/>
            <w:shd w:val="clear" w:color="auto" w:fill="CFF0FC"/>
          </w:tcPr>
          <w:p>
            <w:pPr>
              <w:spacing w:after="0"/>
              <w:rPr>
                <w:sz w:val="18"/>
                <w:szCs w:val="18"/>
                <w:color w:val="auto"/>
              </w:rPr>
            </w:pPr>
          </w:p>
        </w:tc>
        <w:tc>
          <w:tcPr>
            <w:tcW w:w="70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(2,294)</w:t>
            </w:r>
          </w:p>
        </w:tc>
      </w:tr>
      <w:tr>
        <w:trPr>
          <w:trHeight w:val="216"/>
        </w:trPr>
        <w:tc>
          <w:tcPr>
            <w:tcW w:w="7720" w:type="dxa"/>
            <w:vAlign w:val="bottom"/>
            <w:tcBorders>
              <w:bottom w:val="single" w:sz="8" w:color="CFF0FC"/>
            </w:tcBorders>
          </w:tcPr>
          <w:p>
            <w:pPr>
              <w:ind w:left="260"/>
              <w:spacing w:after="0"/>
              <w:rPr>
                <w:sz w:val="20"/>
                <w:szCs w:val="20"/>
                <w:color w:val="auto"/>
              </w:rPr>
            </w:pPr>
            <w:r>
              <w:rPr>
                <w:rFonts w:ascii="Arial" w:cs="Arial" w:eastAsia="Arial" w:hAnsi="Arial"/>
                <w:sz w:val="17"/>
                <w:szCs w:val="17"/>
                <w:color w:val="auto"/>
              </w:rPr>
              <w:t>Deferred revenue</w:t>
            </w:r>
          </w:p>
        </w:tc>
        <w:tc>
          <w:tcPr>
            <w:tcW w:w="9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231</w:t>
            </w:r>
          </w:p>
        </w:tc>
        <w:tc>
          <w:tcPr>
            <w:tcW w:w="280" w:type="dxa"/>
            <w:vAlign w:val="bottom"/>
            <w:tcBorders>
              <w:bottom w:val="single" w:sz="8" w:color="CFF0FC"/>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329</w:t>
            </w:r>
          </w:p>
        </w:tc>
        <w:tc>
          <w:tcPr>
            <w:tcW w:w="100" w:type="dxa"/>
            <w:vAlign w:val="bottom"/>
            <w:tcBorders>
              <w:bottom w:val="single" w:sz="8" w:color="CFF0FC"/>
            </w:tcBorders>
          </w:tcPr>
          <w:p>
            <w:pPr>
              <w:spacing w:after="0"/>
              <w:rPr>
                <w:sz w:val="18"/>
                <w:szCs w:val="18"/>
                <w:color w:val="auto"/>
              </w:rPr>
            </w:pPr>
          </w:p>
        </w:tc>
      </w:tr>
      <w:tr>
        <w:trPr>
          <w:trHeight w:val="209"/>
        </w:trPr>
        <w:tc>
          <w:tcPr>
            <w:tcW w:w="7720" w:type="dxa"/>
            <w:vAlign w:val="bottom"/>
            <w:shd w:val="clear" w:color="auto" w:fill="CFF0FC"/>
          </w:tcPr>
          <w:p>
            <w:pPr>
              <w:ind w:left="380"/>
              <w:spacing w:after="0"/>
              <w:rPr>
                <w:sz w:val="20"/>
                <w:szCs w:val="20"/>
                <w:color w:val="auto"/>
              </w:rPr>
            </w:pPr>
            <w:r>
              <w:rPr>
                <w:rFonts w:ascii="Arial" w:cs="Arial" w:eastAsia="Arial" w:hAnsi="Arial"/>
                <w:sz w:val="17"/>
                <w:szCs w:val="17"/>
                <w:color w:val="auto"/>
              </w:rPr>
              <w:t>Net cash provided by operating activities</w:t>
            </w:r>
          </w:p>
        </w:tc>
        <w:tc>
          <w:tcPr>
            <w:tcW w:w="98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13,532</w:t>
            </w:r>
          </w:p>
        </w:tc>
        <w:tc>
          <w:tcPr>
            <w:tcW w:w="2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36,607</w:t>
            </w: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720" w:type="dxa"/>
            <w:vAlign w:val="bottom"/>
            <w:shd w:val="clear" w:color="auto" w:fill="CFF0FC"/>
          </w:tcPr>
          <w:p>
            <w:pPr>
              <w:spacing w:after="0"/>
              <w:rPr>
                <w:sz w:val="20"/>
                <w:szCs w:val="20"/>
                <w:color w:val="auto"/>
              </w:rPr>
            </w:pPr>
            <w:r>
              <w:rPr>
                <w:rFonts w:ascii="Arial" w:cs="Arial" w:eastAsia="Arial" w:hAnsi="Arial"/>
                <w:sz w:val="17"/>
                <w:szCs w:val="17"/>
                <w:color w:val="auto"/>
              </w:rPr>
              <w:t>INVESTING ACTIVITIES:</w:t>
            </w:r>
          </w:p>
        </w:tc>
        <w:tc>
          <w:tcPr>
            <w:tcW w:w="98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spacing w:after="0"/>
              <w:rPr>
                <w:sz w:val="20"/>
                <w:szCs w:val="20"/>
                <w:color w:val="auto"/>
              </w:rPr>
            </w:pPr>
            <w:r>
              <w:rPr>
                <w:rFonts w:ascii="Arial" w:cs="Arial" w:eastAsia="Arial" w:hAnsi="Arial"/>
                <w:sz w:val="17"/>
                <w:szCs w:val="17"/>
                <w:color w:val="auto"/>
              </w:rPr>
              <w:t>Business combinations, net of cash acquired</w:t>
            </w:r>
          </w:p>
        </w:tc>
        <w:tc>
          <w:tcPr>
            <w:tcW w:w="98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7"/>
                <w:szCs w:val="17"/>
                <w:color w:val="auto"/>
                <w:w w:val="97"/>
              </w:rPr>
              <w:t>(21,449)</w:t>
            </w:r>
          </w:p>
        </w:tc>
        <w:tc>
          <w:tcPr>
            <w:tcW w:w="98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7"/>
                <w:szCs w:val="17"/>
                <w:color w:val="auto"/>
                <w:w w:val="97"/>
              </w:rPr>
              <w:t>(18,018)</w:t>
            </w:r>
          </w:p>
        </w:tc>
      </w:tr>
      <w:tr>
        <w:trPr>
          <w:trHeight w:val="216"/>
        </w:trPr>
        <w:tc>
          <w:tcPr>
            <w:tcW w:w="7720" w:type="dxa"/>
            <w:vAlign w:val="bottom"/>
            <w:shd w:val="clear" w:color="auto" w:fill="CFF0FC"/>
          </w:tcPr>
          <w:p>
            <w:pPr>
              <w:spacing w:after="0"/>
              <w:rPr>
                <w:sz w:val="20"/>
                <w:szCs w:val="20"/>
                <w:color w:val="auto"/>
              </w:rPr>
            </w:pPr>
            <w:r>
              <w:rPr>
                <w:rFonts w:ascii="Arial" w:cs="Arial" w:eastAsia="Arial" w:hAnsi="Arial"/>
                <w:sz w:val="17"/>
                <w:szCs w:val="17"/>
                <w:color w:val="auto"/>
              </w:rPr>
              <w:t>Proceeds from sale of discontinued operations</w:t>
            </w:r>
          </w:p>
        </w:tc>
        <w:tc>
          <w:tcPr>
            <w:tcW w:w="98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300"/>
              <w:spacing w:after="0"/>
              <w:rPr>
                <w:sz w:val="20"/>
                <w:szCs w:val="20"/>
                <w:color w:val="auto"/>
              </w:rPr>
            </w:pPr>
            <w:r>
              <w:rPr>
                <w:rFonts w:ascii="Arial" w:cs="Arial" w:eastAsia="Arial" w:hAnsi="Arial"/>
                <w:sz w:val="17"/>
                <w:szCs w:val="17"/>
                <w:color w:val="auto"/>
              </w:rPr>
              <w:t>—</w:t>
            </w:r>
          </w:p>
        </w:tc>
        <w:tc>
          <w:tcPr>
            <w:tcW w:w="98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6,222</w:t>
            </w: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spacing w:after="0"/>
              <w:rPr>
                <w:sz w:val="20"/>
                <w:szCs w:val="20"/>
                <w:color w:val="auto"/>
              </w:rPr>
            </w:pPr>
            <w:r>
              <w:rPr>
                <w:rFonts w:ascii="Arial" w:cs="Arial" w:eastAsia="Arial" w:hAnsi="Arial"/>
                <w:sz w:val="17"/>
                <w:szCs w:val="17"/>
                <w:color w:val="auto"/>
              </w:rPr>
              <w:t>Proceeds from maturities of marketable securities</w:t>
            </w:r>
          </w:p>
        </w:tc>
        <w:tc>
          <w:tcPr>
            <w:tcW w:w="9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46,183</w:t>
            </w: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38,037</w:t>
            </w:r>
          </w:p>
        </w:tc>
        <w:tc>
          <w:tcPr>
            <w:tcW w:w="100" w:type="dxa"/>
            <w:vAlign w:val="bottom"/>
          </w:tcPr>
          <w:p>
            <w:pPr>
              <w:spacing w:after="0"/>
              <w:rPr>
                <w:sz w:val="18"/>
                <w:szCs w:val="18"/>
                <w:color w:val="auto"/>
              </w:rPr>
            </w:pPr>
          </w:p>
        </w:tc>
      </w:tr>
      <w:tr>
        <w:trPr>
          <w:trHeight w:val="216"/>
        </w:trPr>
        <w:tc>
          <w:tcPr>
            <w:tcW w:w="7720" w:type="dxa"/>
            <w:vAlign w:val="bottom"/>
            <w:shd w:val="clear" w:color="auto" w:fill="CFF0FC"/>
          </w:tcPr>
          <w:p>
            <w:pPr>
              <w:spacing w:after="0"/>
              <w:rPr>
                <w:sz w:val="20"/>
                <w:szCs w:val="20"/>
                <w:color w:val="auto"/>
              </w:rPr>
            </w:pPr>
            <w:r>
              <w:rPr>
                <w:rFonts w:ascii="Arial" w:cs="Arial" w:eastAsia="Arial" w:hAnsi="Arial"/>
                <w:sz w:val="17"/>
                <w:szCs w:val="17"/>
                <w:color w:val="auto"/>
              </w:rPr>
              <w:t>Purchases of marketable securities</w:t>
            </w:r>
          </w:p>
        </w:tc>
        <w:tc>
          <w:tcPr>
            <w:tcW w:w="98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220"/>
              <w:spacing w:after="0"/>
              <w:rPr>
                <w:sz w:val="20"/>
                <w:szCs w:val="20"/>
                <w:color w:val="auto"/>
              </w:rPr>
            </w:pPr>
            <w:r>
              <w:rPr>
                <w:rFonts w:ascii="Arial" w:cs="Arial" w:eastAsia="Arial" w:hAnsi="Arial"/>
                <w:sz w:val="17"/>
                <w:szCs w:val="17"/>
                <w:color w:val="auto"/>
                <w:w w:val="97"/>
              </w:rPr>
              <w:t>(36,942)</w:t>
            </w:r>
          </w:p>
        </w:tc>
        <w:tc>
          <w:tcPr>
            <w:tcW w:w="980" w:type="dxa"/>
            <w:vAlign w:val="bottom"/>
            <w:shd w:val="clear" w:color="auto" w:fill="CFF0FC"/>
          </w:tcPr>
          <w:p>
            <w:pPr>
              <w:spacing w:after="0"/>
              <w:rPr>
                <w:sz w:val="18"/>
                <w:szCs w:val="18"/>
                <w:color w:val="auto"/>
              </w:rPr>
            </w:pPr>
          </w:p>
        </w:tc>
        <w:tc>
          <w:tcPr>
            <w:tcW w:w="70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w w:val="97"/>
              </w:rPr>
              <w:t>(44,158)</w:t>
            </w:r>
          </w:p>
        </w:tc>
      </w:tr>
      <w:tr>
        <w:trPr>
          <w:trHeight w:val="216"/>
        </w:trPr>
        <w:tc>
          <w:tcPr>
            <w:tcW w:w="7720" w:type="dxa"/>
            <w:vAlign w:val="bottom"/>
          </w:tcPr>
          <w:p>
            <w:pPr>
              <w:spacing w:after="0"/>
              <w:rPr>
                <w:sz w:val="20"/>
                <w:szCs w:val="20"/>
                <w:color w:val="auto"/>
              </w:rPr>
            </w:pPr>
            <w:r>
              <w:rPr>
                <w:rFonts w:ascii="Arial" w:cs="Arial" w:eastAsia="Arial" w:hAnsi="Arial"/>
                <w:sz w:val="17"/>
                <w:szCs w:val="17"/>
                <w:color w:val="auto"/>
              </w:rPr>
              <w:t>Proceeds from sale of property and equipment</w:t>
            </w:r>
          </w:p>
        </w:tc>
        <w:tc>
          <w:tcPr>
            <w:tcW w:w="980" w:type="dxa"/>
            <w:vAlign w:val="bottom"/>
          </w:tcPr>
          <w:p>
            <w:pPr>
              <w:spacing w:after="0"/>
              <w:rPr>
                <w:sz w:val="18"/>
                <w:szCs w:val="18"/>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7"/>
                <w:szCs w:val="17"/>
                <w:color w:val="auto"/>
              </w:rPr>
              <w:t>—</w:t>
            </w:r>
          </w:p>
        </w:tc>
        <w:tc>
          <w:tcPr>
            <w:tcW w:w="9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12</w:t>
            </w:r>
          </w:p>
        </w:tc>
        <w:tc>
          <w:tcPr>
            <w:tcW w:w="100" w:type="dxa"/>
            <w:vAlign w:val="bottom"/>
          </w:tcPr>
          <w:p>
            <w:pPr>
              <w:spacing w:after="0"/>
              <w:rPr>
                <w:sz w:val="18"/>
                <w:szCs w:val="18"/>
                <w:color w:val="auto"/>
              </w:rPr>
            </w:pPr>
          </w:p>
        </w:tc>
      </w:tr>
      <w:tr>
        <w:trPr>
          <w:trHeight w:val="216"/>
        </w:trPr>
        <w:tc>
          <w:tcPr>
            <w:tcW w:w="7720" w:type="dxa"/>
            <w:vAlign w:val="bottom"/>
            <w:shd w:val="clear" w:color="auto" w:fill="CFF0FC"/>
          </w:tcPr>
          <w:p>
            <w:pPr>
              <w:spacing w:after="0"/>
              <w:rPr>
                <w:sz w:val="20"/>
                <w:szCs w:val="20"/>
                <w:color w:val="auto"/>
              </w:rPr>
            </w:pPr>
            <w:r>
              <w:rPr>
                <w:rFonts w:ascii="Arial" w:cs="Arial" w:eastAsia="Arial" w:hAnsi="Arial"/>
                <w:sz w:val="17"/>
                <w:szCs w:val="17"/>
                <w:color w:val="auto"/>
              </w:rPr>
              <w:t>Payments to acquire non-marketable equity investments</w:t>
            </w:r>
          </w:p>
        </w:tc>
        <w:tc>
          <w:tcPr>
            <w:tcW w:w="98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220"/>
              <w:spacing w:after="0"/>
              <w:rPr>
                <w:sz w:val="20"/>
                <w:szCs w:val="20"/>
                <w:color w:val="auto"/>
              </w:rPr>
            </w:pPr>
            <w:r>
              <w:rPr>
                <w:rFonts w:ascii="Arial" w:cs="Arial" w:eastAsia="Arial" w:hAnsi="Arial"/>
                <w:sz w:val="17"/>
                <w:szCs w:val="17"/>
                <w:color w:val="auto"/>
              </w:rPr>
              <w:t>(1,000)</w:t>
            </w:r>
          </w:p>
        </w:tc>
        <w:tc>
          <w:tcPr>
            <w:tcW w:w="980" w:type="dxa"/>
            <w:vAlign w:val="bottom"/>
            <w:shd w:val="clear" w:color="auto" w:fill="CFF0FC"/>
          </w:tcPr>
          <w:p>
            <w:pPr>
              <w:spacing w:after="0"/>
              <w:rPr>
                <w:sz w:val="18"/>
                <w:szCs w:val="18"/>
                <w:color w:val="auto"/>
              </w:rPr>
            </w:pPr>
          </w:p>
        </w:tc>
        <w:tc>
          <w:tcPr>
            <w:tcW w:w="70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(3,342)</w:t>
            </w:r>
          </w:p>
        </w:tc>
      </w:tr>
      <w:tr>
        <w:trPr>
          <w:trHeight w:val="216"/>
        </w:trPr>
        <w:tc>
          <w:tcPr>
            <w:tcW w:w="7720" w:type="dxa"/>
            <w:vAlign w:val="bottom"/>
          </w:tcPr>
          <w:p>
            <w:pPr>
              <w:spacing w:after="0"/>
              <w:rPr>
                <w:sz w:val="20"/>
                <w:szCs w:val="20"/>
                <w:color w:val="auto"/>
              </w:rPr>
            </w:pPr>
            <w:r>
              <w:rPr>
                <w:rFonts w:ascii="Arial" w:cs="Arial" w:eastAsia="Arial" w:hAnsi="Arial"/>
                <w:sz w:val="17"/>
                <w:szCs w:val="17"/>
                <w:color w:val="auto"/>
              </w:rPr>
              <w:t>Payments associated with capitalized software development</w:t>
            </w:r>
          </w:p>
        </w:tc>
        <w:tc>
          <w:tcPr>
            <w:tcW w:w="98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7"/>
                <w:szCs w:val="17"/>
                <w:color w:val="auto"/>
              </w:rPr>
              <w:t>(7,619)</w:t>
            </w:r>
          </w:p>
        </w:tc>
        <w:tc>
          <w:tcPr>
            <w:tcW w:w="98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7"/>
                <w:szCs w:val="17"/>
                <w:color w:val="auto"/>
              </w:rPr>
              <w:t>(8,374)</w:t>
            </w:r>
          </w:p>
        </w:tc>
      </w:tr>
      <w:tr>
        <w:trPr>
          <w:trHeight w:val="216"/>
        </w:trPr>
        <w:tc>
          <w:tcPr>
            <w:tcW w:w="7720" w:type="dxa"/>
            <w:vAlign w:val="bottom"/>
            <w:shd w:val="clear" w:color="auto" w:fill="CFF0FC"/>
          </w:tcPr>
          <w:p>
            <w:pPr>
              <w:spacing w:after="0"/>
              <w:rPr>
                <w:sz w:val="20"/>
                <w:szCs w:val="20"/>
                <w:color w:val="auto"/>
              </w:rPr>
            </w:pPr>
            <w:r>
              <w:rPr>
                <w:rFonts w:ascii="Arial" w:cs="Arial" w:eastAsia="Arial" w:hAnsi="Arial"/>
                <w:sz w:val="17"/>
                <w:szCs w:val="17"/>
                <w:color w:val="auto"/>
              </w:rPr>
              <w:t>Purchases of property and equipment</w:t>
            </w:r>
          </w:p>
        </w:tc>
        <w:tc>
          <w:tcPr>
            <w:tcW w:w="98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220"/>
              <w:spacing w:after="0"/>
              <w:rPr>
                <w:sz w:val="20"/>
                <w:szCs w:val="20"/>
                <w:color w:val="auto"/>
              </w:rPr>
            </w:pPr>
            <w:r>
              <w:rPr>
                <w:rFonts w:ascii="Arial" w:cs="Arial" w:eastAsia="Arial" w:hAnsi="Arial"/>
                <w:sz w:val="17"/>
                <w:szCs w:val="17"/>
                <w:color w:val="auto"/>
              </w:rPr>
              <w:t>(1,268)</w:t>
            </w:r>
          </w:p>
        </w:tc>
        <w:tc>
          <w:tcPr>
            <w:tcW w:w="980" w:type="dxa"/>
            <w:vAlign w:val="bottom"/>
            <w:shd w:val="clear" w:color="auto" w:fill="CFF0FC"/>
          </w:tcPr>
          <w:p>
            <w:pPr>
              <w:spacing w:after="0"/>
              <w:rPr>
                <w:sz w:val="18"/>
                <w:szCs w:val="18"/>
                <w:color w:val="auto"/>
              </w:rPr>
            </w:pPr>
          </w:p>
        </w:tc>
        <w:tc>
          <w:tcPr>
            <w:tcW w:w="70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w w:val="97"/>
              </w:rPr>
              <w:t>(19,598)</w:t>
            </w:r>
          </w:p>
        </w:tc>
      </w:tr>
      <w:tr>
        <w:trPr>
          <w:trHeight w:val="210"/>
        </w:trPr>
        <w:tc>
          <w:tcPr>
            <w:tcW w:w="7720" w:type="dxa"/>
            <w:vAlign w:val="bottom"/>
          </w:tcPr>
          <w:p>
            <w:pPr>
              <w:ind w:left="380"/>
              <w:spacing w:after="0"/>
              <w:rPr>
                <w:sz w:val="20"/>
                <w:szCs w:val="20"/>
                <w:color w:val="auto"/>
              </w:rPr>
            </w:pPr>
            <w:r>
              <w:rPr>
                <w:rFonts w:ascii="Arial" w:cs="Arial" w:eastAsia="Arial" w:hAnsi="Arial"/>
                <w:sz w:val="17"/>
                <w:szCs w:val="17"/>
                <w:color w:val="auto"/>
              </w:rPr>
              <w:t>Net cash used in investing activities</w:t>
            </w:r>
          </w:p>
        </w:tc>
        <w:tc>
          <w:tcPr>
            <w:tcW w:w="98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8"/>
              </w:rPr>
              <w:t>(22,095)</w:t>
            </w:r>
          </w:p>
        </w:tc>
        <w:tc>
          <w:tcPr>
            <w:tcW w:w="280" w:type="dxa"/>
            <w:vAlign w:val="bottom"/>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91"/>
              </w:rPr>
              <w:t>(49,219)</w:t>
            </w:r>
          </w:p>
        </w:tc>
        <w:tc>
          <w:tcPr>
            <w:tcW w:w="100" w:type="dxa"/>
            <w:vAlign w:val="bottom"/>
          </w:tcPr>
          <w:p>
            <w:pPr>
              <w:spacing w:after="0"/>
              <w:rPr>
                <w:sz w:val="18"/>
                <w:szCs w:val="18"/>
                <w:color w:val="auto"/>
              </w:rPr>
            </w:pPr>
          </w:p>
        </w:tc>
      </w:tr>
      <w:tr>
        <w:trPr>
          <w:trHeight w:val="216"/>
        </w:trPr>
        <w:tc>
          <w:tcPr>
            <w:tcW w:w="772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spacing w:after="0"/>
              <w:rPr>
                <w:sz w:val="20"/>
                <w:szCs w:val="20"/>
                <w:color w:val="auto"/>
              </w:rPr>
            </w:pPr>
            <w:r>
              <w:rPr>
                <w:rFonts w:ascii="Arial" w:cs="Arial" w:eastAsia="Arial" w:hAnsi="Arial"/>
                <w:sz w:val="17"/>
                <w:szCs w:val="17"/>
                <w:color w:val="auto"/>
              </w:rPr>
              <w:t>FINANCING ACTIVITIES:</w:t>
            </w:r>
          </w:p>
        </w:tc>
        <w:tc>
          <w:tcPr>
            <w:tcW w:w="9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720" w:type="dxa"/>
            <w:vAlign w:val="bottom"/>
            <w:shd w:val="clear" w:color="auto" w:fill="CFF0FC"/>
          </w:tcPr>
          <w:p>
            <w:pPr>
              <w:spacing w:after="0"/>
              <w:rPr>
                <w:sz w:val="20"/>
                <w:szCs w:val="20"/>
                <w:color w:val="auto"/>
              </w:rPr>
            </w:pPr>
            <w:r>
              <w:rPr>
                <w:rFonts w:ascii="Arial" w:cs="Arial" w:eastAsia="Arial" w:hAnsi="Arial"/>
                <w:sz w:val="17"/>
                <w:szCs w:val="17"/>
                <w:color w:val="auto"/>
              </w:rPr>
              <w:t>Proceeds from exercise of stock options</w:t>
            </w:r>
          </w:p>
        </w:tc>
        <w:tc>
          <w:tcPr>
            <w:tcW w:w="98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300"/>
              <w:spacing w:after="0"/>
              <w:rPr>
                <w:sz w:val="20"/>
                <w:szCs w:val="20"/>
                <w:color w:val="auto"/>
              </w:rPr>
            </w:pPr>
            <w:r>
              <w:rPr>
                <w:rFonts w:ascii="Arial" w:cs="Arial" w:eastAsia="Arial" w:hAnsi="Arial"/>
                <w:sz w:val="17"/>
                <w:szCs w:val="17"/>
                <w:color w:val="auto"/>
              </w:rPr>
              <w:t>—</w:t>
            </w:r>
          </w:p>
        </w:tc>
        <w:tc>
          <w:tcPr>
            <w:tcW w:w="98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214</w:t>
            </w: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spacing w:after="0"/>
              <w:rPr>
                <w:sz w:val="20"/>
                <w:szCs w:val="20"/>
                <w:color w:val="auto"/>
              </w:rPr>
            </w:pPr>
            <w:r>
              <w:rPr>
                <w:rFonts w:ascii="Arial" w:cs="Arial" w:eastAsia="Arial" w:hAnsi="Arial"/>
                <w:sz w:val="17"/>
                <w:szCs w:val="17"/>
                <w:color w:val="auto"/>
              </w:rPr>
              <w:t>Taxes paid related to net settlement of equity awards</w:t>
            </w:r>
          </w:p>
        </w:tc>
        <w:tc>
          <w:tcPr>
            <w:tcW w:w="98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7"/>
                <w:szCs w:val="17"/>
                <w:color w:val="auto"/>
              </w:rPr>
              <w:t>(373)</w:t>
            </w:r>
          </w:p>
        </w:tc>
        <w:tc>
          <w:tcPr>
            <w:tcW w:w="98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7"/>
                <w:szCs w:val="17"/>
                <w:color w:val="auto"/>
              </w:rPr>
              <w:t>(985)</w:t>
            </w:r>
          </w:p>
        </w:tc>
      </w:tr>
      <w:tr>
        <w:trPr>
          <w:trHeight w:val="216"/>
        </w:trPr>
        <w:tc>
          <w:tcPr>
            <w:tcW w:w="7720" w:type="dxa"/>
            <w:vAlign w:val="bottom"/>
            <w:shd w:val="clear" w:color="auto" w:fill="CFF0FC"/>
          </w:tcPr>
          <w:p>
            <w:pPr>
              <w:spacing w:after="0"/>
              <w:rPr>
                <w:sz w:val="20"/>
                <w:szCs w:val="20"/>
                <w:color w:val="auto"/>
              </w:rPr>
            </w:pPr>
            <w:r>
              <w:rPr>
                <w:rFonts w:ascii="Arial" w:cs="Arial" w:eastAsia="Arial" w:hAnsi="Arial"/>
                <w:sz w:val="17"/>
                <w:szCs w:val="17"/>
                <w:color w:val="auto"/>
              </w:rPr>
              <w:t>Payments of earn-outs related to acquisitions</w:t>
            </w:r>
          </w:p>
        </w:tc>
        <w:tc>
          <w:tcPr>
            <w:tcW w:w="98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300"/>
              <w:spacing w:after="0"/>
              <w:rPr>
                <w:sz w:val="20"/>
                <w:szCs w:val="20"/>
                <w:color w:val="auto"/>
              </w:rPr>
            </w:pPr>
            <w:r>
              <w:rPr>
                <w:rFonts w:ascii="Arial" w:cs="Arial" w:eastAsia="Arial" w:hAnsi="Arial"/>
                <w:sz w:val="17"/>
                <w:szCs w:val="17"/>
                <w:color w:val="auto"/>
              </w:rPr>
              <w:t>—</w:t>
            </w:r>
          </w:p>
        </w:tc>
        <w:tc>
          <w:tcPr>
            <w:tcW w:w="980" w:type="dxa"/>
            <w:vAlign w:val="bottom"/>
            <w:shd w:val="clear" w:color="auto" w:fill="CFF0FC"/>
          </w:tcPr>
          <w:p>
            <w:pPr>
              <w:spacing w:after="0"/>
              <w:rPr>
                <w:sz w:val="18"/>
                <w:szCs w:val="18"/>
                <w:color w:val="auto"/>
              </w:rPr>
            </w:pPr>
          </w:p>
        </w:tc>
        <w:tc>
          <w:tcPr>
            <w:tcW w:w="70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(37)</w:t>
            </w:r>
          </w:p>
        </w:tc>
      </w:tr>
      <w:tr>
        <w:trPr>
          <w:trHeight w:val="216"/>
        </w:trPr>
        <w:tc>
          <w:tcPr>
            <w:tcW w:w="7720" w:type="dxa"/>
            <w:vAlign w:val="bottom"/>
          </w:tcPr>
          <w:p>
            <w:pPr>
              <w:spacing w:after="0"/>
              <w:rPr>
                <w:sz w:val="20"/>
                <w:szCs w:val="20"/>
                <w:color w:val="auto"/>
              </w:rPr>
            </w:pPr>
            <w:r>
              <w:rPr>
                <w:rFonts w:ascii="Arial" w:cs="Arial" w:eastAsia="Arial" w:hAnsi="Arial"/>
                <w:sz w:val="17"/>
                <w:szCs w:val="17"/>
                <w:color w:val="auto"/>
              </w:rPr>
              <w:t>Repurchases of common stock</w:t>
            </w:r>
          </w:p>
        </w:tc>
        <w:tc>
          <w:tcPr>
            <w:tcW w:w="98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7"/>
                <w:szCs w:val="17"/>
                <w:color w:val="auto"/>
                <w:w w:val="97"/>
              </w:rPr>
              <w:t>(10,009)</w:t>
            </w:r>
          </w:p>
        </w:tc>
        <w:tc>
          <w:tcPr>
            <w:tcW w:w="98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r>
      <w:tr>
        <w:trPr>
          <w:trHeight w:val="216"/>
        </w:trPr>
        <w:tc>
          <w:tcPr>
            <w:tcW w:w="7720" w:type="dxa"/>
            <w:vAlign w:val="bottom"/>
            <w:shd w:val="clear" w:color="auto" w:fill="CFF0FC"/>
          </w:tcPr>
          <w:p>
            <w:pPr>
              <w:spacing w:after="0"/>
              <w:rPr>
                <w:sz w:val="20"/>
                <w:szCs w:val="20"/>
                <w:color w:val="auto"/>
              </w:rPr>
            </w:pPr>
            <w:r>
              <w:rPr>
                <w:rFonts w:ascii="Arial" w:cs="Arial" w:eastAsia="Arial" w:hAnsi="Arial"/>
                <w:sz w:val="17"/>
                <w:szCs w:val="17"/>
                <w:color w:val="auto"/>
              </w:rPr>
              <w:t>Payment of cash dividends</w:t>
            </w:r>
          </w:p>
        </w:tc>
        <w:tc>
          <w:tcPr>
            <w:tcW w:w="98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220"/>
              <w:spacing w:after="0"/>
              <w:rPr>
                <w:sz w:val="20"/>
                <w:szCs w:val="20"/>
                <w:color w:val="auto"/>
              </w:rPr>
            </w:pPr>
            <w:r>
              <w:rPr>
                <w:rFonts w:ascii="Arial" w:cs="Arial" w:eastAsia="Arial" w:hAnsi="Arial"/>
                <w:sz w:val="17"/>
                <w:szCs w:val="17"/>
                <w:color w:val="auto"/>
              </w:rPr>
              <w:t>(31)</w:t>
            </w:r>
          </w:p>
        </w:tc>
        <w:tc>
          <w:tcPr>
            <w:tcW w:w="980" w:type="dxa"/>
            <w:vAlign w:val="bottom"/>
            <w:shd w:val="clear" w:color="auto" w:fill="CFF0FC"/>
          </w:tcPr>
          <w:p>
            <w:pPr>
              <w:spacing w:after="0"/>
              <w:rPr>
                <w:sz w:val="18"/>
                <w:szCs w:val="18"/>
                <w:color w:val="auto"/>
              </w:rPr>
            </w:pPr>
          </w:p>
        </w:tc>
        <w:tc>
          <w:tcPr>
            <w:tcW w:w="70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(52)</w:t>
            </w:r>
          </w:p>
        </w:tc>
      </w:tr>
      <w:tr>
        <w:trPr>
          <w:trHeight w:val="210"/>
        </w:trPr>
        <w:tc>
          <w:tcPr>
            <w:tcW w:w="7720" w:type="dxa"/>
            <w:vAlign w:val="bottom"/>
            <w:tcBorders>
              <w:bottom w:val="single" w:sz="8" w:color="CFF0FC"/>
            </w:tcBorders>
          </w:tcPr>
          <w:p>
            <w:pPr>
              <w:ind w:left="380"/>
              <w:spacing w:after="0"/>
              <w:rPr>
                <w:sz w:val="20"/>
                <w:szCs w:val="20"/>
                <w:color w:val="auto"/>
              </w:rPr>
            </w:pPr>
            <w:r>
              <w:rPr>
                <w:rFonts w:ascii="Arial" w:cs="Arial" w:eastAsia="Arial" w:hAnsi="Arial"/>
                <w:sz w:val="17"/>
                <w:szCs w:val="17"/>
                <w:color w:val="auto"/>
              </w:rPr>
              <w:t>Net cash used in financing activities</w:t>
            </w:r>
          </w:p>
        </w:tc>
        <w:tc>
          <w:tcPr>
            <w:tcW w:w="980" w:type="dxa"/>
            <w:vAlign w:val="bottom"/>
            <w:tcBorders>
              <w:top w:val="single" w:sz="8" w:color="auto"/>
              <w:bottom w:val="single" w:sz="8" w:color="auto"/>
            </w:tcBorders>
          </w:tcPr>
          <w:p>
            <w:pPr>
              <w:spacing w:after="0"/>
              <w:rPr>
                <w:sz w:val="18"/>
                <w:szCs w:val="18"/>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8"/>
              </w:rPr>
              <w:t>(10,413)</w:t>
            </w:r>
          </w:p>
        </w:tc>
        <w:tc>
          <w:tcPr>
            <w:tcW w:w="280" w:type="dxa"/>
            <w:vAlign w:val="bottom"/>
            <w:tcBorders>
              <w:bottom w:val="single" w:sz="8" w:color="CFF0FC"/>
            </w:tcBorders>
          </w:tcPr>
          <w:p>
            <w:pPr>
              <w:spacing w:after="0"/>
              <w:rPr>
                <w:sz w:val="18"/>
                <w:szCs w:val="18"/>
                <w:color w:val="auto"/>
              </w:rPr>
            </w:pPr>
          </w:p>
        </w:tc>
        <w:tc>
          <w:tcPr>
            <w:tcW w:w="980" w:type="dxa"/>
            <w:vAlign w:val="bottom"/>
            <w:tcBorders>
              <w:top w:val="single" w:sz="8" w:color="auto"/>
              <w:bottom w:val="single" w:sz="8" w:color="auto"/>
            </w:tcBorders>
          </w:tcPr>
          <w:p>
            <w:pPr>
              <w:spacing w:after="0"/>
              <w:rPr>
                <w:sz w:val="18"/>
                <w:szCs w:val="18"/>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(860)</w:t>
            </w:r>
          </w:p>
        </w:tc>
        <w:tc>
          <w:tcPr>
            <w:tcW w:w="100" w:type="dxa"/>
            <w:vAlign w:val="bottom"/>
            <w:tcBorders>
              <w:bottom w:val="single" w:sz="8" w:color="CFF0FC"/>
            </w:tcBorders>
          </w:tcPr>
          <w:p>
            <w:pPr>
              <w:spacing w:after="0"/>
              <w:rPr>
                <w:sz w:val="18"/>
                <w:szCs w:val="18"/>
                <w:color w:val="auto"/>
              </w:rPr>
            </w:pPr>
          </w:p>
        </w:tc>
      </w:tr>
      <w:tr>
        <w:trPr>
          <w:trHeight w:val="210"/>
        </w:trPr>
        <w:tc>
          <w:tcPr>
            <w:tcW w:w="772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spacing w:after="0"/>
              <w:rPr>
                <w:sz w:val="20"/>
                <w:szCs w:val="20"/>
                <w:color w:val="auto"/>
              </w:rPr>
            </w:pPr>
            <w:r>
              <w:rPr>
                <w:rFonts w:ascii="Arial" w:cs="Arial" w:eastAsia="Arial" w:hAnsi="Arial"/>
                <w:sz w:val="17"/>
                <w:szCs w:val="17"/>
                <w:color w:val="auto"/>
              </w:rPr>
              <w:t>Effect of exchange rate changes on cash and cash equivalents</w:t>
            </w:r>
          </w:p>
        </w:tc>
        <w:tc>
          <w:tcPr>
            <w:tcW w:w="98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7"/>
                <w:szCs w:val="17"/>
                <w:color w:val="auto"/>
              </w:rPr>
              <w:t>(28)</w:t>
            </w:r>
          </w:p>
        </w:tc>
        <w:tc>
          <w:tcPr>
            <w:tcW w:w="98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r>
      <w:tr>
        <w:trPr>
          <w:trHeight w:val="210"/>
        </w:trPr>
        <w:tc>
          <w:tcPr>
            <w:tcW w:w="77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7"/>
                <w:szCs w:val="17"/>
                <w:color w:val="auto"/>
              </w:rPr>
              <w:t>Net decrease in cash and cash equivalents</w:t>
            </w:r>
          </w:p>
        </w:tc>
        <w:tc>
          <w:tcPr>
            <w:tcW w:w="980" w:type="dxa"/>
            <w:vAlign w:val="bottom"/>
            <w:tcBorders>
              <w:top w:val="single" w:sz="8" w:color="auto"/>
            </w:tcBorders>
            <w:shd w:val="clear" w:color="auto" w:fill="CFF0FC"/>
          </w:tcPr>
          <w:p>
            <w:pPr>
              <w:spacing w:after="0"/>
              <w:rPr>
                <w:sz w:val="18"/>
                <w:szCs w:val="18"/>
                <w:color w:val="auto"/>
              </w:rPr>
            </w:pPr>
          </w:p>
        </w:tc>
        <w:tc>
          <w:tcPr>
            <w:tcW w:w="5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w w:val="88"/>
              </w:rPr>
              <w:t>(19,004)</w:t>
            </w:r>
          </w:p>
        </w:tc>
        <w:tc>
          <w:tcPr>
            <w:tcW w:w="280" w:type="dxa"/>
            <w:vAlign w:val="bottom"/>
            <w:tcBorders>
              <w:top w:val="single" w:sz="8" w:color="CFF0FC"/>
            </w:tcBorders>
            <w:shd w:val="clear" w:color="auto" w:fill="CFF0FC"/>
          </w:tcPr>
          <w:p>
            <w:pPr>
              <w:spacing w:after="0"/>
              <w:rPr>
                <w:sz w:val="18"/>
                <w:szCs w:val="18"/>
                <w:color w:val="auto"/>
              </w:rPr>
            </w:pPr>
          </w:p>
        </w:tc>
        <w:tc>
          <w:tcPr>
            <w:tcW w:w="980" w:type="dxa"/>
            <w:vAlign w:val="bottom"/>
            <w:tcBorders>
              <w:top w:val="single" w:sz="8" w:color="auto"/>
            </w:tcBorders>
            <w:shd w:val="clear" w:color="auto" w:fill="CFF0FC"/>
          </w:tcPr>
          <w:p>
            <w:pPr>
              <w:spacing w:after="0"/>
              <w:rPr>
                <w:sz w:val="18"/>
                <w:szCs w:val="18"/>
                <w:color w:val="auto"/>
              </w:rPr>
            </w:pPr>
          </w:p>
        </w:tc>
        <w:tc>
          <w:tcPr>
            <w:tcW w:w="6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w w:val="91"/>
              </w:rPr>
              <w:t>(13,472)</w:t>
            </w:r>
          </w:p>
        </w:tc>
        <w:tc>
          <w:tcPr>
            <w:tcW w:w="100" w:type="dxa"/>
            <w:vAlign w:val="bottom"/>
            <w:tcBorders>
              <w:top w:val="single" w:sz="8" w:color="CFF0FC"/>
            </w:tcBorders>
            <w:shd w:val="clear" w:color="auto" w:fill="CFF0FC"/>
          </w:tcPr>
          <w:p>
            <w:pPr>
              <w:spacing w:after="0"/>
              <w:rPr>
                <w:sz w:val="18"/>
                <w:szCs w:val="18"/>
                <w:color w:val="auto"/>
              </w:rPr>
            </w:pPr>
          </w:p>
        </w:tc>
      </w:tr>
      <w:tr>
        <w:trPr>
          <w:trHeight w:val="216"/>
        </w:trPr>
        <w:tc>
          <w:tcPr>
            <w:tcW w:w="7720" w:type="dxa"/>
            <w:vAlign w:val="bottom"/>
            <w:tcBorders>
              <w:bottom w:val="single" w:sz="8" w:color="CFF0FC"/>
            </w:tcBorders>
          </w:tcPr>
          <w:p>
            <w:pPr>
              <w:spacing w:after="0"/>
              <w:rPr>
                <w:sz w:val="20"/>
                <w:szCs w:val="20"/>
                <w:color w:val="auto"/>
              </w:rPr>
            </w:pPr>
            <w:r>
              <w:rPr>
                <w:rFonts w:ascii="Arial" w:cs="Arial" w:eastAsia="Arial" w:hAnsi="Arial"/>
                <w:sz w:val="17"/>
                <w:szCs w:val="17"/>
                <w:color w:val="auto"/>
              </w:rPr>
              <w:t>Cash and cash equivalents at beginning of period</w:t>
            </w:r>
          </w:p>
        </w:tc>
        <w:tc>
          <w:tcPr>
            <w:tcW w:w="9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7"/>
              </w:rPr>
              <w:t>131,538</w:t>
            </w:r>
          </w:p>
        </w:tc>
        <w:tc>
          <w:tcPr>
            <w:tcW w:w="280" w:type="dxa"/>
            <w:vAlign w:val="bottom"/>
            <w:tcBorders>
              <w:bottom w:val="single" w:sz="8" w:color="CFF0FC"/>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1"/>
              </w:rPr>
              <w:t>134,321</w:t>
            </w:r>
          </w:p>
        </w:tc>
        <w:tc>
          <w:tcPr>
            <w:tcW w:w="100" w:type="dxa"/>
            <w:vAlign w:val="bottom"/>
            <w:tcBorders>
              <w:bottom w:val="single" w:sz="8" w:color="CFF0FC"/>
            </w:tcBorders>
          </w:tcPr>
          <w:p>
            <w:pPr>
              <w:spacing w:after="0"/>
              <w:rPr>
                <w:sz w:val="18"/>
                <w:szCs w:val="18"/>
                <w:color w:val="auto"/>
              </w:rPr>
            </w:pPr>
          </w:p>
        </w:tc>
      </w:tr>
      <w:tr>
        <w:trPr>
          <w:trHeight w:val="210"/>
        </w:trPr>
        <w:tc>
          <w:tcPr>
            <w:tcW w:w="77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7"/>
                <w:szCs w:val="17"/>
                <w:color w:val="auto"/>
              </w:rPr>
              <w:t>Cash and cash equivalents at end of period</w:t>
            </w:r>
          </w:p>
        </w:tc>
        <w:tc>
          <w:tcPr>
            <w:tcW w:w="980" w:type="dxa"/>
            <w:vAlign w:val="bottom"/>
            <w:tcBorders>
              <w:bottom w:val="single" w:sz="8" w:color="auto"/>
            </w:tcBorders>
            <w:shd w:val="clear" w:color="auto" w:fill="CFF0FC"/>
          </w:tcPr>
          <w:p>
            <w:pPr>
              <w:jc w:val="right"/>
              <w:ind w:right="795"/>
              <w:spacing w:after="0"/>
              <w:rPr>
                <w:sz w:val="20"/>
                <w:szCs w:val="20"/>
                <w:color w:val="auto"/>
              </w:rPr>
            </w:pPr>
            <w:r>
              <w:rPr>
                <w:rFonts w:ascii="Arial" w:cs="Arial" w:eastAsia="Arial" w:hAnsi="Arial"/>
                <w:sz w:val="17"/>
                <w:szCs w:val="17"/>
                <w:color w:val="auto"/>
                <w:w w:val="84"/>
              </w:rPr>
              <w:t>$</w:t>
            </w: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w w:val="87"/>
              </w:rPr>
              <w:t>112,534</w:t>
            </w:r>
          </w:p>
        </w:tc>
        <w:tc>
          <w:tcPr>
            <w:tcW w:w="280" w:type="dxa"/>
            <w:vAlign w:val="bottom"/>
            <w:tcBorders>
              <w:bottom w:val="single" w:sz="8" w:color="CFF0FC"/>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ind w:right="795"/>
              <w:spacing w:after="0"/>
              <w:rPr>
                <w:sz w:val="20"/>
                <w:szCs w:val="20"/>
                <w:color w:val="auto"/>
              </w:rPr>
            </w:pPr>
            <w:r>
              <w:rPr>
                <w:rFonts w:ascii="Arial" w:cs="Arial" w:eastAsia="Arial" w:hAnsi="Arial"/>
                <w:sz w:val="17"/>
                <w:szCs w:val="17"/>
                <w:color w:val="auto"/>
                <w:w w:val="84"/>
              </w:rPr>
              <w:t>$</w:t>
            </w: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w w:val="91"/>
              </w:rPr>
              <w:t>120,849</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
        </w:trPr>
        <w:tc>
          <w:tcPr>
            <w:tcW w:w="77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77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7720" w:type="dxa"/>
            <w:vAlign w:val="bottom"/>
            <w:shd w:val="clear" w:color="auto" w:fill="CFF0FC"/>
          </w:tcPr>
          <w:p>
            <w:pPr>
              <w:spacing w:after="0"/>
              <w:rPr>
                <w:sz w:val="20"/>
                <w:szCs w:val="20"/>
                <w:color w:val="auto"/>
              </w:rPr>
            </w:pPr>
            <w:r>
              <w:rPr>
                <w:rFonts w:ascii="Arial" w:cs="Arial" w:eastAsia="Arial" w:hAnsi="Arial"/>
                <w:sz w:val="17"/>
                <w:szCs w:val="17"/>
                <w:color w:val="auto"/>
              </w:rPr>
              <w:t>SUPPLEMENTAL CASH FLOW INFORMATION:</w:t>
            </w:r>
          </w:p>
        </w:tc>
        <w:tc>
          <w:tcPr>
            <w:tcW w:w="98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spacing w:after="0"/>
              <w:rPr>
                <w:sz w:val="20"/>
                <w:szCs w:val="20"/>
                <w:color w:val="auto"/>
              </w:rPr>
            </w:pPr>
            <w:r>
              <w:rPr>
                <w:rFonts w:ascii="Arial" w:cs="Arial" w:eastAsia="Arial" w:hAnsi="Arial"/>
                <w:sz w:val="17"/>
                <w:szCs w:val="17"/>
                <w:color w:val="auto"/>
              </w:rPr>
              <w:t>Non-cash additions to non-marketable equity investments</w:t>
            </w:r>
          </w:p>
        </w:tc>
        <w:tc>
          <w:tcPr>
            <w:tcW w:w="980" w:type="dxa"/>
            <w:vAlign w:val="bottom"/>
          </w:tcPr>
          <w:p>
            <w:pPr>
              <w:jc w:val="right"/>
              <w:ind w:right="795"/>
              <w:spacing w:after="0"/>
              <w:rPr>
                <w:sz w:val="20"/>
                <w:szCs w:val="20"/>
                <w:color w:val="auto"/>
              </w:rPr>
            </w:pPr>
            <w:r>
              <w:rPr>
                <w:rFonts w:ascii="Arial" w:cs="Arial" w:eastAsia="Arial" w:hAnsi="Arial"/>
                <w:sz w:val="17"/>
                <w:szCs w:val="17"/>
                <w:color w:val="auto"/>
                <w:w w:val="84"/>
              </w:rPr>
              <w:t>$</w:t>
            </w:r>
          </w:p>
        </w:tc>
        <w:tc>
          <w:tcPr>
            <w:tcW w:w="580" w:type="dxa"/>
            <w:vAlign w:val="bottom"/>
          </w:tcPr>
          <w:p>
            <w:pPr>
              <w:jc w:val="right"/>
              <w:spacing w:after="0"/>
              <w:rPr>
                <w:sz w:val="20"/>
                <w:szCs w:val="20"/>
                <w:color w:val="auto"/>
              </w:rPr>
            </w:pPr>
            <w:r>
              <w:rPr>
                <w:rFonts w:ascii="Arial" w:cs="Arial" w:eastAsia="Arial" w:hAnsi="Arial"/>
                <w:sz w:val="17"/>
                <w:szCs w:val="17"/>
                <w:color w:val="auto"/>
              </w:rPr>
              <w:t>1,300</w:t>
            </w:r>
          </w:p>
        </w:tc>
        <w:tc>
          <w:tcPr>
            <w:tcW w:w="280" w:type="dxa"/>
            <w:vAlign w:val="bottom"/>
          </w:tcPr>
          <w:p>
            <w:pPr>
              <w:spacing w:after="0"/>
              <w:rPr>
                <w:sz w:val="18"/>
                <w:szCs w:val="18"/>
                <w:color w:val="auto"/>
              </w:rPr>
            </w:pPr>
          </w:p>
        </w:tc>
        <w:tc>
          <w:tcPr>
            <w:tcW w:w="980" w:type="dxa"/>
            <w:vAlign w:val="bottom"/>
          </w:tcPr>
          <w:p>
            <w:pPr>
              <w:jc w:val="right"/>
              <w:ind w:right="795"/>
              <w:spacing w:after="0"/>
              <w:rPr>
                <w:sz w:val="20"/>
                <w:szCs w:val="20"/>
                <w:color w:val="auto"/>
              </w:rPr>
            </w:pPr>
            <w:r>
              <w:rPr>
                <w:rFonts w:ascii="Arial" w:cs="Arial" w:eastAsia="Arial" w:hAnsi="Arial"/>
                <w:sz w:val="17"/>
                <w:szCs w:val="17"/>
                <w:color w:val="auto"/>
                <w:w w:val="84"/>
              </w:rPr>
              <w:t>$</w:t>
            </w:r>
          </w:p>
        </w:tc>
        <w:tc>
          <w:tcPr>
            <w:tcW w:w="70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4908550</wp:posOffset>
            </wp:positionH>
            <wp:positionV relativeFrom="paragraph">
              <wp:posOffset>0</wp:posOffset>
            </wp:positionV>
            <wp:extent cx="2160270"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160270" cy="26035"/>
                    </a:xfrm>
                    <a:prstGeom prst="rect">
                      <a:avLst/>
                    </a:prstGeom>
                    <a:noFill/>
                  </pic:spPr>
                </pic:pic>
              </a:graphicData>
            </a:graphic>
          </wp:anchor>
        </w:drawing>
      </w:r>
    </w:p>
    <w:p>
      <w:pPr>
        <w:spacing w:after="0" w:line="1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See accompanying Notes to the Condensed Consolidated Financial Statements (unaudited).</w:t>
      </w: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229235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HEALTHSTREAM,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BASIS OF PRESENTATION</w:t>
      </w:r>
    </w:p>
    <w:p>
      <w:pPr>
        <w:spacing w:after="0" w:line="121" w:lineRule="exact"/>
        <w:rPr>
          <w:sz w:val="20"/>
          <w:szCs w:val="20"/>
          <w:color w:val="auto"/>
        </w:rPr>
      </w:pPr>
    </w:p>
    <w:p>
      <w:pPr>
        <w:jc w:val="both"/>
        <w:spacing w:after="0" w:line="219" w:lineRule="exact"/>
        <w:rPr>
          <w:sz w:val="20"/>
          <w:szCs w:val="20"/>
          <w:color w:val="auto"/>
        </w:rPr>
      </w:pPr>
      <w:r>
        <w:rPr>
          <w:rFonts w:ascii="Arial" w:cs="Arial" w:eastAsia="Arial" w:hAnsi="Arial"/>
          <w:sz w:val="17"/>
          <w:szCs w:val="17"/>
          <w:color w:val="auto"/>
        </w:rPr>
        <w:t>The accompanying Condensed Consolidated Financial Statements (unaudited) have been prepared in accordance with accounting principles generally accepted in the United States (“US GAAP”) for interim financial information and with the instructions to Form 10</w:t>
      </w:r>
      <w:r>
        <w:rPr>
          <w:rFonts w:ascii="MS PGothic" w:cs="MS PGothic" w:eastAsia="MS PGothic" w:hAnsi="MS PGothic"/>
          <w:sz w:val="17"/>
          <w:szCs w:val="17"/>
          <w:color w:val="auto"/>
        </w:rPr>
        <w:t>‑</w:t>
      </w:r>
      <w:r>
        <w:rPr>
          <w:rFonts w:ascii="Arial" w:cs="Arial" w:eastAsia="Arial" w:hAnsi="Arial"/>
          <w:sz w:val="17"/>
          <w:szCs w:val="17"/>
          <w:color w:val="auto"/>
        </w:rPr>
        <w:t>Q and Article 10 of Regulation S</w:t>
      </w:r>
      <w:r>
        <w:rPr>
          <w:rFonts w:ascii="MS PGothic" w:cs="MS PGothic" w:eastAsia="MS PGothic" w:hAnsi="MS PGothic"/>
          <w:sz w:val="17"/>
          <w:szCs w:val="17"/>
          <w:color w:val="auto"/>
        </w:rPr>
        <w:t>‑</w:t>
      </w:r>
      <w:r>
        <w:rPr>
          <w:rFonts w:ascii="Arial" w:cs="Arial" w:eastAsia="Arial" w:hAnsi="Arial"/>
          <w:sz w:val="17"/>
          <w:szCs w:val="17"/>
          <w:color w:val="auto"/>
        </w:rPr>
        <w:t>X. Accordingly, Condensed Consolidated Financial Statements do not include all information and footnotes required by US GAAP for complete financial statements. In the opinion of management, all adjustments (consisting of normal recurring accruals) considered necessary for a fair presentation have been included. All intercompany transactions have been eliminated in consolidation. Operating results for the three and six months ended June 30, 2020 are not necessarily indicative of the results that may be expected for the year ending December 31, 2020.</w:t>
      </w:r>
    </w:p>
    <w:p>
      <w:pPr>
        <w:spacing w:after="0" w:line="9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February 12, 2018, the Company divested its Patient Experience (“PX”) business to Press Ganey Associates, Inc. (“Press Ganey”). The sale of the PX business resulted in the Company’s divestiture of the Company’s patient experience solutions business segment. The Company has classified the results of its previously owned PX segment as discontinued operations in its Condensed Consolidated Statement of Income for the six months ended June 30, 2019. See Note 10 for additional information.</w:t>
      </w:r>
    </w:p>
    <w:p>
      <w:pPr>
        <w:spacing w:after="0" w:line="7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Condensed Consolidated Balance Sheet at December 31, 2019 has been derived from the audited Consolidated Financial Statements at that date does not include all information and footnotes required by US GAAP for complete financial statements. For further information, refer to the Consolidated Financial Statements and footnotes thereto for the year ended December 31, 2019 (included in the Company's Annual Report on Form 10-K, filed with the Securities and Exchange Commission on February 26, 2020).</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RECENT ACCOUNTING PRONOUNCEMENTS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Standards Recently Adopted</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In June 2016, the FASB issued ASU 2016-03, </w:t>
      </w:r>
      <w:r>
        <w:rPr>
          <w:rFonts w:ascii="Arial" w:cs="Arial" w:eastAsia="Arial" w:hAnsi="Arial"/>
          <w:sz w:val="18"/>
          <w:szCs w:val="18"/>
          <w:i w:val="1"/>
          <w:iCs w:val="1"/>
          <w:color w:val="auto"/>
        </w:rPr>
        <w:t>Financial Instruments—Credit Losses (“ASC 326”): Measurement of Credit Losses on Financial</w:t>
      </w:r>
      <w:r>
        <w:rPr>
          <w:rFonts w:ascii="Arial" w:cs="Arial" w:eastAsia="Arial" w:hAnsi="Arial"/>
          <w:sz w:val="18"/>
          <w:szCs w:val="18"/>
          <w:color w:val="auto"/>
        </w:rPr>
        <w:t xml:space="preserve"> </w:t>
      </w:r>
      <w:r>
        <w:rPr>
          <w:rFonts w:ascii="Arial" w:cs="Arial" w:eastAsia="Arial" w:hAnsi="Arial"/>
          <w:sz w:val="18"/>
          <w:szCs w:val="18"/>
          <w:i w:val="1"/>
          <w:iCs w:val="1"/>
          <w:color w:val="auto"/>
        </w:rPr>
        <w:t>Instruments</w:t>
      </w:r>
      <w:r>
        <w:rPr>
          <w:rFonts w:ascii="Arial" w:cs="Arial" w:eastAsia="Arial" w:hAnsi="Arial"/>
          <w:sz w:val="18"/>
          <w:szCs w:val="18"/>
          <w:color w:val="auto"/>
        </w:rPr>
        <w:t>, which amends guidance on reporting credit losses for assets held at amortized cost basis and available for sale debt securities. For assets held</w:t>
      </w:r>
      <w:r>
        <w:rPr>
          <w:rFonts w:ascii="Arial" w:cs="Arial" w:eastAsia="Arial" w:hAnsi="Arial"/>
          <w:sz w:val="18"/>
          <w:szCs w:val="18"/>
          <w:i w:val="1"/>
          <w:iCs w:val="1"/>
          <w:color w:val="auto"/>
        </w:rPr>
        <w:t xml:space="preserve"> </w:t>
      </w:r>
      <w:r>
        <w:rPr>
          <w:rFonts w:ascii="Arial" w:cs="Arial" w:eastAsia="Arial" w:hAnsi="Arial"/>
          <w:sz w:val="18"/>
          <w:szCs w:val="18"/>
          <w:color w:val="auto"/>
        </w:rPr>
        <w:t>at amortized cost basis, ASC 326 eliminates the probable initial recognition threshold in prior GAAP and, instead, requires an entity to reflect its current estimate of all expected credit losses. The Company adopted this ASU on January 1, 2020, and the effect of adoption on the Company’s Consolidated Financial Statements and related disclosures was not material.</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REVENUE RECOGNITION AND SALES COMMISSIONS</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Revenues are recognized when control of the promised goods or services is transferred to the customer in an amount that reflects the consideration the Company expects to be entitled to in exchange for transferring those goods or services.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Revenue is recognized based on the following five step model:</w:t>
      </w:r>
    </w:p>
    <w:p>
      <w:pPr>
        <w:spacing w:after="0" w:line="117" w:lineRule="exact"/>
        <w:rPr>
          <w:sz w:val="20"/>
          <w:szCs w:val="20"/>
          <w:color w:val="auto"/>
        </w:rPr>
      </w:pPr>
    </w:p>
    <w:p>
      <w:pPr>
        <w:ind w:left="800" w:hanging="401"/>
        <w:spacing w:after="0"/>
        <w:tabs>
          <w:tab w:leader="none" w:pos="800" w:val="left"/>
        </w:tabs>
        <w:numPr>
          <w:ilvl w:val="0"/>
          <w:numId w:val="4"/>
        </w:numPr>
        <w:rPr>
          <w:rFonts w:ascii="Arial" w:cs="Arial" w:eastAsia="Arial" w:hAnsi="Arial"/>
          <w:sz w:val="18"/>
          <w:szCs w:val="18"/>
          <w:color w:val="auto"/>
        </w:rPr>
      </w:pPr>
      <w:r>
        <w:rPr>
          <w:rFonts w:ascii="Arial" w:cs="Arial" w:eastAsia="Arial" w:hAnsi="Arial"/>
          <w:sz w:val="18"/>
          <w:szCs w:val="18"/>
          <w:color w:val="auto"/>
        </w:rPr>
        <w:t>Identification of the contract with a customer</w:t>
      </w:r>
    </w:p>
    <w:p>
      <w:pPr>
        <w:spacing w:after="0" w:line="117" w:lineRule="exact"/>
        <w:rPr>
          <w:rFonts w:ascii="Arial" w:cs="Arial" w:eastAsia="Arial" w:hAnsi="Arial"/>
          <w:sz w:val="18"/>
          <w:szCs w:val="18"/>
          <w:color w:val="auto"/>
        </w:rPr>
      </w:pPr>
    </w:p>
    <w:p>
      <w:pPr>
        <w:ind w:left="800" w:hanging="401"/>
        <w:spacing w:after="0"/>
        <w:tabs>
          <w:tab w:leader="none" w:pos="800" w:val="left"/>
        </w:tabs>
        <w:numPr>
          <w:ilvl w:val="0"/>
          <w:numId w:val="4"/>
        </w:numPr>
        <w:rPr>
          <w:rFonts w:ascii="Arial" w:cs="Arial" w:eastAsia="Arial" w:hAnsi="Arial"/>
          <w:sz w:val="18"/>
          <w:szCs w:val="18"/>
          <w:color w:val="auto"/>
        </w:rPr>
      </w:pPr>
      <w:r>
        <w:rPr>
          <w:rFonts w:ascii="Arial" w:cs="Arial" w:eastAsia="Arial" w:hAnsi="Arial"/>
          <w:sz w:val="18"/>
          <w:szCs w:val="18"/>
          <w:color w:val="auto"/>
        </w:rPr>
        <w:t>Identification of the performance obligations in the contract</w:t>
      </w:r>
    </w:p>
    <w:p>
      <w:pPr>
        <w:spacing w:after="0" w:line="117" w:lineRule="exact"/>
        <w:rPr>
          <w:rFonts w:ascii="Arial" w:cs="Arial" w:eastAsia="Arial" w:hAnsi="Arial"/>
          <w:sz w:val="18"/>
          <w:szCs w:val="18"/>
          <w:color w:val="auto"/>
        </w:rPr>
      </w:pPr>
    </w:p>
    <w:p>
      <w:pPr>
        <w:ind w:left="800" w:hanging="401"/>
        <w:spacing w:after="0"/>
        <w:tabs>
          <w:tab w:leader="none" w:pos="800" w:val="left"/>
        </w:tabs>
        <w:numPr>
          <w:ilvl w:val="0"/>
          <w:numId w:val="4"/>
        </w:numPr>
        <w:rPr>
          <w:rFonts w:ascii="Arial" w:cs="Arial" w:eastAsia="Arial" w:hAnsi="Arial"/>
          <w:sz w:val="18"/>
          <w:szCs w:val="18"/>
          <w:color w:val="auto"/>
        </w:rPr>
      </w:pPr>
      <w:r>
        <w:rPr>
          <w:rFonts w:ascii="Arial" w:cs="Arial" w:eastAsia="Arial" w:hAnsi="Arial"/>
          <w:sz w:val="18"/>
          <w:szCs w:val="18"/>
          <w:color w:val="auto"/>
        </w:rPr>
        <w:t>Determination of the transaction price</w:t>
      </w:r>
    </w:p>
    <w:p>
      <w:pPr>
        <w:spacing w:after="0" w:line="117" w:lineRule="exact"/>
        <w:rPr>
          <w:rFonts w:ascii="Arial" w:cs="Arial" w:eastAsia="Arial" w:hAnsi="Arial"/>
          <w:sz w:val="18"/>
          <w:szCs w:val="18"/>
          <w:color w:val="auto"/>
        </w:rPr>
      </w:pPr>
    </w:p>
    <w:p>
      <w:pPr>
        <w:ind w:left="800" w:hanging="401"/>
        <w:spacing w:after="0"/>
        <w:tabs>
          <w:tab w:leader="none" w:pos="800" w:val="left"/>
        </w:tabs>
        <w:numPr>
          <w:ilvl w:val="0"/>
          <w:numId w:val="4"/>
        </w:numPr>
        <w:rPr>
          <w:rFonts w:ascii="Arial" w:cs="Arial" w:eastAsia="Arial" w:hAnsi="Arial"/>
          <w:sz w:val="18"/>
          <w:szCs w:val="18"/>
          <w:color w:val="auto"/>
        </w:rPr>
      </w:pPr>
      <w:r>
        <w:rPr>
          <w:rFonts w:ascii="Arial" w:cs="Arial" w:eastAsia="Arial" w:hAnsi="Arial"/>
          <w:sz w:val="18"/>
          <w:szCs w:val="18"/>
          <w:color w:val="auto"/>
        </w:rPr>
        <w:t>Allocation of the transaction price to the performance obligations in the contract</w:t>
      </w:r>
    </w:p>
    <w:p>
      <w:pPr>
        <w:spacing w:after="0" w:line="117" w:lineRule="exact"/>
        <w:rPr>
          <w:rFonts w:ascii="Arial" w:cs="Arial" w:eastAsia="Arial" w:hAnsi="Arial"/>
          <w:sz w:val="18"/>
          <w:szCs w:val="18"/>
          <w:color w:val="auto"/>
        </w:rPr>
      </w:pPr>
    </w:p>
    <w:p>
      <w:pPr>
        <w:ind w:left="800" w:hanging="401"/>
        <w:spacing w:after="0"/>
        <w:tabs>
          <w:tab w:leader="none" w:pos="80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Recognition of revenue when, or as, the Company satisfies a performance obligation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229235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HEALTHSTREAM,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33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represents revenues disaggregated by revenue source for the three and six months ended June 30, 2020 and 2019 (in thousands). Sales taxes are excluded from revenues.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3940" w:type="dxa"/>
            <w:vAlign w:val="bottom"/>
            <w:tcBorders>
              <w:bottom w:val="single" w:sz="8" w:color="auto"/>
            </w:tcBorders>
            <w:gridSpan w:val="7"/>
          </w:tcPr>
          <w:p>
            <w:pPr>
              <w:jc w:val="center"/>
              <w:ind w:right="115"/>
              <w:spacing w:after="0"/>
              <w:rPr>
                <w:sz w:val="20"/>
                <w:szCs w:val="20"/>
                <w:color w:val="auto"/>
              </w:rPr>
            </w:pPr>
            <w:r>
              <w:rPr>
                <w:rFonts w:ascii="Arial" w:cs="Arial" w:eastAsia="Arial" w:hAnsi="Arial"/>
                <w:sz w:val="14"/>
                <w:szCs w:val="14"/>
                <w:b w:val="1"/>
                <w:bCs w:val="1"/>
                <w:color w:val="auto"/>
                <w:w w:val="93"/>
              </w:rPr>
              <w:t>Three Months Ended June 30, 2020</w:t>
            </w:r>
          </w:p>
        </w:tc>
        <w:tc>
          <w:tcPr>
            <w:tcW w:w="2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900" w:type="dxa"/>
            <w:vAlign w:val="bottom"/>
            <w:tcBorders>
              <w:bottom w:val="single" w:sz="8" w:color="auto"/>
            </w:tcBorders>
            <w:gridSpan w:val="6"/>
          </w:tcPr>
          <w:p>
            <w:pPr>
              <w:jc w:val="center"/>
              <w:ind w:left="779"/>
              <w:spacing w:after="0"/>
              <w:rPr>
                <w:sz w:val="20"/>
                <w:szCs w:val="20"/>
                <w:color w:val="auto"/>
              </w:rPr>
            </w:pPr>
            <w:r>
              <w:rPr>
                <w:rFonts w:ascii="Arial" w:cs="Arial" w:eastAsia="Arial" w:hAnsi="Arial"/>
                <w:sz w:val="14"/>
                <w:szCs w:val="14"/>
                <w:b w:val="1"/>
                <w:bCs w:val="1"/>
                <w:color w:val="auto"/>
                <w:w w:val="92"/>
              </w:rPr>
              <w:t>Six Months Ended June 30, 2020</w:t>
            </w:r>
          </w:p>
        </w:tc>
        <w:tc>
          <w:tcPr>
            <w:tcW w:w="10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6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Business Segments</w:t>
            </w:r>
          </w:p>
        </w:tc>
        <w:tc>
          <w:tcPr>
            <w:tcW w:w="180" w:type="dxa"/>
            <w:vAlign w:val="bottom"/>
          </w:tcPr>
          <w:p>
            <w:pPr>
              <w:spacing w:after="0"/>
              <w:rPr>
                <w:sz w:val="11"/>
                <w:szCs w:val="11"/>
                <w:color w:val="auto"/>
              </w:rPr>
            </w:pPr>
          </w:p>
        </w:tc>
        <w:tc>
          <w:tcPr>
            <w:tcW w:w="1280" w:type="dxa"/>
            <w:vAlign w:val="bottom"/>
            <w:gridSpan w:val="2"/>
          </w:tcPr>
          <w:p>
            <w:pPr>
              <w:jc w:val="center"/>
              <w:ind w:right="420"/>
              <w:spacing w:after="0" w:line="133" w:lineRule="exact"/>
              <w:rPr>
                <w:sz w:val="20"/>
                <w:szCs w:val="20"/>
                <w:color w:val="auto"/>
              </w:rPr>
            </w:pPr>
            <w:r>
              <w:rPr>
                <w:rFonts w:ascii="Arial" w:cs="Arial" w:eastAsia="Arial" w:hAnsi="Arial"/>
                <w:sz w:val="14"/>
                <w:szCs w:val="14"/>
                <w:b w:val="1"/>
                <w:bCs w:val="1"/>
                <w:color w:val="auto"/>
                <w:w w:val="95"/>
              </w:rPr>
              <w:t>Workforce</w:t>
            </w:r>
          </w:p>
        </w:tc>
        <w:tc>
          <w:tcPr>
            <w:tcW w:w="200" w:type="dxa"/>
            <w:vAlign w:val="bottom"/>
          </w:tcPr>
          <w:p>
            <w:pPr>
              <w:spacing w:after="0"/>
              <w:rPr>
                <w:sz w:val="11"/>
                <w:szCs w:val="11"/>
                <w:color w:val="auto"/>
              </w:rPr>
            </w:pPr>
          </w:p>
        </w:tc>
        <w:tc>
          <w:tcPr>
            <w:tcW w:w="1260" w:type="dxa"/>
            <w:vAlign w:val="bottom"/>
            <w:gridSpan w:val="2"/>
          </w:tcPr>
          <w:p>
            <w:pPr>
              <w:jc w:val="center"/>
              <w:ind w:right="480"/>
              <w:spacing w:after="0" w:line="133" w:lineRule="exact"/>
              <w:rPr>
                <w:sz w:val="20"/>
                <w:szCs w:val="20"/>
                <w:color w:val="auto"/>
              </w:rPr>
            </w:pPr>
            <w:r>
              <w:rPr>
                <w:rFonts w:ascii="Arial" w:cs="Arial" w:eastAsia="Arial" w:hAnsi="Arial"/>
                <w:sz w:val="14"/>
                <w:szCs w:val="14"/>
                <w:b w:val="1"/>
                <w:bCs w:val="1"/>
                <w:color w:val="auto"/>
                <w:w w:val="94"/>
              </w:rPr>
              <w:t>Provider</w:t>
            </w:r>
          </w:p>
        </w:tc>
        <w:tc>
          <w:tcPr>
            <w:tcW w:w="140" w:type="dxa"/>
            <w:vAlign w:val="bottom"/>
          </w:tcPr>
          <w:p>
            <w:pPr>
              <w:spacing w:after="0"/>
              <w:rPr>
                <w:sz w:val="11"/>
                <w:szCs w:val="11"/>
                <w:color w:val="auto"/>
              </w:rPr>
            </w:pPr>
          </w:p>
        </w:tc>
        <w:tc>
          <w:tcPr>
            <w:tcW w:w="132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Consolidated</w:t>
            </w:r>
          </w:p>
        </w:tc>
        <w:tc>
          <w:tcPr>
            <w:tcW w:w="180" w:type="dxa"/>
            <w:vAlign w:val="bottom"/>
          </w:tcPr>
          <w:p>
            <w:pPr>
              <w:spacing w:after="0"/>
              <w:rPr>
                <w:sz w:val="11"/>
                <w:szCs w:val="11"/>
                <w:color w:val="auto"/>
              </w:rPr>
            </w:pPr>
          </w:p>
        </w:tc>
        <w:tc>
          <w:tcPr>
            <w:tcW w:w="1280" w:type="dxa"/>
            <w:vAlign w:val="bottom"/>
            <w:gridSpan w:val="2"/>
          </w:tcPr>
          <w:p>
            <w:pPr>
              <w:jc w:val="center"/>
              <w:ind w:right="460"/>
              <w:spacing w:after="0" w:line="133" w:lineRule="exact"/>
              <w:rPr>
                <w:sz w:val="20"/>
                <w:szCs w:val="20"/>
                <w:color w:val="auto"/>
              </w:rPr>
            </w:pPr>
            <w:r>
              <w:rPr>
                <w:rFonts w:ascii="Arial" w:cs="Arial" w:eastAsia="Arial" w:hAnsi="Arial"/>
                <w:sz w:val="14"/>
                <w:szCs w:val="14"/>
                <w:b w:val="1"/>
                <w:bCs w:val="1"/>
                <w:color w:val="auto"/>
                <w:w w:val="95"/>
              </w:rPr>
              <w:t>Workforce</w:t>
            </w:r>
          </w:p>
        </w:tc>
        <w:tc>
          <w:tcPr>
            <w:tcW w:w="200" w:type="dxa"/>
            <w:vAlign w:val="bottom"/>
          </w:tcPr>
          <w:p>
            <w:pPr>
              <w:spacing w:after="0"/>
              <w:rPr>
                <w:sz w:val="11"/>
                <w:szCs w:val="11"/>
                <w:color w:val="auto"/>
              </w:rPr>
            </w:pPr>
          </w:p>
        </w:tc>
        <w:tc>
          <w:tcPr>
            <w:tcW w:w="1260" w:type="dxa"/>
            <w:vAlign w:val="bottom"/>
            <w:gridSpan w:val="2"/>
          </w:tcPr>
          <w:p>
            <w:pPr>
              <w:jc w:val="center"/>
              <w:ind w:right="480"/>
              <w:spacing w:after="0" w:line="133" w:lineRule="exact"/>
              <w:rPr>
                <w:sz w:val="20"/>
                <w:szCs w:val="20"/>
                <w:color w:val="auto"/>
              </w:rPr>
            </w:pPr>
            <w:r>
              <w:rPr>
                <w:rFonts w:ascii="Arial" w:cs="Arial" w:eastAsia="Arial" w:hAnsi="Arial"/>
                <w:sz w:val="14"/>
                <w:szCs w:val="14"/>
                <w:b w:val="1"/>
                <w:bCs w:val="1"/>
                <w:color w:val="auto"/>
                <w:w w:val="94"/>
              </w:rPr>
              <w:t>Provider</w:t>
            </w:r>
          </w:p>
        </w:tc>
        <w:tc>
          <w:tcPr>
            <w:tcW w:w="160" w:type="dxa"/>
            <w:vAlign w:val="bottom"/>
          </w:tcPr>
          <w:p>
            <w:pPr>
              <w:spacing w:after="0"/>
              <w:rPr>
                <w:sz w:val="11"/>
                <w:szCs w:val="11"/>
                <w:color w:val="auto"/>
              </w:rPr>
            </w:pPr>
          </w:p>
        </w:tc>
        <w:tc>
          <w:tcPr>
            <w:tcW w:w="11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Consolidated</w:t>
            </w:r>
          </w:p>
        </w:tc>
        <w:tc>
          <w:tcPr>
            <w:tcW w:w="0" w:type="dxa"/>
            <w:vAlign w:val="bottom"/>
          </w:tcPr>
          <w:p>
            <w:pPr>
              <w:spacing w:after="0"/>
              <w:rPr>
                <w:sz w:val="1"/>
                <w:szCs w:val="1"/>
                <w:color w:val="auto"/>
              </w:rPr>
            </w:pPr>
          </w:p>
        </w:tc>
      </w:tr>
      <w:tr>
        <w:trPr>
          <w:trHeight w:val="171"/>
        </w:trPr>
        <w:tc>
          <w:tcPr>
            <w:tcW w:w="262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7"/>
              </w:rPr>
              <w:t>Solutions</w:t>
            </w:r>
          </w:p>
        </w:tc>
        <w:tc>
          <w:tcPr>
            <w:tcW w:w="200" w:type="dxa"/>
            <w:vAlign w:val="bottom"/>
          </w:tcPr>
          <w:p>
            <w:pPr>
              <w:spacing w:after="0"/>
              <w:rPr>
                <w:sz w:val="14"/>
                <w:szCs w:val="14"/>
                <w:color w:val="auto"/>
              </w:rPr>
            </w:pPr>
          </w:p>
        </w:tc>
        <w:tc>
          <w:tcPr>
            <w:tcW w:w="126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87"/>
              </w:rPr>
              <w:t>Solutions</w:t>
            </w:r>
          </w:p>
        </w:tc>
        <w:tc>
          <w:tcPr>
            <w:tcW w:w="140" w:type="dxa"/>
            <w:vAlign w:val="bottom"/>
          </w:tcPr>
          <w:p>
            <w:pPr>
              <w:spacing w:after="0"/>
              <w:rPr>
                <w:sz w:val="14"/>
                <w:szCs w:val="14"/>
                <w:color w:val="auto"/>
              </w:rPr>
            </w:pPr>
          </w:p>
        </w:tc>
        <w:tc>
          <w:tcPr>
            <w:tcW w:w="132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7"/>
              </w:rPr>
              <w:t>Solutions</w:t>
            </w:r>
          </w:p>
        </w:tc>
        <w:tc>
          <w:tcPr>
            <w:tcW w:w="200" w:type="dxa"/>
            <w:vAlign w:val="bottom"/>
          </w:tcPr>
          <w:p>
            <w:pPr>
              <w:spacing w:after="0"/>
              <w:rPr>
                <w:sz w:val="14"/>
                <w:szCs w:val="14"/>
                <w:color w:val="auto"/>
              </w:rPr>
            </w:pPr>
          </w:p>
        </w:tc>
        <w:tc>
          <w:tcPr>
            <w:tcW w:w="126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0"/>
              </w:rPr>
              <w:t>Solutions</w:t>
            </w:r>
          </w:p>
        </w:tc>
        <w:tc>
          <w:tcPr>
            <w:tcW w:w="16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24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Subscription services</w:t>
            </w:r>
          </w:p>
        </w:tc>
        <w:tc>
          <w:tcPr>
            <w:tcW w:w="1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47,981</w:t>
            </w:r>
          </w:p>
        </w:tc>
        <w:tc>
          <w:tcPr>
            <w:tcW w:w="26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9,954</w:t>
            </w:r>
          </w:p>
        </w:tc>
        <w:tc>
          <w:tcPr>
            <w:tcW w:w="26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57,935</w:t>
            </w:r>
          </w:p>
        </w:tc>
        <w:tc>
          <w:tcPr>
            <w:tcW w:w="26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96,699</w:t>
            </w:r>
          </w:p>
        </w:tc>
        <w:tc>
          <w:tcPr>
            <w:tcW w:w="26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19,581</w:t>
            </w:r>
          </w:p>
        </w:tc>
        <w:tc>
          <w:tcPr>
            <w:tcW w:w="26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116,280</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62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Professional services</w:t>
            </w:r>
          </w:p>
        </w:tc>
        <w:tc>
          <w:tcPr>
            <w:tcW w:w="1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907</w:t>
            </w:r>
          </w:p>
        </w:tc>
        <w:tc>
          <w:tcPr>
            <w:tcW w:w="26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1,711</w:t>
            </w:r>
          </w:p>
        </w:tc>
        <w:tc>
          <w:tcPr>
            <w:tcW w:w="26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2,618</w:t>
            </w:r>
          </w:p>
        </w:tc>
        <w:tc>
          <w:tcPr>
            <w:tcW w:w="26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2,013</w:t>
            </w:r>
          </w:p>
        </w:tc>
        <w:tc>
          <w:tcPr>
            <w:tcW w:w="26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3,832</w:t>
            </w:r>
          </w:p>
        </w:tc>
        <w:tc>
          <w:tcPr>
            <w:tcW w:w="26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5,845</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620" w:type="dxa"/>
            <w:vAlign w:val="bottom"/>
            <w:tcBorders>
              <w:bottom w:val="single" w:sz="8" w:color="CFF0FC"/>
            </w:tcBorders>
            <w:gridSpan w:val="2"/>
            <w:shd w:val="clear" w:color="auto" w:fill="CFF0FC"/>
          </w:tcPr>
          <w:p>
            <w:pPr>
              <w:ind w:left="260"/>
              <w:spacing w:after="0"/>
              <w:rPr>
                <w:sz w:val="20"/>
                <w:szCs w:val="20"/>
                <w:color w:val="auto"/>
              </w:rPr>
            </w:pPr>
            <w:r>
              <w:rPr>
                <w:rFonts w:ascii="Arial" w:cs="Arial" w:eastAsia="Arial" w:hAnsi="Arial"/>
                <w:sz w:val="18"/>
                <w:szCs w:val="18"/>
                <w:color w:val="auto"/>
              </w:rPr>
              <w:t>Total revenues, net</w:t>
            </w: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48,888</w:t>
            </w:r>
          </w:p>
        </w:tc>
        <w:tc>
          <w:tcPr>
            <w:tcW w:w="26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11,665</w:t>
            </w:r>
          </w:p>
        </w:tc>
        <w:tc>
          <w:tcPr>
            <w:tcW w:w="26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60,553</w:t>
            </w:r>
          </w:p>
        </w:tc>
        <w:tc>
          <w:tcPr>
            <w:tcW w:w="26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98,712</w:t>
            </w:r>
          </w:p>
        </w:tc>
        <w:tc>
          <w:tcPr>
            <w:tcW w:w="26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23,413</w:t>
            </w:r>
          </w:p>
        </w:tc>
        <w:tc>
          <w:tcPr>
            <w:tcW w:w="26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122,125</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0" w:type="dxa"/>
            <w:vAlign w:val="bottom"/>
            <w:tcBorders>
              <w:bottom w:val="single" w:sz="8" w:color="auto"/>
            </w:tcBorders>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0" w:type="dxa"/>
            <w:vAlign w:val="bottom"/>
            <w:tcBorders>
              <w:bottom w:val="single" w:sz="8" w:color="auto"/>
            </w:tcBorders>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0" w:type="dxa"/>
            <w:vAlign w:val="bottom"/>
            <w:tcBorders>
              <w:bottom w:val="single" w:sz="8" w:color="auto"/>
            </w:tcBorders>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2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940" w:type="dxa"/>
            <w:vAlign w:val="bottom"/>
            <w:tcBorders>
              <w:bottom w:val="single" w:sz="8" w:color="auto"/>
            </w:tcBorders>
            <w:gridSpan w:val="7"/>
          </w:tcPr>
          <w:p>
            <w:pPr>
              <w:jc w:val="center"/>
              <w:ind w:right="115"/>
              <w:spacing w:after="0"/>
              <w:rPr>
                <w:sz w:val="20"/>
                <w:szCs w:val="20"/>
                <w:color w:val="auto"/>
              </w:rPr>
            </w:pPr>
            <w:r>
              <w:rPr>
                <w:rFonts w:ascii="Arial" w:cs="Arial" w:eastAsia="Arial" w:hAnsi="Arial"/>
                <w:sz w:val="14"/>
                <w:szCs w:val="14"/>
                <w:b w:val="1"/>
                <w:bCs w:val="1"/>
                <w:color w:val="auto"/>
                <w:w w:val="93"/>
              </w:rPr>
              <w:t>Three Months Ended June 30, 2019</w:t>
            </w:r>
          </w:p>
        </w:tc>
        <w:tc>
          <w:tcPr>
            <w:tcW w:w="2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900" w:type="dxa"/>
            <w:vAlign w:val="bottom"/>
            <w:tcBorders>
              <w:bottom w:val="single" w:sz="8" w:color="auto"/>
            </w:tcBorders>
            <w:gridSpan w:val="6"/>
          </w:tcPr>
          <w:p>
            <w:pPr>
              <w:jc w:val="center"/>
              <w:ind w:left="779"/>
              <w:spacing w:after="0"/>
              <w:rPr>
                <w:sz w:val="20"/>
                <w:szCs w:val="20"/>
                <w:color w:val="auto"/>
              </w:rPr>
            </w:pPr>
            <w:r>
              <w:rPr>
                <w:rFonts w:ascii="Arial" w:cs="Arial" w:eastAsia="Arial" w:hAnsi="Arial"/>
                <w:sz w:val="14"/>
                <w:szCs w:val="14"/>
                <w:b w:val="1"/>
                <w:bCs w:val="1"/>
                <w:color w:val="auto"/>
                <w:w w:val="92"/>
              </w:rPr>
              <w:t>Six Months Ended June 30, 2019</w:t>
            </w:r>
          </w:p>
        </w:tc>
        <w:tc>
          <w:tcPr>
            <w:tcW w:w="10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26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Business Segments</w:t>
            </w:r>
          </w:p>
        </w:tc>
        <w:tc>
          <w:tcPr>
            <w:tcW w:w="180" w:type="dxa"/>
            <w:vAlign w:val="bottom"/>
          </w:tcPr>
          <w:p>
            <w:pPr>
              <w:spacing w:after="0"/>
              <w:rPr>
                <w:sz w:val="11"/>
                <w:szCs w:val="11"/>
                <w:color w:val="auto"/>
              </w:rPr>
            </w:pPr>
          </w:p>
        </w:tc>
        <w:tc>
          <w:tcPr>
            <w:tcW w:w="1280" w:type="dxa"/>
            <w:vAlign w:val="bottom"/>
            <w:gridSpan w:val="2"/>
          </w:tcPr>
          <w:p>
            <w:pPr>
              <w:jc w:val="center"/>
              <w:ind w:right="420"/>
              <w:spacing w:after="0" w:line="133" w:lineRule="exact"/>
              <w:rPr>
                <w:sz w:val="20"/>
                <w:szCs w:val="20"/>
                <w:color w:val="auto"/>
              </w:rPr>
            </w:pPr>
            <w:r>
              <w:rPr>
                <w:rFonts w:ascii="Arial" w:cs="Arial" w:eastAsia="Arial" w:hAnsi="Arial"/>
                <w:sz w:val="14"/>
                <w:szCs w:val="14"/>
                <w:b w:val="1"/>
                <w:bCs w:val="1"/>
                <w:color w:val="auto"/>
                <w:w w:val="95"/>
              </w:rPr>
              <w:t>Workforce</w:t>
            </w:r>
          </w:p>
        </w:tc>
        <w:tc>
          <w:tcPr>
            <w:tcW w:w="200" w:type="dxa"/>
            <w:vAlign w:val="bottom"/>
          </w:tcPr>
          <w:p>
            <w:pPr>
              <w:spacing w:after="0"/>
              <w:rPr>
                <w:sz w:val="11"/>
                <w:szCs w:val="11"/>
                <w:color w:val="auto"/>
              </w:rPr>
            </w:pPr>
          </w:p>
        </w:tc>
        <w:tc>
          <w:tcPr>
            <w:tcW w:w="1260" w:type="dxa"/>
            <w:vAlign w:val="bottom"/>
            <w:gridSpan w:val="2"/>
          </w:tcPr>
          <w:p>
            <w:pPr>
              <w:jc w:val="center"/>
              <w:ind w:right="480"/>
              <w:spacing w:after="0" w:line="133" w:lineRule="exact"/>
              <w:rPr>
                <w:sz w:val="20"/>
                <w:szCs w:val="20"/>
                <w:color w:val="auto"/>
              </w:rPr>
            </w:pPr>
            <w:r>
              <w:rPr>
                <w:rFonts w:ascii="Arial" w:cs="Arial" w:eastAsia="Arial" w:hAnsi="Arial"/>
                <w:sz w:val="14"/>
                <w:szCs w:val="14"/>
                <w:b w:val="1"/>
                <w:bCs w:val="1"/>
                <w:color w:val="auto"/>
                <w:w w:val="94"/>
              </w:rPr>
              <w:t>Provider</w:t>
            </w:r>
          </w:p>
        </w:tc>
        <w:tc>
          <w:tcPr>
            <w:tcW w:w="140" w:type="dxa"/>
            <w:vAlign w:val="bottom"/>
          </w:tcPr>
          <w:p>
            <w:pPr>
              <w:spacing w:after="0"/>
              <w:rPr>
                <w:sz w:val="11"/>
                <w:szCs w:val="11"/>
                <w:color w:val="auto"/>
              </w:rPr>
            </w:pPr>
          </w:p>
        </w:tc>
        <w:tc>
          <w:tcPr>
            <w:tcW w:w="132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Consolidated</w:t>
            </w:r>
          </w:p>
        </w:tc>
        <w:tc>
          <w:tcPr>
            <w:tcW w:w="180" w:type="dxa"/>
            <w:vAlign w:val="bottom"/>
          </w:tcPr>
          <w:p>
            <w:pPr>
              <w:spacing w:after="0"/>
              <w:rPr>
                <w:sz w:val="11"/>
                <w:szCs w:val="11"/>
                <w:color w:val="auto"/>
              </w:rPr>
            </w:pPr>
          </w:p>
        </w:tc>
        <w:tc>
          <w:tcPr>
            <w:tcW w:w="1280" w:type="dxa"/>
            <w:vAlign w:val="bottom"/>
            <w:gridSpan w:val="2"/>
          </w:tcPr>
          <w:p>
            <w:pPr>
              <w:jc w:val="center"/>
              <w:ind w:right="460"/>
              <w:spacing w:after="0" w:line="133" w:lineRule="exact"/>
              <w:rPr>
                <w:sz w:val="20"/>
                <w:szCs w:val="20"/>
                <w:color w:val="auto"/>
              </w:rPr>
            </w:pPr>
            <w:r>
              <w:rPr>
                <w:rFonts w:ascii="Arial" w:cs="Arial" w:eastAsia="Arial" w:hAnsi="Arial"/>
                <w:sz w:val="14"/>
                <w:szCs w:val="14"/>
                <w:b w:val="1"/>
                <w:bCs w:val="1"/>
                <w:color w:val="auto"/>
                <w:w w:val="95"/>
              </w:rPr>
              <w:t>Workforce</w:t>
            </w:r>
          </w:p>
        </w:tc>
        <w:tc>
          <w:tcPr>
            <w:tcW w:w="200" w:type="dxa"/>
            <w:vAlign w:val="bottom"/>
          </w:tcPr>
          <w:p>
            <w:pPr>
              <w:spacing w:after="0"/>
              <w:rPr>
                <w:sz w:val="11"/>
                <w:szCs w:val="11"/>
                <w:color w:val="auto"/>
              </w:rPr>
            </w:pPr>
          </w:p>
        </w:tc>
        <w:tc>
          <w:tcPr>
            <w:tcW w:w="1260" w:type="dxa"/>
            <w:vAlign w:val="bottom"/>
            <w:gridSpan w:val="2"/>
          </w:tcPr>
          <w:p>
            <w:pPr>
              <w:jc w:val="center"/>
              <w:ind w:right="480"/>
              <w:spacing w:after="0" w:line="133" w:lineRule="exact"/>
              <w:rPr>
                <w:sz w:val="20"/>
                <w:szCs w:val="20"/>
                <w:color w:val="auto"/>
              </w:rPr>
            </w:pPr>
            <w:r>
              <w:rPr>
                <w:rFonts w:ascii="Arial" w:cs="Arial" w:eastAsia="Arial" w:hAnsi="Arial"/>
                <w:sz w:val="14"/>
                <w:szCs w:val="14"/>
                <w:b w:val="1"/>
                <w:bCs w:val="1"/>
                <w:color w:val="auto"/>
                <w:w w:val="94"/>
              </w:rPr>
              <w:t>Provider</w:t>
            </w:r>
          </w:p>
        </w:tc>
        <w:tc>
          <w:tcPr>
            <w:tcW w:w="160" w:type="dxa"/>
            <w:vAlign w:val="bottom"/>
          </w:tcPr>
          <w:p>
            <w:pPr>
              <w:spacing w:after="0"/>
              <w:rPr>
                <w:sz w:val="11"/>
                <w:szCs w:val="11"/>
                <w:color w:val="auto"/>
              </w:rPr>
            </w:pPr>
          </w:p>
        </w:tc>
        <w:tc>
          <w:tcPr>
            <w:tcW w:w="11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Consolidated</w:t>
            </w:r>
          </w:p>
        </w:tc>
        <w:tc>
          <w:tcPr>
            <w:tcW w:w="0" w:type="dxa"/>
            <w:vAlign w:val="bottom"/>
          </w:tcPr>
          <w:p>
            <w:pPr>
              <w:spacing w:after="0"/>
              <w:rPr>
                <w:sz w:val="1"/>
                <w:szCs w:val="1"/>
                <w:color w:val="auto"/>
              </w:rPr>
            </w:pPr>
          </w:p>
        </w:tc>
      </w:tr>
      <w:tr>
        <w:trPr>
          <w:trHeight w:val="171"/>
        </w:trPr>
        <w:tc>
          <w:tcPr>
            <w:tcW w:w="262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7"/>
              </w:rPr>
              <w:t>Solutions</w:t>
            </w:r>
          </w:p>
        </w:tc>
        <w:tc>
          <w:tcPr>
            <w:tcW w:w="200" w:type="dxa"/>
            <w:vAlign w:val="bottom"/>
          </w:tcPr>
          <w:p>
            <w:pPr>
              <w:spacing w:after="0"/>
              <w:rPr>
                <w:sz w:val="14"/>
                <w:szCs w:val="14"/>
                <w:color w:val="auto"/>
              </w:rPr>
            </w:pPr>
          </w:p>
        </w:tc>
        <w:tc>
          <w:tcPr>
            <w:tcW w:w="126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87"/>
              </w:rPr>
              <w:t>Solutions</w:t>
            </w:r>
          </w:p>
        </w:tc>
        <w:tc>
          <w:tcPr>
            <w:tcW w:w="140" w:type="dxa"/>
            <w:vAlign w:val="bottom"/>
          </w:tcPr>
          <w:p>
            <w:pPr>
              <w:spacing w:after="0"/>
              <w:rPr>
                <w:sz w:val="14"/>
                <w:szCs w:val="14"/>
                <w:color w:val="auto"/>
              </w:rPr>
            </w:pPr>
          </w:p>
        </w:tc>
        <w:tc>
          <w:tcPr>
            <w:tcW w:w="132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7"/>
              </w:rPr>
              <w:t>Solutions</w:t>
            </w:r>
          </w:p>
        </w:tc>
        <w:tc>
          <w:tcPr>
            <w:tcW w:w="200" w:type="dxa"/>
            <w:vAlign w:val="bottom"/>
          </w:tcPr>
          <w:p>
            <w:pPr>
              <w:spacing w:after="0"/>
              <w:rPr>
                <w:sz w:val="14"/>
                <w:szCs w:val="14"/>
                <w:color w:val="auto"/>
              </w:rPr>
            </w:pPr>
          </w:p>
        </w:tc>
        <w:tc>
          <w:tcPr>
            <w:tcW w:w="126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0"/>
              </w:rPr>
              <w:t>Solutions</w:t>
            </w:r>
          </w:p>
        </w:tc>
        <w:tc>
          <w:tcPr>
            <w:tcW w:w="16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24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Subscription services</w:t>
            </w:r>
          </w:p>
        </w:tc>
        <w:tc>
          <w:tcPr>
            <w:tcW w:w="1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50,892</w:t>
            </w:r>
          </w:p>
        </w:tc>
        <w:tc>
          <w:tcPr>
            <w:tcW w:w="26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9,501</w:t>
            </w:r>
          </w:p>
        </w:tc>
        <w:tc>
          <w:tcPr>
            <w:tcW w:w="26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60,393</w:t>
            </w:r>
          </w:p>
        </w:tc>
        <w:tc>
          <w:tcPr>
            <w:tcW w:w="26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103,696</w:t>
            </w:r>
          </w:p>
        </w:tc>
        <w:tc>
          <w:tcPr>
            <w:tcW w:w="26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18,581</w:t>
            </w:r>
          </w:p>
        </w:tc>
        <w:tc>
          <w:tcPr>
            <w:tcW w:w="26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122,277</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62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Professional services</w:t>
            </w:r>
          </w:p>
        </w:tc>
        <w:tc>
          <w:tcPr>
            <w:tcW w:w="1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1,530</w:t>
            </w:r>
          </w:p>
        </w:tc>
        <w:tc>
          <w:tcPr>
            <w:tcW w:w="26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1,858</w:t>
            </w:r>
          </w:p>
        </w:tc>
        <w:tc>
          <w:tcPr>
            <w:tcW w:w="26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3,388</w:t>
            </w:r>
          </w:p>
        </w:tc>
        <w:tc>
          <w:tcPr>
            <w:tcW w:w="26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3,020</w:t>
            </w:r>
          </w:p>
        </w:tc>
        <w:tc>
          <w:tcPr>
            <w:tcW w:w="26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3,670</w:t>
            </w:r>
          </w:p>
        </w:tc>
        <w:tc>
          <w:tcPr>
            <w:tcW w:w="26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6,690</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620" w:type="dxa"/>
            <w:vAlign w:val="bottom"/>
            <w:tcBorders>
              <w:bottom w:val="single" w:sz="8" w:color="CFF0FC"/>
            </w:tcBorders>
            <w:gridSpan w:val="2"/>
            <w:shd w:val="clear" w:color="auto" w:fill="CFF0FC"/>
          </w:tcPr>
          <w:p>
            <w:pPr>
              <w:ind w:left="260"/>
              <w:spacing w:after="0"/>
              <w:rPr>
                <w:sz w:val="20"/>
                <w:szCs w:val="20"/>
                <w:color w:val="auto"/>
              </w:rPr>
            </w:pPr>
            <w:r>
              <w:rPr>
                <w:rFonts w:ascii="Arial" w:cs="Arial" w:eastAsia="Arial" w:hAnsi="Arial"/>
                <w:sz w:val="18"/>
                <w:szCs w:val="18"/>
                <w:color w:val="auto"/>
              </w:rPr>
              <w:t>Total revenues, net</w:t>
            </w: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52,422</w:t>
            </w:r>
          </w:p>
        </w:tc>
        <w:tc>
          <w:tcPr>
            <w:tcW w:w="26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11,359</w:t>
            </w:r>
          </w:p>
        </w:tc>
        <w:tc>
          <w:tcPr>
            <w:tcW w:w="26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63,781</w:t>
            </w:r>
          </w:p>
        </w:tc>
        <w:tc>
          <w:tcPr>
            <w:tcW w:w="26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106,716</w:t>
            </w:r>
          </w:p>
        </w:tc>
        <w:tc>
          <w:tcPr>
            <w:tcW w:w="26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22,251</w:t>
            </w:r>
          </w:p>
        </w:tc>
        <w:tc>
          <w:tcPr>
            <w:tcW w:w="26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128,967</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For the three months ended June 30, 2020 and 2019, the Company recognized $63,000 and $46,000 in impairment losses on receivables and contract assets arising from the Company’s contracts with customers, respectively. For the six months ended June 30, 2020 and 2019, the Company recognized $351,000 and $48,000 in impairment losses on receivables and contract assets arising from the Company’s contracts with customers, respectively.</w:t>
      </w:r>
    </w:p>
    <w:p>
      <w:pPr>
        <w:spacing w:after="0" w:line="41"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Deferred revenue represents contract liabilities that are recorded when cash payments are received or are due in advance of our satisfaction of performance obligations. During the three months ended June 30, 2020 and 2019, we recognized $35.2 million and $36.3 million of revenue from amounts included in deferred revenues at the beginning of the respective periods. During the six months ended June 30, 2020 and 2019, we recognized $49.9 million and $51.2 million of revenue from amounts included in deferred revenues at the beginning of the respective periods. As of June 30, 2020, $380 million of revenue is expected to be recognized from remaining performance obligations under contract with customers. We expect to recognize revenue with respect to 45% of these remaining performance obligations over the next 12 months, with the remaining amounts recognized thereafter.</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Sales Commissions</w:t>
      </w:r>
    </w:p>
    <w:p>
      <w:pPr>
        <w:spacing w:after="0" w:line="117"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Sales commissions earned by our sales force are considered incremental and recoverable costs of obtaining a contract with a customer. The sales commission plan for 2020 typically includes two payments; the initial payment is due in the period a customer contract is entered into, and the final payment is due 60 days after the product implementation is completed. The sales commission plan for 2019 typically included an initial payment in the period a customer contract was entered into, and subsequent payments either 15 or 27 months after the initial payment, depending on the contract term. Under ASC 606, costs to acquire contracts with customers, such as the initial sales commission payment, are capitalized in the period a customer contract is entered into and are amortized consistent with the transfer of the goods or services to the customer over the expected period of benefit, whereas subsequent sales commission payments which require a substantive performance condition of the employee are expensed ratably through the payment date. Under the 2020 plan, both the initial payment and subsequent payment are capitalized in the period the contract is entered into, whereas under the 2019 plan only the initial payment was capitalized, and the subsequent payment was expensed ratably through the payment date. The timing of the second payment under the 2020 plan from an accounting perspective does not result in a substantive performance condition of the employee. The capitalized contract cost is included in deferred commissions in the accompanying Condensed Consolidated Balance Sheets. The expected period of benefit is the contract term, except when the capitalized commission is expected to provide economic benefit to the Company for a period longer than the contract term, such as for new customer or incremental sales where renewals are expected and renewal commissions are not commensurate with initial commissions. Non-commensurate commissions are amortized over the greater of the contract term or technological obsolescence period of approximately three years. The Company recorded amortization of deferred commissions of $2.1 million for both the three months ended June 30, 2020 and 2019, and $4.3 million and $4.2 million for the six months ended June 30, 2020 and 2019, respectively, which is included in sales and marketing expenses in the accompanying Condensed Consolidated Statements of Income.</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229235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HEALTHSTREAM,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INCOME TAXES</w:t>
      </w:r>
    </w:p>
    <w:p>
      <w:pPr>
        <w:spacing w:after="0" w:line="12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Income taxes are accounted for using the asset and liability method, whereby deferred tax assets and liabilities are determined based on the temporary differences between the financial statement and tax bases of assets and liabilities measured at tax rates that will be in effect for the year in which the differences are expected to affect taxable income.</w:t>
      </w:r>
    </w:p>
    <w:p>
      <w:pPr>
        <w:spacing w:after="0" w:line="76"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During the three months ended June 30, 2020 and 2019, the Company recorded a provision for income taxes of $1.1 million and $0.7 million, respectively. During the six months ended June 30, 2020 and 2019, the Company recorded a provision for income taxes from continuing operations of $2.9 million and $2.1 million, respectively. The Company’s effective tax rate for continuing operations for the six months ended June 30, 2020 and 2019 was 22% and 23%, respectively. The Company’s effective tax rate primarily reflects the statutory corporate income tax rate, the net effect of state taxes, and the effect of various permanent tax differences. The Company recorded additional income tax expense associated with tax deficiencies of $26,000 during the six months ended June 30, 2020 and recorded a reduction to income tax expense for excess tax benefits of $123,000 during the six months ended June 30, 2019.</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SHAREHOLDERS’ EQUITY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Based Compensation</w:t>
      </w:r>
    </w:p>
    <w:p>
      <w:pPr>
        <w:spacing w:after="0" w:line="11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Company has stock awards outstanding under its 2016 Omnibus Incentive Plan. The Company accounts for its stock based compensation plans using the fair-value based method for costs related to share based payments, including restricted share units (“RSUs”). During the six months ended June 30, 2020, the Company issued 111,510 RSUs, subject to service-based time vesting, with a weighted average grant date fair value of $22.96 per share measured based on the closing fair market value of the Company’s stock on the date of grant. During the six months ended June 30, 2019, the Company issued 86,220 RSUs, subject to service-based time vesting, with a weighted average grant date fair value of $27.39 per share measured based on the closing fair market value of the Company’s stock on the date of grant.</w:t>
      </w:r>
    </w:p>
    <w:p>
      <w:pPr>
        <w:spacing w:after="0" w:line="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Total stock based compensation expense recorded for the three and six months ended June 30, 2020 and 2019, which is recorded within continuing operations in the Condensed Consolidated Statements of Income, is as follows (in thousands):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100" w:type="dxa"/>
            <w:vAlign w:val="bottom"/>
            <w:gridSpan w:val="4"/>
          </w:tcPr>
          <w:p>
            <w:pPr>
              <w:jc w:val="right"/>
              <w:ind w:right="90"/>
              <w:spacing w:after="0"/>
              <w:rPr>
                <w:sz w:val="20"/>
                <w:szCs w:val="20"/>
                <w:color w:val="auto"/>
              </w:rPr>
            </w:pPr>
            <w:r>
              <w:rPr>
                <w:rFonts w:ascii="Arial" w:cs="Arial" w:eastAsia="Arial" w:hAnsi="Arial"/>
                <w:sz w:val="14"/>
                <w:szCs w:val="14"/>
                <w:b w:val="1"/>
                <w:bCs w:val="1"/>
                <w:color w:val="auto"/>
              </w:rPr>
              <w:t>Three Months Ended</w:t>
            </w: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380" w:type="dxa"/>
            <w:vAlign w:val="bottom"/>
            <w:gridSpan w:val="5"/>
          </w:tcPr>
          <w:p>
            <w:pPr>
              <w:ind w:left="420"/>
              <w:spacing w:after="0"/>
              <w:rPr>
                <w:sz w:val="20"/>
                <w:szCs w:val="20"/>
                <w:color w:val="auto"/>
              </w:rPr>
            </w:pPr>
            <w:r>
              <w:rPr>
                <w:rFonts w:ascii="Arial" w:cs="Arial" w:eastAsia="Arial" w:hAnsi="Arial"/>
                <w:sz w:val="14"/>
                <w:szCs w:val="14"/>
                <w:b w:val="1"/>
                <w:bCs w:val="1"/>
                <w:color w:val="auto"/>
              </w:rPr>
              <w:t>Six Months Ended</w:t>
            </w:r>
          </w:p>
        </w:tc>
      </w:tr>
      <w:tr>
        <w:trPr>
          <w:trHeight w:val="171"/>
        </w:trPr>
        <w:tc>
          <w:tcPr>
            <w:tcW w:w="50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3"/>
          </w:tcPr>
          <w:p>
            <w:pPr>
              <w:jc w:val="right"/>
              <w:ind w:right="490"/>
              <w:spacing w:after="0"/>
              <w:rPr>
                <w:sz w:val="20"/>
                <w:szCs w:val="20"/>
                <w:color w:val="auto"/>
              </w:rPr>
            </w:pPr>
            <w:r>
              <w:rPr>
                <w:rFonts w:ascii="Arial" w:cs="Arial" w:eastAsia="Arial" w:hAnsi="Arial"/>
                <w:sz w:val="14"/>
                <w:szCs w:val="14"/>
                <w:b w:val="1"/>
                <w:bCs w:val="1"/>
                <w:color w:val="auto"/>
              </w:rPr>
              <w:t>June 30,</w:t>
            </w:r>
          </w:p>
        </w:tc>
        <w:tc>
          <w:tcPr>
            <w:tcW w:w="44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June 30,</w:t>
            </w:r>
          </w:p>
        </w:tc>
        <w:tc>
          <w:tcPr>
            <w:tcW w:w="8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5"/>
        </w:trPr>
        <w:tc>
          <w:tcPr>
            <w:tcW w:w="50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2020</w:t>
            </w:r>
          </w:p>
        </w:tc>
        <w:tc>
          <w:tcPr>
            <w:tcW w:w="360" w:type="dxa"/>
            <w:vAlign w:val="bottom"/>
          </w:tcPr>
          <w:p>
            <w:pPr>
              <w:spacing w:after="0"/>
              <w:rPr>
                <w:sz w:val="13"/>
                <w:szCs w:val="13"/>
                <w:color w:val="auto"/>
              </w:rPr>
            </w:pPr>
          </w:p>
        </w:tc>
        <w:tc>
          <w:tcPr>
            <w:tcW w:w="960" w:type="dxa"/>
            <w:vAlign w:val="bottom"/>
            <w:gridSpan w:val="2"/>
          </w:tcPr>
          <w:p>
            <w:pPr>
              <w:jc w:val="right"/>
              <w:spacing w:after="0" w:line="155" w:lineRule="exact"/>
              <w:rPr>
                <w:sz w:val="20"/>
                <w:szCs w:val="20"/>
                <w:color w:val="auto"/>
              </w:rPr>
            </w:pPr>
            <w:r>
              <w:rPr>
                <w:rFonts w:ascii="Arial" w:cs="Arial" w:eastAsia="Arial" w:hAnsi="Arial"/>
                <w:sz w:val="14"/>
                <w:szCs w:val="14"/>
                <w:b w:val="1"/>
                <w:bCs w:val="1"/>
                <w:color w:val="auto"/>
              </w:rPr>
              <w:t>2019</w:t>
            </w:r>
          </w:p>
        </w:tc>
        <w:tc>
          <w:tcPr>
            <w:tcW w:w="4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jc w:val="right"/>
              <w:ind w:right="357"/>
              <w:spacing w:after="0" w:line="155" w:lineRule="exact"/>
              <w:rPr>
                <w:sz w:val="20"/>
                <w:szCs w:val="20"/>
                <w:color w:val="auto"/>
              </w:rPr>
            </w:pPr>
            <w:r>
              <w:rPr>
                <w:rFonts w:ascii="Arial" w:cs="Arial" w:eastAsia="Arial" w:hAnsi="Arial"/>
                <w:sz w:val="14"/>
                <w:szCs w:val="14"/>
                <w:b w:val="1"/>
                <w:bCs w:val="1"/>
                <w:color w:val="auto"/>
              </w:rPr>
              <w:t>2020</w:t>
            </w:r>
          </w:p>
        </w:tc>
        <w:tc>
          <w:tcPr>
            <w:tcW w:w="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80" w:type="dxa"/>
            <w:vAlign w:val="bottom"/>
          </w:tcPr>
          <w:p>
            <w:pPr>
              <w:jc w:val="right"/>
              <w:ind w:right="353"/>
              <w:spacing w:after="0" w:line="155" w:lineRule="exact"/>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3"/>
                <w:szCs w:val="13"/>
                <w:color w:val="auto"/>
              </w:rPr>
            </w:pPr>
          </w:p>
        </w:tc>
      </w:tr>
      <w:tr>
        <w:trPr>
          <w:trHeight w:val="223"/>
        </w:trPr>
        <w:tc>
          <w:tcPr>
            <w:tcW w:w="50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Cost of revenues (excluding depreciation and amortization)</w:t>
            </w:r>
          </w:p>
        </w:tc>
        <w:tc>
          <w:tcPr>
            <w:tcW w:w="760" w:type="dxa"/>
            <w:vAlign w:val="bottom"/>
            <w:tcBorders>
              <w:top w:val="single" w:sz="8" w:color="CFF0FC"/>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jc w:val="right"/>
              <w:ind w:right="599"/>
              <w:spacing w:after="0"/>
              <w:rPr>
                <w:sz w:val="20"/>
                <w:szCs w:val="20"/>
                <w:color w:val="auto"/>
              </w:rPr>
            </w:pPr>
            <w:r>
              <w:rPr>
                <w:rFonts w:ascii="Arial" w:cs="Arial" w:eastAsia="Arial" w:hAnsi="Arial"/>
                <w:sz w:val="18"/>
                <w:szCs w:val="18"/>
                <w:color w:val="auto"/>
                <w:w w:val="79"/>
              </w:rPr>
              <w:t>$</w:t>
            </w:r>
          </w:p>
        </w:tc>
        <w:tc>
          <w:tcPr>
            <w:tcW w:w="3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w:t>
            </w:r>
          </w:p>
        </w:tc>
        <w:tc>
          <w:tcPr>
            <w:tcW w:w="240" w:type="dxa"/>
            <w:vAlign w:val="bottom"/>
            <w:tcBorders>
              <w:top w:val="single" w:sz="8" w:color="CFF0FC"/>
            </w:tcBorders>
            <w:shd w:val="clear" w:color="auto" w:fill="CFF0FC"/>
          </w:tcPr>
          <w:p>
            <w:pPr>
              <w:spacing w:after="0"/>
              <w:rPr>
                <w:sz w:val="19"/>
                <w:szCs w:val="19"/>
                <w:color w:val="auto"/>
              </w:rPr>
            </w:pPr>
          </w:p>
        </w:tc>
        <w:tc>
          <w:tcPr>
            <w:tcW w:w="720" w:type="dxa"/>
            <w:vAlign w:val="bottom"/>
            <w:tcBorders>
              <w:top w:val="single" w:sz="8" w:color="auto"/>
            </w:tcBorders>
            <w:shd w:val="clear" w:color="auto" w:fill="CFF0FC"/>
          </w:tcPr>
          <w:p>
            <w:pPr>
              <w:jc w:val="right"/>
              <w:ind w:right="530"/>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670</w:t>
            </w:r>
          </w:p>
        </w:tc>
        <w:tc>
          <w:tcPr>
            <w:tcW w:w="24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w:t>
            </w:r>
          </w:p>
        </w:tc>
        <w:tc>
          <w:tcPr>
            <w:tcW w:w="24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671</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5060" w:type="dxa"/>
            <w:vAlign w:val="bottom"/>
          </w:tcPr>
          <w:p>
            <w:pPr>
              <w:spacing w:after="0"/>
              <w:rPr>
                <w:sz w:val="20"/>
                <w:szCs w:val="20"/>
                <w:color w:val="auto"/>
              </w:rPr>
            </w:pPr>
            <w:r>
              <w:rPr>
                <w:rFonts w:ascii="Arial" w:cs="Arial" w:eastAsia="Arial" w:hAnsi="Arial"/>
                <w:sz w:val="18"/>
                <w:szCs w:val="18"/>
                <w:color w:val="auto"/>
              </w:rPr>
              <w:t>Product development</w:t>
            </w:r>
          </w:p>
        </w:tc>
        <w:tc>
          <w:tcPr>
            <w:tcW w:w="7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93</w:t>
            </w:r>
          </w:p>
        </w:tc>
        <w:tc>
          <w:tcPr>
            <w:tcW w:w="2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765</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173</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818</w:t>
            </w:r>
          </w:p>
        </w:tc>
        <w:tc>
          <w:tcPr>
            <w:tcW w:w="100" w:type="dxa"/>
            <w:vAlign w:val="bottom"/>
          </w:tcPr>
          <w:p>
            <w:pPr>
              <w:spacing w:after="0"/>
              <w:rPr>
                <w:sz w:val="19"/>
                <w:szCs w:val="19"/>
                <w:color w:val="auto"/>
              </w:rPr>
            </w:pPr>
          </w:p>
        </w:tc>
      </w:tr>
      <w:tr>
        <w:trPr>
          <w:trHeight w:val="230"/>
        </w:trPr>
        <w:tc>
          <w:tcPr>
            <w:tcW w:w="5060" w:type="dxa"/>
            <w:vAlign w:val="bottom"/>
            <w:shd w:val="clear" w:color="auto" w:fill="CFF0FC"/>
          </w:tcPr>
          <w:p>
            <w:pPr>
              <w:spacing w:after="0"/>
              <w:rPr>
                <w:sz w:val="20"/>
                <w:szCs w:val="20"/>
                <w:color w:val="auto"/>
              </w:rPr>
            </w:pPr>
            <w:r>
              <w:rPr>
                <w:rFonts w:ascii="Arial" w:cs="Arial" w:eastAsia="Arial" w:hAnsi="Arial"/>
                <w:sz w:val="18"/>
                <w:szCs w:val="18"/>
                <w:color w:val="auto"/>
              </w:rPr>
              <w:t>Sales and marketing</w:t>
            </w:r>
          </w:p>
        </w:tc>
        <w:tc>
          <w:tcPr>
            <w:tcW w:w="76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w:t>
            </w:r>
          </w:p>
        </w:tc>
        <w:tc>
          <w:tcPr>
            <w:tcW w:w="24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462</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110</w:t>
            </w: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518</w:t>
            </w:r>
          </w:p>
        </w:tc>
        <w:tc>
          <w:tcPr>
            <w:tcW w:w="100" w:type="dxa"/>
            <w:vAlign w:val="bottom"/>
            <w:shd w:val="clear" w:color="auto" w:fill="CFF0FC"/>
          </w:tcPr>
          <w:p>
            <w:pPr>
              <w:spacing w:after="0"/>
              <w:rPr>
                <w:sz w:val="19"/>
                <w:szCs w:val="19"/>
                <w:color w:val="auto"/>
              </w:rPr>
            </w:pPr>
          </w:p>
        </w:tc>
      </w:tr>
      <w:tr>
        <w:trPr>
          <w:trHeight w:val="230"/>
        </w:trPr>
        <w:tc>
          <w:tcPr>
            <w:tcW w:w="50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general and administrative</w:t>
            </w:r>
          </w:p>
        </w:tc>
        <w:tc>
          <w:tcPr>
            <w:tcW w:w="760" w:type="dxa"/>
            <w:vAlign w:val="bottom"/>
            <w:tcBorders>
              <w:bottom w:val="single" w:sz="8" w:color="CFF0FC"/>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388</w:t>
            </w:r>
          </w:p>
        </w:tc>
        <w:tc>
          <w:tcPr>
            <w:tcW w:w="240" w:type="dxa"/>
            <w:vAlign w:val="bottom"/>
            <w:tcBorders>
              <w:bottom w:val="single" w:sz="8" w:color="CFF0FC"/>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661</w:t>
            </w:r>
          </w:p>
        </w:tc>
        <w:tc>
          <w:tcPr>
            <w:tcW w:w="24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801</w:t>
            </w:r>
          </w:p>
        </w:tc>
        <w:tc>
          <w:tcPr>
            <w:tcW w:w="24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1,067</w:t>
            </w:r>
          </w:p>
        </w:tc>
        <w:tc>
          <w:tcPr>
            <w:tcW w:w="100" w:type="dxa"/>
            <w:vAlign w:val="bottom"/>
            <w:tcBorders>
              <w:bottom w:val="single" w:sz="8" w:color="CFF0FC"/>
            </w:tcBorders>
          </w:tcPr>
          <w:p>
            <w:pPr>
              <w:spacing w:after="0"/>
              <w:rPr>
                <w:sz w:val="19"/>
                <w:szCs w:val="19"/>
                <w:color w:val="auto"/>
              </w:rPr>
            </w:pPr>
          </w:p>
        </w:tc>
      </w:tr>
      <w:tr>
        <w:trPr>
          <w:trHeight w:val="223"/>
        </w:trPr>
        <w:tc>
          <w:tcPr>
            <w:tcW w:w="506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 stock based compensation expense</w:t>
            </w:r>
          </w:p>
        </w:tc>
        <w:tc>
          <w:tcPr>
            <w:tcW w:w="760" w:type="dxa"/>
            <w:vAlign w:val="bottom"/>
            <w:tcBorders>
              <w:bottom w:val="single" w:sz="8" w:color="CFF0FC"/>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ind w:right="599"/>
              <w:spacing w:after="0"/>
              <w:rPr>
                <w:sz w:val="20"/>
                <w:szCs w:val="20"/>
                <w:color w:val="auto"/>
              </w:rPr>
            </w:pPr>
            <w:r>
              <w:rPr>
                <w:rFonts w:ascii="Arial" w:cs="Arial" w:eastAsia="Arial" w:hAnsi="Arial"/>
                <w:sz w:val="18"/>
                <w:szCs w:val="18"/>
                <w:color w:val="auto"/>
                <w:w w:val="79"/>
              </w:rPr>
              <w:t>$</w:t>
            </w:r>
          </w:p>
        </w:tc>
        <w:tc>
          <w:tcPr>
            <w:tcW w:w="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557</w:t>
            </w:r>
          </w:p>
        </w:tc>
        <w:tc>
          <w:tcPr>
            <w:tcW w:w="240" w:type="dxa"/>
            <w:vAlign w:val="bottom"/>
            <w:tcBorders>
              <w:bottom w:val="single" w:sz="8" w:color="CFF0FC"/>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ind w:right="530"/>
              <w:spacing w:after="0"/>
              <w:rPr>
                <w:sz w:val="20"/>
                <w:szCs w:val="20"/>
                <w:color w:val="auto"/>
              </w:rPr>
            </w:pPr>
            <w:r>
              <w:rPr>
                <w:rFonts w:ascii="Arial" w:cs="Arial" w:eastAsia="Arial" w:hAnsi="Arial"/>
                <w:sz w:val="18"/>
                <w:szCs w:val="18"/>
                <w:color w:val="auto"/>
                <w:w w:val="79"/>
              </w:rPr>
              <w:t>$</w:t>
            </w:r>
          </w:p>
        </w:tc>
        <w:tc>
          <w:tcPr>
            <w:tcW w:w="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8"/>
              </w:rPr>
              <w:t>2,558</w:t>
            </w:r>
          </w:p>
        </w:tc>
        <w:tc>
          <w:tcPr>
            <w:tcW w:w="24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1,107</w:t>
            </w:r>
          </w:p>
        </w:tc>
        <w:tc>
          <w:tcPr>
            <w:tcW w:w="24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3,074</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50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 Repurchase Plan</w:t>
      </w:r>
    </w:p>
    <w:p>
      <w:pPr>
        <w:spacing w:after="0" w:line="11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On March 13, 2020, the Company’s Board of Directors authorized a share repurchase program to repurchase up to $30.0 million of outstanding shares of common stock. The share repurchase program will terminate on the earlier of March 12, 2021 or when the maximum dollar amount has been expended. Pursuant to this authorization, repurchases have been made, and may continue to be made from time to time, in the open market through privately negotiated transactions or otherwise, including under a Rule 10b5-1 plan, which permits shares to be repurchased when the Company might otherwise be precluded from doing so under insider trading laws in accordance with specific prearranged terms related to timing, price, and volume (among others), without further direction from the Company. The share repurchase program does not require the Company to acquire any amount of shares and may be suspended or discontinued at any time. Under this program during the three months ended June 30, 2020, the Company repurchased 5,799 shares at an aggregate fair value of $0.1 million, reflecting an average price per share of $22.87 (excluding the cost of dealer commissions). During the six months ended June 30, 2020, the Company repurchased 443,941 shares at an aggregate fair value of $10.0 million, reflecting an average price per share of $22.53 (excluding the cost of broker commissions).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Awards</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June 2019, the Company’s Chief Executive Officer, Robert A. Frist, Jr., contributed 78,520 of his personally owned shares of HealthStream, Inc. common stock (valued at $2.0 million) to the Company, without any consideration paid to him, for the benefit of the Company’s employees. In connection therewith, effective June 26, 2019 the Company approved the award of 78,520 fully vested shares of common stock to approximately 820 employees of the Company under the</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229235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HEALTHSTREAM,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332"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 xml:space="preserve">HealthStream, Inc. 2016 Omnibus Incentive Plan. These shares were issued in July 2019. As required by ASC Topic 718, </w:t>
      </w:r>
      <w:r>
        <w:rPr>
          <w:rFonts w:ascii="Arial" w:cs="Arial" w:eastAsia="Arial" w:hAnsi="Arial"/>
          <w:sz w:val="16"/>
          <w:szCs w:val="16"/>
          <w:i w:val="1"/>
          <w:iCs w:val="1"/>
          <w:color w:val="auto"/>
        </w:rPr>
        <w:t>Compensation – Stock</w:t>
      </w:r>
      <w:r>
        <w:rPr>
          <w:rFonts w:ascii="Arial" w:cs="Arial" w:eastAsia="Arial" w:hAnsi="Arial"/>
          <w:sz w:val="16"/>
          <w:szCs w:val="16"/>
          <w:color w:val="auto"/>
        </w:rPr>
        <w:t xml:space="preserve"> </w:t>
      </w:r>
      <w:r>
        <w:rPr>
          <w:rFonts w:ascii="Arial" w:cs="Arial" w:eastAsia="Arial" w:hAnsi="Arial"/>
          <w:sz w:val="16"/>
          <w:szCs w:val="16"/>
          <w:i w:val="1"/>
          <w:iCs w:val="1"/>
          <w:color w:val="auto"/>
        </w:rPr>
        <w:t>Compensation</w:t>
      </w:r>
      <w:r>
        <w:rPr>
          <w:rFonts w:ascii="Arial" w:cs="Arial" w:eastAsia="Arial" w:hAnsi="Arial"/>
          <w:sz w:val="16"/>
          <w:szCs w:val="16"/>
          <w:color w:val="auto"/>
        </w:rPr>
        <w:t>, the Company recognized $2.0 million of stock based compensation expense for these stock awards during the three months ended June 30,</w:t>
      </w:r>
      <w:r>
        <w:rPr>
          <w:rFonts w:ascii="Arial" w:cs="Arial" w:eastAsia="Arial" w:hAnsi="Arial"/>
          <w:sz w:val="16"/>
          <w:szCs w:val="16"/>
          <w:i w:val="1"/>
          <w:iCs w:val="1"/>
          <w:color w:val="auto"/>
        </w:rPr>
        <w:t xml:space="preserve"> </w:t>
      </w:r>
      <w:r>
        <w:rPr>
          <w:rFonts w:ascii="Arial" w:cs="Arial" w:eastAsia="Arial" w:hAnsi="Arial"/>
          <w:sz w:val="16"/>
          <w:szCs w:val="16"/>
          <w:color w:val="auto"/>
        </w:rPr>
        <w:t>2019 based on the closing fair market value of the Company’s stock on the date of the Company’s approval of these grants. Total payments related to the employees’ tax obligations to taxing authorities for these stock awards were $0.6 million and are reflected as a financing activity within the Condensed Consolidated Statements of Cash Flows for the six months ended June 30, 2019. In addition, the employer taxes and expenses associated with these grants were $0.2 million and were recorded as an expense during June 2019. Mr. Frist contributed an additional 7,852 of his personally owned shares to cover these costs. The receipt of shares from Mr. Frist and in connection with the withholding of shares as set forth above are presented on the Company’s Condensed Consolidated Statements of Shareholders’ Equity in a similar manner as a share repurchase (i.e., reduction of outstanding shares).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EARNINGS PER SHARE</w:t>
      </w:r>
    </w:p>
    <w:p>
      <w:pPr>
        <w:spacing w:after="0" w:line="12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Basic earnings per share is computed by dividing the net income available to common shareholders for the period by the weighted average number of common shares outstanding during the period. Diluted earnings per share is computed by dividing the net income available to common shareholders for the period by the weighted average number of potentially dilutive common and common equivalent shares outstanding during the period. Common equivalent shares are composed of incremental common shares issuable in connection with RSUs subject to vesting. The dilutive effect of common equivalent shares is included in diluted earnings per share by application of the treasury stock method. The total number of common equivalent shares excluded from the calculations of diluted earnings per share due to their anti-dilutive effect or contingent performance conditions was 108,000 and 131,000 for the three months ended June 30, 2020 and 2019, respectively, and 107,000 and 134,000 for the six months ended June 30, 2020 and 2019, respectively.</w:t>
      </w:r>
    </w:p>
    <w:p>
      <w:pPr>
        <w:spacing w:after="0" w:line="5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sets forth the computation of basic and diluted earnings per share for the three and six months ended June 30, 2020 and 2019 (in thousands, except per share data):</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80" w:type="dxa"/>
            <w:vAlign w:val="bottom"/>
            <w:gridSpan w:val="4"/>
          </w:tcPr>
          <w:p>
            <w:pPr>
              <w:jc w:val="right"/>
              <w:ind w:right="531"/>
              <w:spacing w:after="0"/>
              <w:rPr>
                <w:sz w:val="20"/>
                <w:szCs w:val="20"/>
                <w:color w:val="auto"/>
              </w:rPr>
            </w:pPr>
            <w:r>
              <w:rPr>
                <w:rFonts w:ascii="Arial" w:cs="Arial" w:eastAsia="Arial" w:hAnsi="Arial"/>
                <w:sz w:val="14"/>
                <w:szCs w:val="14"/>
                <w:b w:val="1"/>
                <w:bCs w:val="1"/>
                <w:color w:val="auto"/>
              </w:rPr>
              <w:t>Three Months Ended</w:t>
            </w: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0" w:type="dxa"/>
            <w:vAlign w:val="bottom"/>
            <w:gridSpan w:val="5"/>
          </w:tcPr>
          <w:p>
            <w:pPr>
              <w:ind w:left="44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1"/>
        </w:trPr>
        <w:tc>
          <w:tcPr>
            <w:tcW w:w="42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June 30,</w:t>
            </w:r>
          </w:p>
        </w:tc>
        <w:tc>
          <w:tcPr>
            <w:tcW w:w="88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3"/>
          </w:tcPr>
          <w:p>
            <w:pPr>
              <w:jc w:val="right"/>
              <w:ind w:right="67"/>
              <w:spacing w:after="0"/>
              <w:rPr>
                <w:sz w:val="20"/>
                <w:szCs w:val="20"/>
                <w:color w:val="auto"/>
              </w:rPr>
            </w:pPr>
            <w:r>
              <w:rPr>
                <w:rFonts w:ascii="Arial" w:cs="Arial" w:eastAsia="Arial" w:hAnsi="Arial"/>
                <w:sz w:val="14"/>
                <w:szCs w:val="14"/>
                <w:b w:val="1"/>
                <w:bCs w:val="1"/>
                <w:color w:val="auto"/>
              </w:rPr>
              <w:t>June 30,</w:t>
            </w:r>
          </w:p>
        </w:tc>
        <w:tc>
          <w:tcPr>
            <w:tcW w:w="8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240" w:type="dxa"/>
            <w:vAlign w:val="bottom"/>
            <w:tcBorders>
              <w:bottom w:val="single" w:sz="8" w:color="CFF0FC"/>
            </w:tcBorders>
          </w:tcPr>
          <w:p>
            <w:pPr>
              <w:spacing w:after="0"/>
              <w:rPr>
                <w:sz w:val="13"/>
                <w:szCs w:val="13"/>
                <w:color w:val="auto"/>
              </w:rPr>
            </w:pPr>
          </w:p>
        </w:tc>
        <w:tc>
          <w:tcPr>
            <w:tcW w:w="158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34"/>
              <w:spacing w:after="0" w:line="155" w:lineRule="exact"/>
              <w:rPr>
                <w:sz w:val="20"/>
                <w:szCs w:val="20"/>
                <w:color w:val="auto"/>
              </w:rPr>
            </w:pPr>
            <w:r>
              <w:rPr>
                <w:rFonts w:ascii="Arial" w:cs="Arial" w:eastAsia="Arial" w:hAnsi="Arial"/>
                <w:sz w:val="14"/>
                <w:szCs w:val="14"/>
                <w:b w:val="1"/>
                <w:bCs w:val="1"/>
                <w:color w:val="auto"/>
              </w:rPr>
              <w:t>2020</w:t>
            </w:r>
          </w:p>
        </w:tc>
        <w:tc>
          <w:tcPr>
            <w:tcW w:w="240" w:type="dxa"/>
            <w:vAlign w:val="bottom"/>
            <w:tcBorders>
              <w:bottom w:val="single" w:sz="8" w:color="CFF0FC"/>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51"/>
              <w:spacing w:after="0" w:line="155" w:lineRule="exact"/>
              <w:rPr>
                <w:sz w:val="20"/>
                <w:szCs w:val="20"/>
                <w:color w:val="auto"/>
              </w:rPr>
            </w:pPr>
            <w:r>
              <w:rPr>
                <w:rFonts w:ascii="Arial" w:cs="Arial" w:eastAsia="Arial" w:hAnsi="Arial"/>
                <w:sz w:val="14"/>
                <w:szCs w:val="14"/>
                <w:b w:val="1"/>
                <w:bCs w:val="1"/>
                <w:color w:val="auto"/>
              </w:rPr>
              <w:t>2019</w:t>
            </w:r>
          </w:p>
        </w:tc>
        <w:tc>
          <w:tcPr>
            <w:tcW w:w="24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34"/>
              <w:spacing w:after="0" w:line="155" w:lineRule="exact"/>
              <w:rPr>
                <w:sz w:val="20"/>
                <w:szCs w:val="20"/>
                <w:color w:val="auto"/>
              </w:rPr>
            </w:pPr>
            <w:r>
              <w:rPr>
                <w:rFonts w:ascii="Arial" w:cs="Arial" w:eastAsia="Arial" w:hAnsi="Arial"/>
                <w:sz w:val="14"/>
                <w:szCs w:val="14"/>
                <w:b w:val="1"/>
                <w:bCs w:val="1"/>
                <w:color w:val="auto"/>
              </w:rPr>
              <w:t>2020</w:t>
            </w:r>
          </w:p>
        </w:tc>
        <w:tc>
          <w:tcPr>
            <w:tcW w:w="26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51"/>
              <w:spacing w:after="0" w:line="155" w:lineRule="exact"/>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240" w:type="dxa"/>
            <w:vAlign w:val="bottom"/>
            <w:shd w:val="clear" w:color="auto" w:fill="CFF0FC"/>
          </w:tcPr>
          <w:p>
            <w:pPr>
              <w:spacing w:after="0"/>
              <w:rPr>
                <w:sz w:val="20"/>
                <w:szCs w:val="20"/>
                <w:color w:val="auto"/>
              </w:rPr>
            </w:pPr>
            <w:r>
              <w:rPr>
                <w:rFonts w:ascii="Arial" w:cs="Arial" w:eastAsia="Arial" w:hAnsi="Arial"/>
                <w:sz w:val="18"/>
                <w:szCs w:val="18"/>
                <w:color w:val="auto"/>
              </w:rPr>
              <w:t>Numerator:</w:t>
            </w:r>
          </w:p>
        </w:tc>
        <w:tc>
          <w:tcPr>
            <w:tcW w:w="15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40" w:type="dxa"/>
            <w:vAlign w:val="bottom"/>
          </w:tcPr>
          <w:p>
            <w:pPr>
              <w:ind w:left="260"/>
              <w:spacing w:after="0"/>
              <w:rPr>
                <w:sz w:val="20"/>
                <w:szCs w:val="20"/>
                <w:color w:val="auto"/>
              </w:rPr>
            </w:pPr>
            <w:r>
              <w:rPr>
                <w:rFonts w:ascii="Arial" w:cs="Arial" w:eastAsia="Arial" w:hAnsi="Arial"/>
                <w:sz w:val="18"/>
                <w:szCs w:val="18"/>
                <w:color w:val="auto"/>
              </w:rPr>
              <w:t>Income from continuing operations</w:t>
            </w:r>
          </w:p>
        </w:tc>
        <w:tc>
          <w:tcPr>
            <w:tcW w:w="1820" w:type="dxa"/>
            <w:vAlign w:val="bottom"/>
            <w:gridSpan w:val="2"/>
          </w:tcPr>
          <w:p>
            <w:pPr>
              <w:jc w:val="right"/>
              <w:ind w:right="87"/>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3,442</w:t>
            </w:r>
          </w:p>
        </w:tc>
        <w:tc>
          <w:tcPr>
            <w:tcW w:w="24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2,401</w:t>
            </w:r>
          </w:p>
        </w:tc>
        <w:tc>
          <w:tcPr>
            <w:tcW w:w="50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10,533</w:t>
            </w:r>
          </w:p>
        </w:tc>
        <w:tc>
          <w:tcPr>
            <w:tcW w:w="260" w:type="dxa"/>
            <w:vAlign w:val="bottom"/>
          </w:tcPr>
          <w:p>
            <w:pPr>
              <w:spacing w:after="0"/>
              <w:rPr>
                <w:sz w:val="19"/>
                <w:szCs w:val="19"/>
                <w:color w:val="auto"/>
              </w:rPr>
            </w:pP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7,181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Income from discontinued operations</w:t>
            </w:r>
          </w:p>
        </w:tc>
        <w:tc>
          <w:tcPr>
            <w:tcW w:w="15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1,194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424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Net income</w:t>
            </w:r>
          </w:p>
        </w:tc>
        <w:tc>
          <w:tcPr>
            <w:tcW w:w="1580" w:type="dxa"/>
            <w:vAlign w:val="bottom"/>
            <w:tcBorders>
              <w:bottom w:val="single" w:sz="8" w:color="CFF0FC"/>
            </w:tcBorders>
          </w:tcPr>
          <w:p>
            <w:pPr>
              <w:spacing w:after="0"/>
              <w:rPr>
                <w:sz w:val="22"/>
                <w:szCs w:val="22"/>
                <w:color w:val="auto"/>
              </w:rPr>
            </w:pPr>
          </w:p>
        </w:tc>
        <w:tc>
          <w:tcPr>
            <w:tcW w:w="240" w:type="dxa"/>
            <w:vAlign w:val="bottom"/>
            <w:tcBorders>
              <w:top w:val="single" w:sz="8" w:color="auto"/>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3,442</w:t>
            </w:r>
          </w:p>
        </w:tc>
        <w:tc>
          <w:tcPr>
            <w:tcW w:w="240" w:type="dxa"/>
            <w:vAlign w:val="bottom"/>
            <w:tcBorders>
              <w:bottom w:val="single" w:sz="8" w:color="CFF0FC"/>
            </w:tcBorders>
          </w:tcPr>
          <w:p>
            <w:pPr>
              <w:spacing w:after="0"/>
              <w:rPr>
                <w:sz w:val="22"/>
                <w:szCs w:val="22"/>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2,401</w:t>
            </w:r>
          </w:p>
        </w:tc>
        <w:tc>
          <w:tcPr>
            <w:tcW w:w="240" w:type="dxa"/>
            <w:vAlign w:val="bottom"/>
            <w:tcBorders>
              <w:bottom w:val="single" w:sz="8" w:color="CFF0FC"/>
            </w:tcBorders>
          </w:tcPr>
          <w:p>
            <w:pPr>
              <w:spacing w:after="0"/>
              <w:rPr>
                <w:sz w:val="22"/>
                <w:szCs w:val="22"/>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10,533</w:t>
            </w:r>
          </w:p>
        </w:tc>
        <w:tc>
          <w:tcPr>
            <w:tcW w:w="260" w:type="dxa"/>
            <w:vAlign w:val="bottom"/>
            <w:tcBorders>
              <w:bottom w:val="single" w:sz="8" w:color="CFF0FC"/>
            </w:tcBorders>
          </w:tcPr>
          <w:p>
            <w:pPr>
              <w:spacing w:after="0"/>
              <w:rPr>
                <w:sz w:val="22"/>
                <w:szCs w:val="22"/>
                <w:color w:val="auto"/>
              </w:rPr>
            </w:pPr>
          </w:p>
        </w:tc>
        <w:tc>
          <w:tcPr>
            <w:tcW w:w="260" w:type="dxa"/>
            <w:vAlign w:val="bottom"/>
            <w:tcBorders>
              <w:top w:val="single" w:sz="8" w:color="auto"/>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8,375</w:t>
            </w:r>
          </w:p>
        </w:tc>
        <w:tc>
          <w:tcPr>
            <w:tcW w:w="12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4240" w:type="dxa"/>
            <w:vAlign w:val="bottom"/>
            <w:shd w:val="clear" w:color="auto" w:fill="CFF0FC"/>
          </w:tcPr>
          <w:p>
            <w:pPr>
              <w:spacing w:after="0"/>
              <w:rPr>
                <w:sz w:val="20"/>
                <w:szCs w:val="20"/>
                <w:color w:val="auto"/>
              </w:rPr>
            </w:pPr>
            <w:r>
              <w:rPr>
                <w:rFonts w:ascii="Arial" w:cs="Arial" w:eastAsia="Arial" w:hAnsi="Arial"/>
                <w:sz w:val="18"/>
                <w:szCs w:val="18"/>
                <w:color w:val="auto"/>
              </w:rPr>
              <w:t>Denominator:</w:t>
            </w:r>
          </w:p>
        </w:tc>
        <w:tc>
          <w:tcPr>
            <w:tcW w:w="15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240" w:type="dxa"/>
            <w:vAlign w:val="bottom"/>
          </w:tcPr>
          <w:p>
            <w:pPr>
              <w:ind w:left="260"/>
              <w:spacing w:after="0"/>
              <w:rPr>
                <w:sz w:val="20"/>
                <w:szCs w:val="20"/>
                <w:color w:val="auto"/>
              </w:rPr>
            </w:pPr>
            <w:r>
              <w:rPr>
                <w:rFonts w:ascii="Arial" w:cs="Arial" w:eastAsia="Arial" w:hAnsi="Arial"/>
                <w:sz w:val="18"/>
                <w:szCs w:val="18"/>
                <w:color w:val="auto"/>
              </w:rPr>
              <w:t>Weighted-average shares outstanding</w:t>
            </w:r>
          </w:p>
        </w:tc>
        <w:tc>
          <w:tcPr>
            <w:tcW w:w="15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31,997</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32,394</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32,166</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32,366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Effect of dilutive shares</w:t>
            </w:r>
          </w:p>
        </w:tc>
        <w:tc>
          <w:tcPr>
            <w:tcW w:w="158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w:t>
            </w:r>
          </w:p>
        </w:tc>
        <w:tc>
          <w:tcPr>
            <w:tcW w:w="24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w:t>
            </w:r>
          </w:p>
        </w:tc>
        <w:tc>
          <w:tcPr>
            <w:tcW w:w="24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w:t>
            </w:r>
          </w:p>
        </w:tc>
        <w:tc>
          <w:tcPr>
            <w:tcW w:w="26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424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Weighted-average diluted shares</w:t>
            </w:r>
          </w:p>
        </w:tc>
        <w:tc>
          <w:tcPr>
            <w:tcW w:w="1580" w:type="dxa"/>
            <w:vAlign w:val="bottom"/>
            <w:tcBorders>
              <w:bottom w:val="single" w:sz="8" w:color="CFF0FC"/>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32,025</w:t>
            </w:r>
          </w:p>
        </w:tc>
        <w:tc>
          <w:tcPr>
            <w:tcW w:w="240" w:type="dxa"/>
            <w:vAlign w:val="bottom"/>
            <w:tcBorders>
              <w:bottom w:val="single" w:sz="8" w:color="CFF0FC"/>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32,434</w:t>
            </w:r>
          </w:p>
        </w:tc>
        <w:tc>
          <w:tcPr>
            <w:tcW w:w="240" w:type="dxa"/>
            <w:vAlign w:val="bottom"/>
            <w:tcBorders>
              <w:bottom w:val="single" w:sz="8" w:color="CFF0FC"/>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32,191</w:t>
            </w:r>
          </w:p>
        </w:tc>
        <w:tc>
          <w:tcPr>
            <w:tcW w:w="260" w:type="dxa"/>
            <w:vAlign w:val="bottom"/>
            <w:tcBorders>
              <w:bottom w:val="single" w:sz="8" w:color="CFF0FC"/>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32,406</w:t>
            </w:r>
          </w:p>
        </w:tc>
        <w:tc>
          <w:tcPr>
            <w:tcW w:w="12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4240" w:type="dxa"/>
            <w:vAlign w:val="bottom"/>
            <w:shd w:val="clear" w:color="auto" w:fill="CFF0FC"/>
          </w:tcPr>
          <w:p>
            <w:pPr>
              <w:spacing w:after="0"/>
              <w:rPr>
                <w:sz w:val="18"/>
                <w:szCs w:val="18"/>
                <w:color w:val="auto"/>
              </w:rPr>
            </w:pPr>
          </w:p>
        </w:tc>
        <w:tc>
          <w:tcPr>
            <w:tcW w:w="15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240" w:type="dxa"/>
            <w:vAlign w:val="bottom"/>
          </w:tcPr>
          <w:p>
            <w:pPr>
              <w:spacing w:after="0"/>
              <w:rPr>
                <w:sz w:val="20"/>
                <w:szCs w:val="20"/>
                <w:color w:val="auto"/>
              </w:rPr>
            </w:pPr>
            <w:r>
              <w:rPr>
                <w:rFonts w:ascii="Arial" w:cs="Arial" w:eastAsia="Arial" w:hAnsi="Arial"/>
                <w:sz w:val="18"/>
                <w:szCs w:val="18"/>
                <w:color w:val="auto"/>
              </w:rPr>
              <w:t>Net income per share - basic:</w:t>
            </w:r>
          </w:p>
        </w:tc>
        <w:tc>
          <w:tcPr>
            <w:tcW w:w="15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Continuing operations</w:t>
            </w:r>
          </w:p>
        </w:tc>
        <w:tc>
          <w:tcPr>
            <w:tcW w:w="1820" w:type="dxa"/>
            <w:vAlign w:val="bottom"/>
            <w:gridSpan w:val="2"/>
            <w:shd w:val="clear" w:color="auto" w:fill="CFF0FC"/>
          </w:tcPr>
          <w:p>
            <w:pPr>
              <w:jc w:val="right"/>
              <w:ind w:right="87"/>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0.11</w:t>
            </w: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0.07</w:t>
            </w:r>
          </w:p>
        </w:tc>
        <w:tc>
          <w:tcPr>
            <w:tcW w:w="50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0.33</w:t>
            </w:r>
          </w:p>
        </w:tc>
        <w:tc>
          <w:tcPr>
            <w:tcW w:w="26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0.22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40" w:type="dxa"/>
            <w:vAlign w:val="bottom"/>
          </w:tcPr>
          <w:p>
            <w:pPr>
              <w:ind w:left="500"/>
              <w:spacing w:after="0"/>
              <w:rPr>
                <w:sz w:val="20"/>
                <w:szCs w:val="20"/>
                <w:color w:val="auto"/>
              </w:rPr>
            </w:pPr>
            <w:r>
              <w:rPr>
                <w:rFonts w:ascii="Arial" w:cs="Arial" w:eastAsia="Arial" w:hAnsi="Arial"/>
                <w:sz w:val="18"/>
                <w:szCs w:val="18"/>
                <w:color w:val="auto"/>
              </w:rPr>
              <w:t>Discontinued operations</w:t>
            </w:r>
          </w:p>
        </w:tc>
        <w:tc>
          <w:tcPr>
            <w:tcW w:w="15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0.04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income per share - basic</w:t>
            </w:r>
          </w:p>
        </w:tc>
        <w:tc>
          <w:tcPr>
            <w:tcW w:w="158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0.11</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0.07</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0.33</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0.26</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2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240" w:type="dxa"/>
            <w:vAlign w:val="bottom"/>
            <w:shd w:val="clear" w:color="auto" w:fill="CFF0FC"/>
          </w:tcPr>
          <w:p>
            <w:pPr>
              <w:spacing w:after="0"/>
              <w:rPr>
                <w:sz w:val="20"/>
                <w:szCs w:val="20"/>
                <w:color w:val="auto"/>
              </w:rPr>
            </w:pPr>
            <w:r>
              <w:rPr>
                <w:rFonts w:ascii="Arial" w:cs="Arial" w:eastAsia="Arial" w:hAnsi="Arial"/>
                <w:sz w:val="18"/>
                <w:szCs w:val="18"/>
                <w:color w:val="auto"/>
              </w:rPr>
              <w:t>Net income per share - diluted:</w:t>
            </w:r>
          </w:p>
        </w:tc>
        <w:tc>
          <w:tcPr>
            <w:tcW w:w="15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40" w:type="dxa"/>
            <w:vAlign w:val="bottom"/>
          </w:tcPr>
          <w:p>
            <w:pPr>
              <w:ind w:left="500"/>
              <w:spacing w:after="0"/>
              <w:rPr>
                <w:sz w:val="20"/>
                <w:szCs w:val="20"/>
                <w:color w:val="auto"/>
              </w:rPr>
            </w:pPr>
            <w:r>
              <w:rPr>
                <w:rFonts w:ascii="Arial" w:cs="Arial" w:eastAsia="Arial" w:hAnsi="Arial"/>
                <w:sz w:val="18"/>
                <w:szCs w:val="18"/>
                <w:color w:val="auto"/>
              </w:rPr>
              <w:t>Continuing operations</w:t>
            </w:r>
          </w:p>
        </w:tc>
        <w:tc>
          <w:tcPr>
            <w:tcW w:w="1820" w:type="dxa"/>
            <w:vAlign w:val="bottom"/>
            <w:gridSpan w:val="2"/>
          </w:tcPr>
          <w:p>
            <w:pPr>
              <w:jc w:val="right"/>
              <w:ind w:right="87"/>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0.11</w:t>
            </w:r>
          </w:p>
        </w:tc>
        <w:tc>
          <w:tcPr>
            <w:tcW w:w="24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0.07</w:t>
            </w:r>
          </w:p>
        </w:tc>
        <w:tc>
          <w:tcPr>
            <w:tcW w:w="50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0.33</w:t>
            </w:r>
          </w:p>
        </w:tc>
        <w:tc>
          <w:tcPr>
            <w:tcW w:w="260" w:type="dxa"/>
            <w:vAlign w:val="bottom"/>
          </w:tcPr>
          <w:p>
            <w:pPr>
              <w:spacing w:after="0"/>
              <w:rPr>
                <w:sz w:val="19"/>
                <w:szCs w:val="19"/>
                <w:color w:val="auto"/>
              </w:rPr>
            </w:pP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0.22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Discontinued operations</w:t>
            </w:r>
          </w:p>
        </w:tc>
        <w:tc>
          <w:tcPr>
            <w:tcW w:w="15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40" w:type="dxa"/>
            <w:vAlign w:val="bottom"/>
          </w:tcPr>
          <w:p>
            <w:pPr>
              <w:spacing w:after="0"/>
              <w:rPr>
                <w:sz w:val="20"/>
                <w:szCs w:val="20"/>
                <w:color w:val="auto"/>
              </w:rPr>
            </w:pPr>
            <w:r>
              <w:rPr>
                <w:rFonts w:ascii="Arial" w:cs="Arial" w:eastAsia="Arial" w:hAnsi="Arial"/>
                <w:sz w:val="18"/>
                <w:szCs w:val="18"/>
                <w:color w:val="auto"/>
              </w:rPr>
              <w:t>Net income per share - diluted</w:t>
            </w:r>
          </w:p>
        </w:tc>
        <w:tc>
          <w:tcPr>
            <w:tcW w:w="158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0.11</w:t>
            </w:r>
          </w:p>
        </w:tc>
        <w:tc>
          <w:tcPr>
            <w:tcW w:w="24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0.07</w:t>
            </w:r>
          </w:p>
        </w:tc>
        <w:tc>
          <w:tcPr>
            <w:tcW w:w="24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0.33</w:t>
            </w:r>
          </w:p>
        </w:tc>
        <w:tc>
          <w:tcPr>
            <w:tcW w:w="26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0.26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1580" w:type="dxa"/>
            <w:vAlign w:val="bottom"/>
            <w:vMerge w:val="restart"/>
          </w:tcPr>
          <w:p>
            <w:pPr>
              <w:jc w:val="right"/>
              <w:ind w:right="10"/>
              <w:spacing w:after="0"/>
              <w:rPr>
                <w:sz w:val="20"/>
                <w:szCs w:val="20"/>
                <w:color w:val="auto"/>
              </w:rPr>
            </w:pPr>
            <w:r>
              <w:rPr>
                <w:rFonts w:ascii="Arial" w:cs="Arial" w:eastAsia="Arial" w:hAnsi="Arial"/>
                <w:sz w:val="18"/>
                <w:szCs w:val="18"/>
                <w:color w:val="auto"/>
              </w:rPr>
              <w:t>10</w:t>
            </w: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42"/>
        </w:trPr>
        <w:tc>
          <w:tcPr>
            <w:tcW w:w="4240" w:type="dxa"/>
            <w:vAlign w:val="bottom"/>
          </w:tcPr>
          <w:p>
            <w:pPr>
              <w:spacing w:after="0"/>
              <w:rPr>
                <w:sz w:val="24"/>
                <w:szCs w:val="24"/>
                <w:color w:val="auto"/>
              </w:rPr>
            </w:pPr>
          </w:p>
        </w:tc>
        <w:tc>
          <w:tcPr>
            <w:tcW w:w="158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4"/>
        </w:trPr>
        <w:tc>
          <w:tcPr>
            <w:tcW w:w="4240" w:type="dxa"/>
            <w:vAlign w:val="bottom"/>
            <w:tcBorders>
              <w:bottom w:val="single" w:sz="8" w:color="9A9A9A"/>
            </w:tcBorders>
          </w:tcPr>
          <w:p>
            <w:pPr>
              <w:spacing w:after="0"/>
              <w:rPr>
                <w:sz w:val="24"/>
                <w:szCs w:val="24"/>
                <w:color w:val="auto"/>
              </w:rPr>
            </w:pPr>
          </w:p>
        </w:tc>
        <w:tc>
          <w:tcPr>
            <w:tcW w:w="15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t>HEALTHSTREAM,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MARKETABLE SECURITIES</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At June 30, 2020 and December 31, 2019, the fair value of marketable securities, which were all classified as available for sale, included the following (in thousands):</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8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620" w:type="dxa"/>
            <w:vAlign w:val="bottom"/>
            <w:tcBorders>
              <w:bottom w:val="single" w:sz="8" w:color="auto"/>
            </w:tcBorders>
            <w:gridSpan w:val="5"/>
          </w:tcPr>
          <w:p>
            <w:pPr>
              <w:jc w:val="right"/>
              <w:ind w:right="1100"/>
              <w:spacing w:after="0"/>
              <w:rPr>
                <w:sz w:val="20"/>
                <w:szCs w:val="20"/>
                <w:color w:val="auto"/>
              </w:rPr>
            </w:pPr>
            <w:r>
              <w:rPr>
                <w:rFonts w:ascii="Arial" w:cs="Arial" w:eastAsia="Arial" w:hAnsi="Arial"/>
                <w:sz w:val="14"/>
                <w:szCs w:val="14"/>
                <w:b w:val="1"/>
                <w:bCs w:val="1"/>
                <w:color w:val="auto"/>
              </w:rPr>
              <w:t>June 30, 2020</w:t>
            </w:r>
          </w:p>
        </w:tc>
        <w:tc>
          <w:tcPr>
            <w:tcW w:w="1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58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gridSpan w:val="2"/>
          </w:tcPr>
          <w:p>
            <w:pPr>
              <w:jc w:val="center"/>
              <w:ind w:right="420"/>
              <w:spacing w:after="0" w:line="133" w:lineRule="exact"/>
              <w:rPr>
                <w:sz w:val="20"/>
                <w:szCs w:val="20"/>
                <w:color w:val="auto"/>
              </w:rPr>
            </w:pPr>
            <w:r>
              <w:rPr>
                <w:rFonts w:ascii="Arial" w:cs="Arial" w:eastAsia="Arial" w:hAnsi="Arial"/>
                <w:sz w:val="14"/>
                <w:szCs w:val="14"/>
                <w:b w:val="1"/>
                <w:bCs w:val="1"/>
                <w:color w:val="auto"/>
                <w:w w:val="93"/>
              </w:rPr>
              <w:t>Adjusted</w:t>
            </w:r>
          </w:p>
        </w:tc>
        <w:tc>
          <w:tcPr>
            <w:tcW w:w="180" w:type="dxa"/>
            <w:vAlign w:val="bottom"/>
          </w:tcPr>
          <w:p>
            <w:pPr>
              <w:spacing w:after="0"/>
              <w:rPr>
                <w:sz w:val="11"/>
                <w:szCs w:val="11"/>
                <w:color w:val="auto"/>
              </w:rPr>
            </w:pPr>
          </w:p>
        </w:tc>
        <w:tc>
          <w:tcPr>
            <w:tcW w:w="980" w:type="dxa"/>
            <w:vAlign w:val="bottom"/>
          </w:tcPr>
          <w:p>
            <w:pPr>
              <w:jc w:val="center"/>
              <w:ind w:right="100"/>
              <w:spacing w:after="0" w:line="133" w:lineRule="exact"/>
              <w:rPr>
                <w:sz w:val="20"/>
                <w:szCs w:val="20"/>
                <w:color w:val="auto"/>
              </w:rPr>
            </w:pPr>
            <w:r>
              <w:rPr>
                <w:rFonts w:ascii="Arial" w:cs="Arial" w:eastAsia="Arial" w:hAnsi="Arial"/>
                <w:sz w:val="14"/>
                <w:szCs w:val="14"/>
                <w:b w:val="1"/>
                <w:bCs w:val="1"/>
                <w:color w:val="auto"/>
                <w:w w:val="95"/>
              </w:rPr>
              <w:t>Unrealized</w:t>
            </w: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40" w:type="dxa"/>
            <w:vAlign w:val="bottom"/>
            <w:gridSpan w:val="2"/>
          </w:tcPr>
          <w:p>
            <w:pPr>
              <w:jc w:val="center"/>
              <w:ind w:right="420"/>
              <w:spacing w:after="0" w:line="133" w:lineRule="exact"/>
              <w:rPr>
                <w:sz w:val="20"/>
                <w:szCs w:val="20"/>
                <w:color w:val="auto"/>
              </w:rPr>
            </w:pPr>
            <w:r>
              <w:rPr>
                <w:rFonts w:ascii="Arial" w:cs="Arial" w:eastAsia="Arial" w:hAnsi="Arial"/>
                <w:sz w:val="14"/>
                <w:szCs w:val="14"/>
                <w:b w:val="1"/>
                <w:bCs w:val="1"/>
                <w:color w:val="auto"/>
                <w:w w:val="93"/>
              </w:rPr>
              <w:t>Unrealized</w:t>
            </w:r>
          </w:p>
        </w:tc>
        <w:tc>
          <w:tcPr>
            <w:tcW w:w="160" w:type="dxa"/>
            <w:vAlign w:val="bottom"/>
          </w:tcPr>
          <w:p>
            <w:pPr>
              <w:spacing w:after="0"/>
              <w:rPr>
                <w:sz w:val="11"/>
                <w:szCs w:val="11"/>
                <w:color w:val="auto"/>
              </w:rPr>
            </w:pPr>
          </w:p>
        </w:tc>
        <w:tc>
          <w:tcPr>
            <w:tcW w:w="110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71"/>
        </w:trPr>
        <w:tc>
          <w:tcPr>
            <w:tcW w:w="5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9"/>
              </w:rPr>
              <w:t>Cost</w:t>
            </w:r>
          </w:p>
        </w:tc>
        <w:tc>
          <w:tcPr>
            <w:tcW w:w="180" w:type="dxa"/>
            <w:vAlign w:val="bottom"/>
          </w:tcPr>
          <w:p>
            <w:pPr>
              <w:spacing w:after="0"/>
              <w:rPr>
                <w:sz w:val="14"/>
                <w:szCs w:val="14"/>
                <w:color w:val="auto"/>
              </w:rPr>
            </w:pPr>
          </w:p>
        </w:tc>
        <w:tc>
          <w:tcPr>
            <w:tcW w:w="980" w:type="dxa"/>
            <w:vAlign w:val="bottom"/>
          </w:tcPr>
          <w:p>
            <w:pPr>
              <w:jc w:val="center"/>
              <w:ind w:right="100"/>
              <w:spacing w:after="0"/>
              <w:rPr>
                <w:sz w:val="20"/>
                <w:szCs w:val="20"/>
                <w:color w:val="auto"/>
              </w:rPr>
            </w:pPr>
            <w:r>
              <w:rPr>
                <w:rFonts w:ascii="Arial" w:cs="Arial" w:eastAsia="Arial" w:hAnsi="Arial"/>
                <w:sz w:val="14"/>
                <w:szCs w:val="14"/>
                <w:b w:val="1"/>
                <w:bCs w:val="1"/>
                <w:color w:val="auto"/>
                <w:w w:val="92"/>
              </w:rPr>
              <w:t>Gains</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2"/>
              </w:rPr>
              <w:t>Losses</w:t>
            </w:r>
          </w:p>
        </w:tc>
        <w:tc>
          <w:tcPr>
            <w:tcW w:w="160" w:type="dxa"/>
            <w:vAlign w:val="bottom"/>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8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Level 2:</w:t>
            </w:r>
          </w:p>
        </w:tc>
        <w:tc>
          <w:tcPr>
            <w:tcW w:w="18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20" w:type="dxa"/>
            <w:vAlign w:val="bottom"/>
          </w:tcPr>
          <w:p>
            <w:pPr>
              <w:ind w:left="500"/>
              <w:spacing w:after="0"/>
              <w:rPr>
                <w:sz w:val="20"/>
                <w:szCs w:val="20"/>
                <w:color w:val="auto"/>
              </w:rPr>
            </w:pPr>
            <w:r>
              <w:rPr>
                <w:rFonts w:ascii="Arial" w:cs="Arial" w:eastAsia="Arial" w:hAnsi="Arial"/>
                <w:sz w:val="18"/>
                <w:szCs w:val="18"/>
                <w:color w:val="auto"/>
              </w:rPr>
              <w:t>Corporate debt securities</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31,965</w:t>
            </w:r>
          </w:p>
        </w:tc>
        <w:tc>
          <w:tcPr>
            <w:tcW w:w="24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36</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(12)</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31,989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2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180" w:type="dxa"/>
            <w:vAlign w:val="bottom"/>
            <w:tcBorders>
              <w:top w:val="single" w:sz="8" w:color="auto"/>
              <w:bottom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31,965</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31,989</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58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620" w:type="dxa"/>
            <w:vAlign w:val="bottom"/>
            <w:tcBorders>
              <w:bottom w:val="single" w:sz="8" w:color="auto"/>
            </w:tcBorders>
            <w:gridSpan w:val="5"/>
          </w:tcPr>
          <w:p>
            <w:pPr>
              <w:jc w:val="right"/>
              <w:ind w:right="940"/>
              <w:spacing w:after="0"/>
              <w:rPr>
                <w:sz w:val="20"/>
                <w:szCs w:val="20"/>
                <w:color w:val="auto"/>
              </w:rPr>
            </w:pPr>
            <w:r>
              <w:rPr>
                <w:rFonts w:ascii="Arial" w:cs="Arial" w:eastAsia="Arial" w:hAnsi="Arial"/>
                <w:sz w:val="14"/>
                <w:szCs w:val="14"/>
                <w:b w:val="1"/>
                <w:bCs w:val="1"/>
                <w:color w:val="auto"/>
              </w:rPr>
              <w:t>December 31, 2019</w:t>
            </w:r>
          </w:p>
        </w:tc>
        <w:tc>
          <w:tcPr>
            <w:tcW w:w="1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58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gridSpan w:val="2"/>
          </w:tcPr>
          <w:p>
            <w:pPr>
              <w:jc w:val="center"/>
              <w:ind w:right="420"/>
              <w:spacing w:after="0" w:line="133" w:lineRule="exact"/>
              <w:rPr>
                <w:sz w:val="20"/>
                <w:szCs w:val="20"/>
                <w:color w:val="auto"/>
              </w:rPr>
            </w:pPr>
            <w:r>
              <w:rPr>
                <w:rFonts w:ascii="Arial" w:cs="Arial" w:eastAsia="Arial" w:hAnsi="Arial"/>
                <w:sz w:val="14"/>
                <w:szCs w:val="14"/>
                <w:b w:val="1"/>
                <w:bCs w:val="1"/>
                <w:color w:val="auto"/>
                <w:w w:val="93"/>
              </w:rPr>
              <w:t>Adjusted</w:t>
            </w:r>
          </w:p>
        </w:tc>
        <w:tc>
          <w:tcPr>
            <w:tcW w:w="180" w:type="dxa"/>
            <w:vAlign w:val="bottom"/>
          </w:tcPr>
          <w:p>
            <w:pPr>
              <w:spacing w:after="0"/>
              <w:rPr>
                <w:sz w:val="11"/>
                <w:szCs w:val="11"/>
                <w:color w:val="auto"/>
              </w:rPr>
            </w:pPr>
          </w:p>
        </w:tc>
        <w:tc>
          <w:tcPr>
            <w:tcW w:w="980" w:type="dxa"/>
            <w:vAlign w:val="bottom"/>
          </w:tcPr>
          <w:p>
            <w:pPr>
              <w:jc w:val="center"/>
              <w:ind w:right="100"/>
              <w:spacing w:after="0" w:line="133" w:lineRule="exact"/>
              <w:rPr>
                <w:sz w:val="20"/>
                <w:szCs w:val="20"/>
                <w:color w:val="auto"/>
              </w:rPr>
            </w:pPr>
            <w:r>
              <w:rPr>
                <w:rFonts w:ascii="Arial" w:cs="Arial" w:eastAsia="Arial" w:hAnsi="Arial"/>
                <w:sz w:val="14"/>
                <w:szCs w:val="14"/>
                <w:b w:val="1"/>
                <w:bCs w:val="1"/>
                <w:color w:val="auto"/>
                <w:w w:val="95"/>
              </w:rPr>
              <w:t>Unrealized</w:t>
            </w: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40" w:type="dxa"/>
            <w:vAlign w:val="bottom"/>
            <w:gridSpan w:val="2"/>
          </w:tcPr>
          <w:p>
            <w:pPr>
              <w:jc w:val="center"/>
              <w:ind w:right="420"/>
              <w:spacing w:after="0" w:line="133" w:lineRule="exact"/>
              <w:rPr>
                <w:sz w:val="20"/>
                <w:szCs w:val="20"/>
                <w:color w:val="auto"/>
              </w:rPr>
            </w:pPr>
            <w:r>
              <w:rPr>
                <w:rFonts w:ascii="Arial" w:cs="Arial" w:eastAsia="Arial" w:hAnsi="Arial"/>
                <w:sz w:val="14"/>
                <w:szCs w:val="14"/>
                <w:b w:val="1"/>
                <w:bCs w:val="1"/>
                <w:color w:val="auto"/>
                <w:w w:val="93"/>
              </w:rPr>
              <w:t>Unrealized</w:t>
            </w:r>
          </w:p>
        </w:tc>
        <w:tc>
          <w:tcPr>
            <w:tcW w:w="160" w:type="dxa"/>
            <w:vAlign w:val="bottom"/>
          </w:tcPr>
          <w:p>
            <w:pPr>
              <w:spacing w:after="0"/>
              <w:rPr>
                <w:sz w:val="11"/>
                <w:szCs w:val="11"/>
                <w:color w:val="auto"/>
              </w:rPr>
            </w:pPr>
          </w:p>
        </w:tc>
        <w:tc>
          <w:tcPr>
            <w:tcW w:w="110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71"/>
        </w:trPr>
        <w:tc>
          <w:tcPr>
            <w:tcW w:w="5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9"/>
              </w:rPr>
              <w:t>Cost</w:t>
            </w:r>
          </w:p>
        </w:tc>
        <w:tc>
          <w:tcPr>
            <w:tcW w:w="180" w:type="dxa"/>
            <w:vAlign w:val="bottom"/>
          </w:tcPr>
          <w:p>
            <w:pPr>
              <w:spacing w:after="0"/>
              <w:rPr>
                <w:sz w:val="14"/>
                <w:szCs w:val="14"/>
                <w:color w:val="auto"/>
              </w:rPr>
            </w:pPr>
          </w:p>
        </w:tc>
        <w:tc>
          <w:tcPr>
            <w:tcW w:w="980" w:type="dxa"/>
            <w:vAlign w:val="bottom"/>
          </w:tcPr>
          <w:p>
            <w:pPr>
              <w:jc w:val="center"/>
              <w:ind w:right="100"/>
              <w:spacing w:after="0"/>
              <w:rPr>
                <w:sz w:val="20"/>
                <w:szCs w:val="20"/>
                <w:color w:val="auto"/>
              </w:rPr>
            </w:pPr>
            <w:r>
              <w:rPr>
                <w:rFonts w:ascii="Arial" w:cs="Arial" w:eastAsia="Arial" w:hAnsi="Arial"/>
                <w:sz w:val="14"/>
                <w:szCs w:val="14"/>
                <w:b w:val="1"/>
                <w:bCs w:val="1"/>
                <w:color w:val="auto"/>
                <w:w w:val="92"/>
              </w:rPr>
              <w:t>Gains</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2"/>
              </w:rPr>
              <w:t>Losses</w:t>
            </w:r>
          </w:p>
        </w:tc>
        <w:tc>
          <w:tcPr>
            <w:tcW w:w="160" w:type="dxa"/>
            <w:vAlign w:val="bottom"/>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8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Level 2:</w:t>
            </w:r>
          </w:p>
        </w:tc>
        <w:tc>
          <w:tcPr>
            <w:tcW w:w="18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20" w:type="dxa"/>
            <w:vAlign w:val="bottom"/>
          </w:tcPr>
          <w:p>
            <w:pPr>
              <w:ind w:left="260"/>
              <w:spacing w:after="0"/>
              <w:rPr>
                <w:sz w:val="20"/>
                <w:szCs w:val="20"/>
                <w:color w:val="auto"/>
              </w:rPr>
            </w:pPr>
            <w:r>
              <w:rPr>
                <w:rFonts w:ascii="Arial" w:cs="Arial" w:eastAsia="Arial" w:hAnsi="Arial"/>
                <w:sz w:val="18"/>
                <w:szCs w:val="18"/>
                <w:color w:val="auto"/>
              </w:rPr>
              <w:t>Corporate debt securities</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37,325</w:t>
            </w:r>
          </w:p>
        </w:tc>
        <w:tc>
          <w:tcPr>
            <w:tcW w:w="24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7</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(5)</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37,327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Government-sponsored enterprise debt securities</w:t>
            </w:r>
          </w:p>
        </w:tc>
        <w:tc>
          <w:tcPr>
            <w:tcW w:w="18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4,001</w:t>
            </w:r>
          </w:p>
        </w:tc>
        <w:tc>
          <w:tcPr>
            <w:tcW w:w="24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4,001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20" w:type="dxa"/>
            <w:vAlign w:val="bottom"/>
          </w:tcPr>
          <w:p>
            <w:pPr>
              <w:spacing w:after="0"/>
              <w:rPr>
                <w:sz w:val="20"/>
                <w:szCs w:val="20"/>
                <w:color w:val="auto"/>
              </w:rPr>
            </w:pPr>
            <w:r>
              <w:rPr>
                <w:rFonts w:ascii="Arial" w:cs="Arial" w:eastAsia="Arial" w:hAnsi="Arial"/>
                <w:sz w:val="18"/>
                <w:szCs w:val="18"/>
                <w:color w:val="auto"/>
              </w:rPr>
              <w:t>Total</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41,326</w:t>
            </w:r>
          </w:p>
        </w:tc>
        <w:tc>
          <w:tcPr>
            <w:tcW w:w="24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7</w:t>
            </w:r>
          </w:p>
        </w:tc>
        <w:tc>
          <w:tcPr>
            <w:tcW w:w="24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(5)</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41,328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carrying amounts reported in the Condensed Consolidated Balance Sheets approximate the fair value based on quoted market prices or alternative pricing sources and models utilizing market observable inputs. As of June 30, 2020, the Company did not recognize any allowance for credit impairments on its available for sale debt securities. All investments in marketable securities are classified as current assets on the Condensed Consolidated Balance Sheets because the underlying securities mature within one year from the balance sheet date.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BUSINESS COMBINATIONS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CredentialMyDoc</w:t>
      </w:r>
    </w:p>
    <w:p>
      <w:pPr>
        <w:spacing w:after="0" w:line="11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212529"/>
        </w:rPr>
        <w:t>On December 16, 2019, the Company acquired substantially all the assets of Covenant Technology Group, LLC (“CredentialMyDoc”), a Savannah, Georgia-based company focusing on intuitive, easy to use, and fast to implement software-as-a-service solution, primarily in ambulatory care settings. The consideration paid for CredentialMyDoc consisted of $9.0 million in cash, after giving effect to the post-closing working capital adjustment. Of the purchase price paid at closing, $1.1 million is being held in escrow for a period of time following the closing to serve as a source of recovery for the working capital adjustment and certain potential indemnification claims by the Company. The results of operations for CredentialMyDoc have been included in the Provider Solutions segment of the Company’s Financial Statements from the date of acquisition.</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purchase price is as follows (in thousands):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160" w:type="dxa"/>
            <w:vAlign w:val="bottom"/>
            <w:shd w:val="clear" w:color="auto" w:fill="CFF0FC"/>
          </w:tcPr>
          <w:p>
            <w:pPr>
              <w:spacing w:after="0"/>
              <w:rPr>
                <w:sz w:val="20"/>
                <w:szCs w:val="20"/>
                <w:color w:val="auto"/>
              </w:rPr>
            </w:pPr>
            <w:r>
              <w:rPr>
                <w:rFonts w:ascii="Arial" w:cs="Arial" w:eastAsia="Arial" w:hAnsi="Arial"/>
                <w:sz w:val="16"/>
                <w:szCs w:val="16"/>
                <w:color w:val="auto"/>
              </w:rPr>
              <w:t>Cash paid at closing</w:t>
            </w:r>
          </w:p>
        </w:tc>
        <w:tc>
          <w:tcPr>
            <w:tcW w:w="4040" w:type="dxa"/>
            <w:vAlign w:val="bottom"/>
            <w:gridSpan w:val="2"/>
            <w:shd w:val="clear" w:color="auto" w:fill="CFF0FC"/>
          </w:tcPr>
          <w:p>
            <w:pPr>
              <w:jc w:val="right"/>
              <w:ind w:right="540"/>
              <w:spacing w:after="0"/>
              <w:rPr>
                <w:sz w:val="20"/>
                <w:szCs w:val="20"/>
                <w:color w:val="auto"/>
              </w:rPr>
            </w:pPr>
            <w:r>
              <w:rPr>
                <w:rFonts w:ascii="Arial" w:cs="Arial" w:eastAsia="Arial" w:hAnsi="Arial"/>
                <w:sz w:val="16"/>
                <w:szCs w:val="16"/>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9,000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160" w:type="dxa"/>
            <w:vAlign w:val="bottom"/>
          </w:tcPr>
          <w:p>
            <w:pPr>
              <w:spacing w:after="0"/>
              <w:rPr>
                <w:sz w:val="20"/>
                <w:szCs w:val="20"/>
                <w:color w:val="auto"/>
              </w:rPr>
            </w:pPr>
            <w:r>
              <w:rPr>
                <w:rFonts w:ascii="Arial" w:cs="Arial" w:eastAsia="Arial" w:hAnsi="Arial"/>
                <w:sz w:val="16"/>
                <w:szCs w:val="16"/>
                <w:color w:val="auto"/>
              </w:rPr>
              <w:t>Working capital adjustment - post-closing</w:t>
            </w:r>
          </w:p>
        </w:tc>
        <w:tc>
          <w:tcPr>
            <w:tcW w:w="34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0"/>
        </w:trPr>
        <w:tc>
          <w:tcPr>
            <w:tcW w:w="6160" w:type="dxa"/>
            <w:vAlign w:val="bottom"/>
            <w:vMerge w:val="restart"/>
            <w:shd w:val="clear" w:color="auto" w:fill="CFF0FC"/>
          </w:tcPr>
          <w:p>
            <w:pPr>
              <w:ind w:left="260"/>
              <w:spacing w:after="0"/>
              <w:rPr>
                <w:sz w:val="20"/>
                <w:szCs w:val="20"/>
                <w:color w:val="auto"/>
              </w:rPr>
            </w:pPr>
            <w:r>
              <w:rPr>
                <w:rFonts w:ascii="Arial" w:cs="Arial" w:eastAsia="Arial" w:hAnsi="Arial"/>
                <w:sz w:val="16"/>
                <w:szCs w:val="16"/>
                <w:color w:val="auto"/>
              </w:rPr>
              <w:t>Total consideration paid</w:t>
            </w:r>
          </w:p>
        </w:tc>
        <w:tc>
          <w:tcPr>
            <w:tcW w:w="3420" w:type="dxa"/>
            <w:vAlign w:val="bottom"/>
            <w:shd w:val="clear" w:color="auto" w:fill="CFF0FC"/>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160" w:type="dxa"/>
            <w:vAlign w:val="bottom"/>
            <w:vMerge w:val="continue"/>
            <w:shd w:val="clear" w:color="auto" w:fill="CFF0FC"/>
          </w:tcPr>
          <w:p>
            <w:pPr>
              <w:spacing w:after="0"/>
              <w:rPr>
                <w:sz w:val="18"/>
                <w:szCs w:val="18"/>
                <w:color w:val="auto"/>
              </w:rPr>
            </w:pPr>
          </w:p>
        </w:tc>
        <w:tc>
          <w:tcPr>
            <w:tcW w:w="4040" w:type="dxa"/>
            <w:vAlign w:val="bottom"/>
            <w:gridSpan w:val="2"/>
            <w:shd w:val="clear" w:color="auto" w:fill="CFF0FC"/>
          </w:tcPr>
          <w:p>
            <w:pPr>
              <w:jc w:val="right"/>
              <w:ind w:right="540"/>
              <w:spacing w:after="0"/>
              <w:rPr>
                <w:sz w:val="20"/>
                <w:szCs w:val="20"/>
                <w:color w:val="auto"/>
              </w:rPr>
            </w:pPr>
            <w:r>
              <w:rPr>
                <w:rFonts w:ascii="Arial" w:cs="Arial" w:eastAsia="Arial" w:hAnsi="Arial"/>
                <w:sz w:val="16"/>
                <w:szCs w:val="16"/>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8,995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160" w:type="dxa"/>
            <w:vAlign w:val="bottom"/>
            <w:tcBorders>
              <w:top w:val="single" w:sz="8" w:color="CFF0FC"/>
            </w:tcBorders>
          </w:tcPr>
          <w:p>
            <w:pPr>
              <w:spacing w:after="0" w:line="20" w:lineRule="exact"/>
              <w:rPr>
                <w:sz w:val="1"/>
                <w:szCs w:val="1"/>
                <w:color w:val="auto"/>
              </w:rPr>
            </w:pPr>
          </w:p>
        </w:tc>
        <w:tc>
          <w:tcPr>
            <w:tcW w:w="3420" w:type="dxa"/>
            <w:vAlign w:val="bottom"/>
            <w:tcBorders>
              <w:top w:val="single" w:sz="8" w:color="CFF0FC"/>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fair value of the assets acquired and liabilities assumed as of the date of acquisition (in thousands):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580" w:type="dxa"/>
            <w:vAlign w:val="bottom"/>
            <w:shd w:val="clear" w:color="auto" w:fill="CFF0FC"/>
          </w:tcPr>
          <w:p>
            <w:pPr>
              <w:spacing w:after="0"/>
              <w:rPr>
                <w:sz w:val="20"/>
                <w:szCs w:val="20"/>
                <w:color w:val="auto"/>
              </w:rPr>
            </w:pPr>
            <w:r>
              <w:rPr>
                <w:rFonts w:ascii="Arial" w:cs="Arial" w:eastAsia="Arial" w:hAnsi="Arial"/>
                <w:sz w:val="16"/>
                <w:szCs w:val="16"/>
                <w:color w:val="auto"/>
              </w:rPr>
              <w:t>Accounts and unbilled receivable, net</w:t>
            </w:r>
          </w:p>
        </w:tc>
        <w:tc>
          <w:tcPr>
            <w:tcW w:w="620" w:type="dxa"/>
            <w:vAlign w:val="bottom"/>
            <w:shd w:val="clear" w:color="auto" w:fill="CFF0FC"/>
          </w:tcPr>
          <w:p>
            <w:pPr>
              <w:jc w:val="right"/>
              <w:ind w:right="464"/>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204</w:t>
            </w:r>
          </w:p>
        </w:tc>
        <w:tc>
          <w:tcPr>
            <w:tcW w:w="100" w:type="dxa"/>
            <w:vAlign w:val="bottom"/>
            <w:shd w:val="clear" w:color="auto" w:fill="CFF0FC"/>
          </w:tcPr>
          <w:p>
            <w:pPr>
              <w:spacing w:after="0"/>
              <w:rPr>
                <w:sz w:val="18"/>
                <w:szCs w:val="18"/>
                <w:color w:val="auto"/>
              </w:rPr>
            </w:pPr>
          </w:p>
        </w:tc>
      </w:tr>
      <w:tr>
        <w:trPr>
          <w:trHeight w:val="213"/>
        </w:trPr>
        <w:tc>
          <w:tcPr>
            <w:tcW w:w="9580" w:type="dxa"/>
            <w:vAlign w:val="bottom"/>
          </w:tcPr>
          <w:p>
            <w:pPr>
              <w:spacing w:after="0"/>
              <w:rPr>
                <w:sz w:val="20"/>
                <w:szCs w:val="20"/>
                <w:color w:val="auto"/>
              </w:rPr>
            </w:pPr>
            <w:r>
              <w:rPr>
                <w:rFonts w:ascii="Arial" w:cs="Arial" w:eastAsia="Arial" w:hAnsi="Arial"/>
                <w:sz w:val="16"/>
                <w:szCs w:val="16"/>
                <w:color w:val="auto"/>
              </w:rPr>
              <w:t>Prepaid and other current assets</w:t>
            </w:r>
          </w:p>
        </w:tc>
        <w:tc>
          <w:tcPr>
            <w:tcW w:w="6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8"/>
                <w:szCs w:val="18"/>
                <w:color w:val="auto"/>
              </w:rPr>
            </w:pPr>
          </w:p>
        </w:tc>
      </w:tr>
      <w:tr>
        <w:trPr>
          <w:trHeight w:val="219"/>
        </w:trPr>
        <w:tc>
          <w:tcPr>
            <w:tcW w:w="9580" w:type="dxa"/>
            <w:vAlign w:val="bottom"/>
            <w:shd w:val="clear" w:color="auto" w:fill="CFF0FC"/>
          </w:tcPr>
          <w:p>
            <w:pPr>
              <w:spacing w:after="0"/>
              <w:rPr>
                <w:sz w:val="20"/>
                <w:szCs w:val="20"/>
                <w:color w:val="auto"/>
              </w:rPr>
            </w:pPr>
            <w:r>
              <w:rPr>
                <w:rFonts w:ascii="Arial" w:cs="Arial" w:eastAsia="Arial" w:hAnsi="Arial"/>
                <w:sz w:val="16"/>
                <w:szCs w:val="16"/>
                <w:color w:val="auto"/>
              </w:rPr>
              <w:t>Operating lease right-of-use assets</w:t>
            </w:r>
          </w:p>
        </w:tc>
        <w:tc>
          <w:tcPr>
            <w:tcW w:w="6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30</w:t>
            </w:r>
          </w:p>
        </w:tc>
        <w:tc>
          <w:tcPr>
            <w:tcW w:w="100" w:type="dxa"/>
            <w:vAlign w:val="bottom"/>
            <w:shd w:val="clear" w:color="auto" w:fill="CFF0FC"/>
          </w:tcPr>
          <w:p>
            <w:pPr>
              <w:spacing w:after="0"/>
              <w:rPr>
                <w:sz w:val="19"/>
                <w:szCs w:val="19"/>
                <w:color w:val="auto"/>
              </w:rPr>
            </w:pPr>
          </w:p>
        </w:tc>
      </w:tr>
      <w:tr>
        <w:trPr>
          <w:trHeight w:val="213"/>
        </w:trPr>
        <w:tc>
          <w:tcPr>
            <w:tcW w:w="9580" w:type="dxa"/>
            <w:vAlign w:val="bottom"/>
          </w:tcPr>
          <w:p>
            <w:pPr>
              <w:spacing w:after="0"/>
              <w:rPr>
                <w:sz w:val="20"/>
                <w:szCs w:val="20"/>
                <w:color w:val="auto"/>
              </w:rPr>
            </w:pPr>
            <w:r>
              <w:rPr>
                <w:rFonts w:ascii="Arial" w:cs="Arial" w:eastAsia="Arial" w:hAnsi="Arial"/>
                <w:sz w:val="16"/>
                <w:szCs w:val="16"/>
                <w:color w:val="auto"/>
              </w:rPr>
              <w:t>Deferred tax assets</w:t>
            </w:r>
          </w:p>
        </w:tc>
        <w:tc>
          <w:tcPr>
            <w:tcW w:w="6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70</w:t>
            </w:r>
          </w:p>
        </w:tc>
        <w:tc>
          <w:tcPr>
            <w:tcW w:w="100" w:type="dxa"/>
            <w:vAlign w:val="bottom"/>
          </w:tcPr>
          <w:p>
            <w:pPr>
              <w:spacing w:after="0"/>
              <w:rPr>
                <w:sz w:val="18"/>
                <w:szCs w:val="18"/>
                <w:color w:val="auto"/>
              </w:rPr>
            </w:pPr>
          </w:p>
        </w:tc>
      </w:tr>
      <w:tr>
        <w:trPr>
          <w:trHeight w:val="219"/>
        </w:trPr>
        <w:tc>
          <w:tcPr>
            <w:tcW w:w="9580" w:type="dxa"/>
            <w:vAlign w:val="bottom"/>
            <w:shd w:val="clear" w:color="auto" w:fill="CFF0FC"/>
          </w:tcPr>
          <w:p>
            <w:pPr>
              <w:spacing w:after="0"/>
              <w:rPr>
                <w:sz w:val="20"/>
                <w:szCs w:val="20"/>
                <w:color w:val="auto"/>
              </w:rPr>
            </w:pPr>
            <w:r>
              <w:rPr>
                <w:rFonts w:ascii="Arial" w:cs="Arial" w:eastAsia="Arial" w:hAnsi="Arial"/>
                <w:sz w:val="16"/>
                <w:szCs w:val="16"/>
                <w:color w:val="auto"/>
              </w:rPr>
              <w:t>Goodwill</w:t>
            </w:r>
          </w:p>
        </w:tc>
        <w:tc>
          <w:tcPr>
            <w:tcW w:w="6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4,661</w:t>
            </w:r>
          </w:p>
        </w:tc>
        <w:tc>
          <w:tcPr>
            <w:tcW w:w="100" w:type="dxa"/>
            <w:vAlign w:val="bottom"/>
            <w:shd w:val="clear" w:color="auto" w:fill="CFF0FC"/>
          </w:tcPr>
          <w:p>
            <w:pPr>
              <w:spacing w:after="0"/>
              <w:rPr>
                <w:sz w:val="19"/>
                <w:szCs w:val="19"/>
                <w:color w:val="auto"/>
              </w:rPr>
            </w:pPr>
          </w:p>
        </w:tc>
      </w:tr>
      <w:tr>
        <w:trPr>
          <w:trHeight w:val="213"/>
        </w:trPr>
        <w:tc>
          <w:tcPr>
            <w:tcW w:w="9580" w:type="dxa"/>
            <w:vAlign w:val="bottom"/>
          </w:tcPr>
          <w:p>
            <w:pPr>
              <w:spacing w:after="0"/>
              <w:rPr>
                <w:sz w:val="20"/>
                <w:szCs w:val="20"/>
                <w:color w:val="auto"/>
              </w:rPr>
            </w:pPr>
            <w:r>
              <w:rPr>
                <w:rFonts w:ascii="Arial" w:cs="Arial" w:eastAsia="Arial" w:hAnsi="Arial"/>
                <w:sz w:val="16"/>
                <w:szCs w:val="16"/>
                <w:color w:val="auto"/>
              </w:rPr>
              <w:t>Intangible assets</w:t>
            </w:r>
          </w:p>
        </w:tc>
        <w:tc>
          <w:tcPr>
            <w:tcW w:w="6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4,340</w:t>
            </w:r>
          </w:p>
        </w:tc>
        <w:tc>
          <w:tcPr>
            <w:tcW w:w="100" w:type="dxa"/>
            <w:vAlign w:val="bottom"/>
          </w:tcPr>
          <w:p>
            <w:pPr>
              <w:spacing w:after="0"/>
              <w:rPr>
                <w:sz w:val="18"/>
                <w:szCs w:val="18"/>
                <w:color w:val="auto"/>
              </w:rPr>
            </w:pPr>
          </w:p>
        </w:tc>
      </w:tr>
      <w:tr>
        <w:trPr>
          <w:trHeight w:val="219"/>
        </w:trPr>
        <w:tc>
          <w:tcPr>
            <w:tcW w:w="9580" w:type="dxa"/>
            <w:vAlign w:val="bottom"/>
            <w:shd w:val="clear" w:color="auto" w:fill="CFF0FC"/>
          </w:tcPr>
          <w:p>
            <w:pPr>
              <w:spacing w:after="0"/>
              <w:rPr>
                <w:sz w:val="20"/>
                <w:szCs w:val="20"/>
                <w:color w:val="auto"/>
              </w:rPr>
            </w:pPr>
            <w:r>
              <w:rPr>
                <w:rFonts w:ascii="Arial" w:cs="Arial" w:eastAsia="Arial" w:hAnsi="Arial"/>
                <w:sz w:val="16"/>
                <w:szCs w:val="16"/>
                <w:color w:val="auto"/>
              </w:rPr>
              <w:t>Accounts payable and accrued liabilities</w:t>
            </w:r>
          </w:p>
        </w:tc>
        <w:tc>
          <w:tcPr>
            <w:tcW w:w="62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(7)</w:t>
            </w:r>
          </w:p>
        </w:tc>
      </w:tr>
      <w:tr>
        <w:trPr>
          <w:trHeight w:val="213"/>
        </w:trPr>
        <w:tc>
          <w:tcPr>
            <w:tcW w:w="9580" w:type="dxa"/>
            <w:vAlign w:val="bottom"/>
          </w:tcPr>
          <w:p>
            <w:pPr>
              <w:spacing w:after="0"/>
              <w:rPr>
                <w:sz w:val="20"/>
                <w:szCs w:val="20"/>
                <w:color w:val="auto"/>
              </w:rPr>
            </w:pPr>
            <w:r>
              <w:rPr>
                <w:rFonts w:ascii="Arial" w:cs="Arial" w:eastAsia="Arial" w:hAnsi="Arial"/>
                <w:sz w:val="16"/>
                <w:szCs w:val="16"/>
                <w:color w:val="auto"/>
              </w:rPr>
              <w:t>Deferred revenue</w:t>
            </w:r>
          </w:p>
        </w:tc>
        <w:tc>
          <w:tcPr>
            <w:tcW w:w="62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6"/>
                <w:szCs w:val="16"/>
                <w:color w:val="auto"/>
              </w:rPr>
              <w:t>(276)</w:t>
            </w:r>
          </w:p>
        </w:tc>
      </w:tr>
      <w:tr>
        <w:trPr>
          <w:trHeight w:val="219"/>
        </w:trPr>
        <w:tc>
          <w:tcPr>
            <w:tcW w:w="9580" w:type="dxa"/>
            <w:vAlign w:val="bottom"/>
            <w:shd w:val="clear" w:color="auto" w:fill="CFF0FC"/>
          </w:tcPr>
          <w:p>
            <w:pPr>
              <w:spacing w:after="0"/>
              <w:rPr>
                <w:sz w:val="20"/>
                <w:szCs w:val="20"/>
                <w:color w:val="auto"/>
              </w:rPr>
            </w:pPr>
            <w:r>
              <w:rPr>
                <w:rFonts w:ascii="Arial" w:cs="Arial" w:eastAsia="Arial" w:hAnsi="Arial"/>
                <w:sz w:val="16"/>
                <w:szCs w:val="16"/>
                <w:color w:val="auto"/>
              </w:rPr>
              <w:t>Operating lease liabilities</w:t>
            </w:r>
          </w:p>
        </w:tc>
        <w:tc>
          <w:tcPr>
            <w:tcW w:w="62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(30)</w:t>
            </w:r>
          </w:p>
        </w:tc>
      </w:tr>
      <w:tr>
        <w:trPr>
          <w:trHeight w:val="206"/>
        </w:trPr>
        <w:tc>
          <w:tcPr>
            <w:tcW w:w="9580" w:type="dxa"/>
            <w:vAlign w:val="bottom"/>
          </w:tcPr>
          <w:p>
            <w:pPr>
              <w:ind w:left="260"/>
              <w:spacing w:after="0"/>
              <w:rPr>
                <w:sz w:val="20"/>
                <w:szCs w:val="20"/>
                <w:color w:val="auto"/>
              </w:rPr>
            </w:pPr>
            <w:r>
              <w:rPr>
                <w:rFonts w:ascii="Arial" w:cs="Arial" w:eastAsia="Arial" w:hAnsi="Arial"/>
                <w:sz w:val="16"/>
                <w:szCs w:val="16"/>
                <w:color w:val="auto"/>
              </w:rPr>
              <w:t>Net assets acquired</w:t>
            </w:r>
          </w:p>
        </w:tc>
        <w:tc>
          <w:tcPr>
            <w:tcW w:w="620" w:type="dxa"/>
            <w:vAlign w:val="bottom"/>
            <w:tcBorders>
              <w:top w:val="single" w:sz="8" w:color="auto"/>
              <w:bottom w:val="single" w:sz="8" w:color="auto"/>
            </w:tcBorders>
          </w:tcPr>
          <w:p>
            <w:pPr>
              <w:jc w:val="right"/>
              <w:ind w:right="464"/>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8,995</w:t>
            </w:r>
          </w:p>
        </w:tc>
        <w:tc>
          <w:tcPr>
            <w:tcW w:w="100" w:type="dxa"/>
            <w:vAlign w:val="bottom"/>
          </w:tcPr>
          <w:p>
            <w:pPr>
              <w:spacing w:after="0"/>
              <w:rPr>
                <w:sz w:val="17"/>
                <w:szCs w:val="17"/>
                <w:color w:val="auto"/>
              </w:rPr>
            </w:pPr>
          </w:p>
        </w:tc>
      </w:tr>
      <w:tr>
        <w:trPr>
          <w:trHeight w:val="20"/>
        </w:trPr>
        <w:tc>
          <w:tcPr>
            <w:tcW w:w="95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229235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t>HEALTHSTREAM,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240"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212529"/>
        </w:rPr>
        <w:t>The excess of purchase price over the fair values of net tangible and intangible assets is recorded as goodwill. The fair values of tangible and identifiable intangible assets and liabilities are based on management’s estimates and assumptions. The primary intangible assets acquired were customer relationships and developed technology. The fair value estimate for customer relationships intangible asset included significant assumptions in the prospective financial information, such as revenue growth, customer attrition, EBITDA margin, and the discount rate. The fair value estimate for developed technology intangible asset included significant assumptions, including the estimate of employee hours that would be needed to recreate the technology. Additionally, these assumptions are forward looking and could be affected by future economic and market conditions. The goodwill balance is primarily attributed to the assembled workforce, additional market opportunities from offering CredentialMyDoc products, and expected synergies from integrating CredentialMyDoc with other products or other combined functional areas within the Company. The goodwill balance is deductible for U.S. income tax purposes. The net tangible assets include deferred revenue, which was adjusted down from a book value at the acquisition date of $587,000 to an estimated fair value of $276,000. The $311,000 write-down of deferred revenue will result in lower revenues than would have otherwise been recognized for such services</w:t>
      </w:r>
      <w:r>
        <w:rPr>
          <w:rFonts w:ascii="Arial" w:cs="Arial" w:eastAsia="Arial" w:hAnsi="Arial"/>
          <w:sz w:val="16"/>
          <w:szCs w:val="16"/>
          <w:color w:val="000000"/>
        </w:rPr>
        <w:t>.</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sets forth the components of identifiable intangible assets and their estimated useful lives as of the acquisition date (in thousands):</w:t>
      </w: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220" w:type="dxa"/>
            <w:vAlign w:val="bottom"/>
            <w:tcBorders>
              <w:bottom w:val="single" w:sz="8" w:color="CFF0FC"/>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Fair value</w:t>
            </w:r>
          </w:p>
        </w:tc>
        <w:tc>
          <w:tcPr>
            <w:tcW w:w="280" w:type="dxa"/>
            <w:vAlign w:val="bottom"/>
            <w:tcBorders>
              <w:bottom w:val="single" w:sz="8" w:color="CFF0FC"/>
            </w:tcBorders>
          </w:tcPr>
          <w:p>
            <w:pPr>
              <w:spacing w:after="0"/>
              <w:rPr>
                <w:sz w:val="18"/>
                <w:szCs w:val="18"/>
                <w:color w:val="auto"/>
              </w:rPr>
            </w:pPr>
          </w:p>
        </w:tc>
        <w:tc>
          <w:tcPr>
            <w:tcW w:w="1440" w:type="dxa"/>
            <w:vAlign w:val="bottom"/>
            <w:tcBorders>
              <w:bottom w:val="single" w:sz="8" w:color="auto"/>
            </w:tcBorders>
          </w:tcPr>
          <w:p>
            <w:pPr>
              <w:ind w:left="360"/>
              <w:spacing w:after="0"/>
              <w:rPr>
                <w:sz w:val="20"/>
                <w:szCs w:val="20"/>
                <w:color w:val="auto"/>
              </w:rPr>
            </w:pPr>
            <w:r>
              <w:rPr>
                <w:rFonts w:ascii="Arial" w:cs="Arial" w:eastAsia="Arial" w:hAnsi="Arial"/>
                <w:sz w:val="16"/>
                <w:szCs w:val="16"/>
                <w:b w:val="1"/>
                <w:bCs w:val="1"/>
                <w:color w:val="auto"/>
              </w:rPr>
              <w:t>Useful life</w:t>
            </w:r>
          </w:p>
        </w:tc>
      </w:tr>
      <w:tr>
        <w:trPr>
          <w:trHeight w:val="212"/>
        </w:trPr>
        <w:tc>
          <w:tcPr>
            <w:tcW w:w="8220" w:type="dxa"/>
            <w:vAlign w:val="bottom"/>
            <w:shd w:val="clear" w:color="auto" w:fill="CFF0FC"/>
          </w:tcPr>
          <w:p>
            <w:pPr>
              <w:spacing w:after="0"/>
              <w:rPr>
                <w:sz w:val="20"/>
                <w:szCs w:val="20"/>
                <w:color w:val="auto"/>
              </w:rPr>
            </w:pPr>
            <w:r>
              <w:rPr>
                <w:rFonts w:ascii="Arial" w:cs="Arial" w:eastAsia="Arial" w:hAnsi="Arial"/>
                <w:sz w:val="16"/>
                <w:szCs w:val="16"/>
                <w:color w:val="auto"/>
              </w:rPr>
              <w:t>Customer relationships</w:t>
            </w:r>
          </w:p>
        </w:tc>
        <w:tc>
          <w:tcPr>
            <w:tcW w:w="180" w:type="dxa"/>
            <w:vAlign w:val="bottom"/>
            <w:shd w:val="clear" w:color="auto" w:fill="CFF0FC"/>
          </w:tcPr>
          <w:p>
            <w:pPr>
              <w:jc w:val="right"/>
              <w:ind w:right="24"/>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2,100</w:t>
            </w:r>
          </w:p>
        </w:tc>
        <w:tc>
          <w:tcPr>
            <w:tcW w:w="280" w:type="dxa"/>
            <w:vAlign w:val="bottom"/>
            <w:shd w:val="clear" w:color="auto" w:fill="CFF0FC"/>
          </w:tcPr>
          <w:p>
            <w:pPr>
              <w:spacing w:after="0"/>
              <w:rPr>
                <w:sz w:val="18"/>
                <w:szCs w:val="18"/>
                <w:color w:val="auto"/>
              </w:rPr>
            </w:pPr>
          </w:p>
        </w:tc>
        <w:tc>
          <w:tcPr>
            <w:tcW w:w="1440" w:type="dxa"/>
            <w:vAlign w:val="bottom"/>
            <w:shd w:val="clear" w:color="auto" w:fill="CFF0FC"/>
          </w:tcPr>
          <w:p>
            <w:pPr>
              <w:ind w:left="960"/>
              <w:spacing w:after="0"/>
              <w:rPr>
                <w:sz w:val="20"/>
                <w:szCs w:val="20"/>
                <w:color w:val="auto"/>
              </w:rPr>
            </w:pPr>
            <w:r>
              <w:rPr>
                <w:rFonts w:ascii="Arial" w:cs="Arial" w:eastAsia="Arial" w:hAnsi="Arial"/>
                <w:sz w:val="16"/>
                <w:szCs w:val="16"/>
                <w:color w:val="auto"/>
                <w:w w:val="87"/>
              </w:rPr>
              <w:t>9 years</w:t>
            </w:r>
          </w:p>
        </w:tc>
      </w:tr>
      <w:tr>
        <w:trPr>
          <w:trHeight w:val="213"/>
        </w:trPr>
        <w:tc>
          <w:tcPr>
            <w:tcW w:w="8220" w:type="dxa"/>
            <w:vAlign w:val="bottom"/>
          </w:tcPr>
          <w:p>
            <w:pPr>
              <w:spacing w:after="0"/>
              <w:rPr>
                <w:sz w:val="20"/>
                <w:szCs w:val="20"/>
                <w:color w:val="auto"/>
              </w:rPr>
            </w:pPr>
            <w:r>
              <w:rPr>
                <w:rFonts w:ascii="Arial" w:cs="Arial" w:eastAsia="Arial" w:hAnsi="Arial"/>
                <w:sz w:val="16"/>
                <w:szCs w:val="16"/>
                <w:color w:val="auto"/>
              </w:rPr>
              <w:t>Developed technology</w:t>
            </w: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2,100</w:t>
            </w:r>
          </w:p>
        </w:tc>
        <w:tc>
          <w:tcPr>
            <w:tcW w:w="280" w:type="dxa"/>
            <w:vAlign w:val="bottom"/>
          </w:tcPr>
          <w:p>
            <w:pPr>
              <w:spacing w:after="0"/>
              <w:rPr>
                <w:sz w:val="18"/>
                <w:szCs w:val="18"/>
                <w:color w:val="auto"/>
              </w:rPr>
            </w:pPr>
          </w:p>
        </w:tc>
        <w:tc>
          <w:tcPr>
            <w:tcW w:w="1440" w:type="dxa"/>
            <w:vAlign w:val="bottom"/>
          </w:tcPr>
          <w:p>
            <w:pPr>
              <w:ind w:left="960"/>
              <w:spacing w:after="0"/>
              <w:rPr>
                <w:sz w:val="20"/>
                <w:szCs w:val="20"/>
                <w:color w:val="auto"/>
              </w:rPr>
            </w:pPr>
            <w:r>
              <w:rPr>
                <w:rFonts w:ascii="Arial" w:cs="Arial" w:eastAsia="Arial" w:hAnsi="Arial"/>
                <w:sz w:val="16"/>
                <w:szCs w:val="16"/>
                <w:color w:val="auto"/>
                <w:w w:val="87"/>
              </w:rPr>
              <w:t>4 years</w:t>
            </w:r>
          </w:p>
        </w:tc>
      </w:tr>
      <w:tr>
        <w:trPr>
          <w:trHeight w:val="219"/>
        </w:trPr>
        <w:tc>
          <w:tcPr>
            <w:tcW w:w="8220" w:type="dxa"/>
            <w:vAlign w:val="bottom"/>
            <w:shd w:val="clear" w:color="auto" w:fill="CFF0FC"/>
          </w:tcPr>
          <w:p>
            <w:pPr>
              <w:spacing w:after="0"/>
              <w:rPr>
                <w:sz w:val="20"/>
                <w:szCs w:val="20"/>
                <w:color w:val="auto"/>
              </w:rPr>
            </w:pPr>
            <w:r>
              <w:rPr>
                <w:rFonts w:ascii="Arial" w:cs="Arial" w:eastAsia="Arial" w:hAnsi="Arial"/>
                <w:sz w:val="16"/>
                <w:szCs w:val="16"/>
                <w:color w:val="auto"/>
              </w:rPr>
              <w:t>Non-compete</w:t>
            </w:r>
          </w:p>
        </w:tc>
        <w:tc>
          <w:tcPr>
            <w:tcW w:w="18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110</w:t>
            </w:r>
          </w:p>
        </w:tc>
        <w:tc>
          <w:tcPr>
            <w:tcW w:w="280" w:type="dxa"/>
            <w:vAlign w:val="bottom"/>
            <w:shd w:val="clear" w:color="auto" w:fill="CFF0FC"/>
          </w:tcPr>
          <w:p>
            <w:pPr>
              <w:spacing w:after="0"/>
              <w:rPr>
                <w:sz w:val="19"/>
                <w:szCs w:val="19"/>
                <w:color w:val="auto"/>
              </w:rPr>
            </w:pPr>
          </w:p>
        </w:tc>
        <w:tc>
          <w:tcPr>
            <w:tcW w:w="1440" w:type="dxa"/>
            <w:vAlign w:val="bottom"/>
            <w:shd w:val="clear" w:color="auto" w:fill="CFF0FC"/>
          </w:tcPr>
          <w:p>
            <w:pPr>
              <w:ind w:left="960"/>
              <w:spacing w:after="0"/>
              <w:rPr>
                <w:sz w:val="20"/>
                <w:szCs w:val="20"/>
                <w:color w:val="auto"/>
              </w:rPr>
            </w:pPr>
            <w:r>
              <w:rPr>
                <w:rFonts w:ascii="Arial" w:cs="Arial" w:eastAsia="Arial" w:hAnsi="Arial"/>
                <w:sz w:val="16"/>
                <w:szCs w:val="16"/>
                <w:color w:val="auto"/>
                <w:w w:val="87"/>
              </w:rPr>
              <w:t>5 years</w:t>
            </w:r>
          </w:p>
        </w:tc>
      </w:tr>
      <w:tr>
        <w:trPr>
          <w:trHeight w:val="213"/>
        </w:trPr>
        <w:tc>
          <w:tcPr>
            <w:tcW w:w="822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Trade name</w:t>
            </w:r>
          </w:p>
        </w:tc>
        <w:tc>
          <w:tcPr>
            <w:tcW w:w="1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w:t>
            </w:r>
          </w:p>
        </w:tc>
        <w:tc>
          <w:tcPr>
            <w:tcW w:w="280" w:type="dxa"/>
            <w:vAlign w:val="bottom"/>
            <w:tcBorders>
              <w:bottom w:val="single" w:sz="8" w:color="CFF0FC"/>
            </w:tcBorders>
          </w:tcPr>
          <w:p>
            <w:pPr>
              <w:spacing w:after="0"/>
              <w:rPr>
                <w:sz w:val="18"/>
                <w:szCs w:val="18"/>
                <w:color w:val="auto"/>
              </w:rPr>
            </w:pPr>
          </w:p>
        </w:tc>
        <w:tc>
          <w:tcPr>
            <w:tcW w:w="1440" w:type="dxa"/>
            <w:vAlign w:val="bottom"/>
            <w:tcBorders>
              <w:bottom w:val="single" w:sz="8" w:color="CFF0FC"/>
            </w:tcBorders>
          </w:tcPr>
          <w:p>
            <w:pPr>
              <w:ind w:left="960"/>
              <w:spacing w:after="0"/>
              <w:rPr>
                <w:sz w:val="20"/>
                <w:szCs w:val="20"/>
                <w:color w:val="auto"/>
              </w:rPr>
            </w:pPr>
            <w:r>
              <w:rPr>
                <w:rFonts w:ascii="Arial" w:cs="Arial" w:eastAsia="Arial" w:hAnsi="Arial"/>
                <w:sz w:val="16"/>
                <w:szCs w:val="16"/>
                <w:color w:val="auto"/>
                <w:w w:val="87"/>
              </w:rPr>
              <w:t>3 years</w:t>
            </w:r>
          </w:p>
        </w:tc>
      </w:tr>
      <w:tr>
        <w:trPr>
          <w:trHeight w:val="209"/>
        </w:trPr>
        <w:tc>
          <w:tcPr>
            <w:tcW w:w="8220" w:type="dxa"/>
            <w:vAlign w:val="bottom"/>
            <w:tcBorders>
              <w:bottom w:val="single" w:sz="8" w:color="CFF0FC"/>
            </w:tcBorders>
            <w:shd w:val="clear" w:color="auto" w:fill="CFF0FC"/>
          </w:tcPr>
          <w:p>
            <w:pPr>
              <w:ind w:left="140"/>
              <w:spacing w:after="0"/>
              <w:rPr>
                <w:sz w:val="20"/>
                <w:szCs w:val="20"/>
                <w:color w:val="auto"/>
              </w:rPr>
            </w:pPr>
            <w:r>
              <w:rPr>
                <w:rFonts w:ascii="Arial" w:cs="Arial" w:eastAsia="Arial" w:hAnsi="Arial"/>
                <w:sz w:val="16"/>
                <w:szCs w:val="16"/>
                <w:color w:val="auto"/>
              </w:rPr>
              <w:t>Total intangible assets</w:t>
            </w:r>
          </w:p>
        </w:tc>
        <w:tc>
          <w:tcPr>
            <w:tcW w:w="180" w:type="dxa"/>
            <w:vAlign w:val="bottom"/>
            <w:tcBorders>
              <w:bottom w:val="single" w:sz="8" w:color="auto"/>
            </w:tcBorders>
            <w:shd w:val="clear" w:color="auto" w:fill="CFF0FC"/>
          </w:tcPr>
          <w:p>
            <w:pPr>
              <w:jc w:val="right"/>
              <w:ind w:right="24"/>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4,340</w:t>
            </w:r>
          </w:p>
        </w:tc>
        <w:tc>
          <w:tcPr>
            <w:tcW w:w="280" w:type="dxa"/>
            <w:vAlign w:val="bottom"/>
            <w:tcBorders>
              <w:bottom w:val="single" w:sz="8" w:color="CFF0FC"/>
            </w:tcBorders>
            <w:shd w:val="clear" w:color="auto" w:fill="CFF0FC"/>
          </w:tcPr>
          <w:p>
            <w:pPr>
              <w:spacing w:after="0"/>
              <w:rPr>
                <w:sz w:val="18"/>
                <w:szCs w:val="18"/>
                <w:color w:val="auto"/>
              </w:rPr>
            </w:pPr>
          </w:p>
        </w:tc>
        <w:tc>
          <w:tcPr>
            <w:tcW w:w="1440" w:type="dxa"/>
            <w:vAlign w:val="bottom"/>
            <w:tcBorders>
              <w:bottom w:val="single" w:sz="8" w:color="CFF0FC"/>
            </w:tcBorders>
            <w:shd w:val="clear" w:color="auto" w:fill="CFF0FC"/>
          </w:tcPr>
          <w:p>
            <w:pPr>
              <w:spacing w:after="0"/>
              <w:rPr>
                <w:sz w:val="18"/>
                <w:szCs w:val="18"/>
                <w:color w:val="auto"/>
              </w:rPr>
            </w:pPr>
          </w:p>
        </w:tc>
      </w:tr>
      <w:tr>
        <w:trPr>
          <w:trHeight w:val="20"/>
        </w:trPr>
        <w:tc>
          <w:tcPr>
            <w:tcW w:w="8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bl>
    <w:p>
      <w:pPr>
        <w:spacing w:after="0" w:line="16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unaudited pro forma financial information summarizes the results of operations of the Company and CredentialMyDoc as though the companies were combined as of January 1, 2019 (in thousands, except per share data):</w:t>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34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60" w:type="dxa"/>
            <w:vAlign w:val="bottom"/>
            <w:gridSpan w:val="5"/>
          </w:tcPr>
          <w:p>
            <w:pPr>
              <w:ind w:left="160"/>
              <w:spacing w:after="0"/>
              <w:rPr>
                <w:sz w:val="20"/>
                <w:szCs w:val="20"/>
                <w:color w:val="auto"/>
              </w:rPr>
            </w:pPr>
            <w:r>
              <w:rPr>
                <w:rFonts w:ascii="Arial" w:cs="Arial" w:eastAsia="Arial" w:hAnsi="Arial"/>
                <w:sz w:val="16"/>
                <w:szCs w:val="16"/>
                <w:b w:val="1"/>
                <w:bCs w:val="1"/>
                <w:color w:val="auto"/>
              </w:rPr>
              <w:t>Three Months Ended</w:t>
            </w:r>
          </w:p>
        </w:tc>
        <w:tc>
          <w:tcPr>
            <w:tcW w:w="200" w:type="dxa"/>
            <w:vAlign w:val="bottom"/>
          </w:tcPr>
          <w:p>
            <w:pPr>
              <w:spacing w:after="0"/>
              <w:rPr>
                <w:sz w:val="17"/>
                <w:szCs w:val="17"/>
                <w:color w:val="auto"/>
              </w:rPr>
            </w:pPr>
          </w:p>
        </w:tc>
        <w:tc>
          <w:tcPr>
            <w:tcW w:w="2180" w:type="dxa"/>
            <w:vAlign w:val="bottom"/>
            <w:gridSpan w:val="5"/>
          </w:tcPr>
          <w:p>
            <w:pPr>
              <w:ind w:left="280"/>
              <w:spacing w:after="0"/>
              <w:rPr>
                <w:sz w:val="20"/>
                <w:szCs w:val="20"/>
                <w:color w:val="auto"/>
              </w:rPr>
            </w:pPr>
            <w:r>
              <w:rPr>
                <w:rFonts w:ascii="Arial" w:cs="Arial" w:eastAsia="Arial" w:hAnsi="Arial"/>
                <w:sz w:val="16"/>
                <w:szCs w:val="16"/>
                <w:b w:val="1"/>
                <w:bCs w:val="1"/>
                <w:color w:val="auto"/>
              </w:rPr>
              <w:t>Six Months Ended</w:t>
            </w:r>
          </w:p>
        </w:tc>
        <w:tc>
          <w:tcPr>
            <w:tcW w:w="0" w:type="dxa"/>
            <w:vAlign w:val="bottom"/>
          </w:tcPr>
          <w:p>
            <w:pPr>
              <w:spacing w:after="0"/>
              <w:rPr>
                <w:sz w:val="1"/>
                <w:szCs w:val="1"/>
                <w:color w:val="auto"/>
              </w:rPr>
            </w:pPr>
          </w:p>
        </w:tc>
      </w:tr>
      <w:tr>
        <w:trPr>
          <w:trHeight w:val="213"/>
        </w:trPr>
        <w:tc>
          <w:tcPr>
            <w:tcW w:w="434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gridSpan w:val="3"/>
          </w:tcPr>
          <w:p>
            <w:pPr>
              <w:jc w:val="right"/>
              <w:ind w:right="24"/>
              <w:spacing w:after="0"/>
              <w:rPr>
                <w:sz w:val="20"/>
                <w:szCs w:val="20"/>
                <w:color w:val="auto"/>
              </w:rPr>
            </w:pPr>
            <w:r>
              <w:rPr>
                <w:rFonts w:ascii="Arial" w:cs="Arial" w:eastAsia="Arial" w:hAnsi="Arial"/>
                <w:sz w:val="16"/>
                <w:szCs w:val="16"/>
                <w:b w:val="1"/>
                <w:bCs w:val="1"/>
                <w:color w:val="auto"/>
              </w:rPr>
              <w:t>June 30,</w:t>
            </w:r>
          </w:p>
        </w:tc>
        <w:tc>
          <w:tcPr>
            <w:tcW w:w="74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gridSpan w:val="3"/>
          </w:tcPr>
          <w:p>
            <w:pPr>
              <w:jc w:val="right"/>
              <w:ind w:right="4"/>
              <w:spacing w:after="0"/>
              <w:rPr>
                <w:sz w:val="20"/>
                <w:szCs w:val="20"/>
                <w:color w:val="auto"/>
              </w:rPr>
            </w:pPr>
            <w:r>
              <w:rPr>
                <w:rFonts w:ascii="Arial" w:cs="Arial" w:eastAsia="Arial" w:hAnsi="Arial"/>
                <w:sz w:val="16"/>
                <w:szCs w:val="16"/>
                <w:b w:val="1"/>
                <w:bCs w:val="1"/>
                <w:color w:val="auto"/>
              </w:rPr>
              <w:t>June 30,</w:t>
            </w:r>
          </w:p>
        </w:tc>
        <w:tc>
          <w:tcPr>
            <w:tcW w:w="7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340" w:type="dxa"/>
            <w:vAlign w:val="bottom"/>
            <w:tcBorders>
              <w:bottom w:val="single" w:sz="8" w:color="CFF0FC"/>
            </w:tcBorders>
          </w:tcPr>
          <w:p>
            <w:pPr>
              <w:spacing w:after="0"/>
              <w:rPr>
                <w:sz w:val="18"/>
                <w:szCs w:val="18"/>
                <w:color w:val="auto"/>
              </w:rPr>
            </w:pPr>
          </w:p>
        </w:tc>
        <w:tc>
          <w:tcPr>
            <w:tcW w:w="2060" w:type="dxa"/>
            <w:vAlign w:val="bottom"/>
            <w:tcBorders>
              <w:bottom w:val="single" w:sz="8" w:color="CFF0FC"/>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2020</w:t>
            </w:r>
          </w:p>
        </w:tc>
        <w:tc>
          <w:tcPr>
            <w:tcW w:w="240" w:type="dxa"/>
            <w:vAlign w:val="bottom"/>
            <w:tcBorders>
              <w:bottom w:val="single" w:sz="8" w:color="CFF0FC"/>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2019</w:t>
            </w:r>
          </w:p>
        </w:tc>
        <w:tc>
          <w:tcPr>
            <w:tcW w:w="240" w:type="dxa"/>
            <w:vAlign w:val="bottom"/>
            <w:tcBorders>
              <w:bottom w:val="single" w:sz="8" w:color="CFF0FC"/>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2020</w:t>
            </w:r>
          </w:p>
        </w:tc>
        <w:tc>
          <w:tcPr>
            <w:tcW w:w="240" w:type="dxa"/>
            <w:vAlign w:val="bottom"/>
            <w:tcBorders>
              <w:bottom w:val="single" w:sz="8" w:color="CFF0FC"/>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2019</w:t>
            </w:r>
          </w:p>
        </w:tc>
        <w:tc>
          <w:tcPr>
            <w:tcW w:w="12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340" w:type="dxa"/>
            <w:vAlign w:val="bottom"/>
            <w:shd w:val="clear" w:color="auto" w:fill="CFF0FC"/>
          </w:tcPr>
          <w:p>
            <w:pPr>
              <w:spacing w:after="0"/>
              <w:rPr>
                <w:sz w:val="20"/>
                <w:szCs w:val="20"/>
                <w:color w:val="auto"/>
              </w:rPr>
            </w:pPr>
            <w:r>
              <w:rPr>
                <w:rFonts w:ascii="Arial" w:cs="Arial" w:eastAsia="Arial" w:hAnsi="Arial"/>
                <w:sz w:val="16"/>
                <w:szCs w:val="16"/>
                <w:color w:val="auto"/>
              </w:rPr>
              <w:t>Total revenues</w:t>
            </w:r>
          </w:p>
        </w:tc>
        <w:tc>
          <w:tcPr>
            <w:tcW w:w="226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60,627</w:t>
            </w: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jc w:val="right"/>
              <w:ind w:right="104"/>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64,210</w:t>
            </w: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jc w:val="right"/>
              <w:ind w:right="44"/>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122,330</w:t>
            </w: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jc w:val="right"/>
              <w:ind w:right="104"/>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129,889</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34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6"/>
                <w:szCs w:val="16"/>
                <w:color w:val="auto"/>
              </w:rPr>
              <w:t>Income from continuing operations</w:t>
            </w:r>
          </w:p>
        </w:tc>
        <w:tc>
          <w:tcPr>
            <w:tcW w:w="206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4340" w:type="dxa"/>
            <w:vAlign w:val="bottom"/>
            <w:vMerge w:val="continue"/>
          </w:tcPr>
          <w:p>
            <w:pPr>
              <w:spacing w:after="0"/>
              <w:rPr>
                <w:sz w:val="18"/>
                <w:szCs w:val="18"/>
                <w:color w:val="auto"/>
              </w:rPr>
            </w:pPr>
          </w:p>
        </w:tc>
        <w:tc>
          <w:tcPr>
            <w:tcW w:w="22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3,498</w:t>
            </w:r>
          </w:p>
        </w:tc>
        <w:tc>
          <w:tcPr>
            <w:tcW w:w="240" w:type="dxa"/>
            <w:vAlign w:val="bottom"/>
          </w:tcPr>
          <w:p>
            <w:pPr>
              <w:spacing w:after="0"/>
              <w:rPr>
                <w:sz w:val="18"/>
                <w:szCs w:val="18"/>
                <w:color w:val="auto"/>
              </w:rPr>
            </w:pPr>
          </w:p>
        </w:tc>
        <w:tc>
          <w:tcPr>
            <w:tcW w:w="260" w:type="dxa"/>
            <w:vAlign w:val="bottom"/>
          </w:tcPr>
          <w:p>
            <w:pPr>
              <w:jc w:val="right"/>
              <w:ind w:right="104"/>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2,324</w:t>
            </w:r>
          </w:p>
        </w:tc>
        <w:tc>
          <w:tcPr>
            <w:tcW w:w="240" w:type="dxa"/>
            <w:vAlign w:val="bottom"/>
          </w:tcPr>
          <w:p>
            <w:pPr>
              <w:spacing w:after="0"/>
              <w:rPr>
                <w:sz w:val="18"/>
                <w:szCs w:val="18"/>
                <w:color w:val="auto"/>
              </w:rPr>
            </w:pPr>
          </w:p>
        </w:tc>
        <w:tc>
          <w:tcPr>
            <w:tcW w:w="200" w:type="dxa"/>
            <w:vAlign w:val="bottom"/>
          </w:tcPr>
          <w:p>
            <w:pPr>
              <w:jc w:val="right"/>
              <w:ind w:right="44"/>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10,690</w:t>
            </w:r>
          </w:p>
        </w:tc>
        <w:tc>
          <w:tcPr>
            <w:tcW w:w="240" w:type="dxa"/>
            <w:vAlign w:val="bottom"/>
          </w:tcPr>
          <w:p>
            <w:pPr>
              <w:spacing w:after="0"/>
              <w:rPr>
                <w:sz w:val="18"/>
                <w:szCs w:val="18"/>
                <w:color w:val="auto"/>
              </w:rPr>
            </w:pPr>
          </w:p>
        </w:tc>
        <w:tc>
          <w:tcPr>
            <w:tcW w:w="260" w:type="dxa"/>
            <w:vAlign w:val="bottom"/>
          </w:tcPr>
          <w:p>
            <w:pPr>
              <w:jc w:val="right"/>
              <w:ind w:right="104"/>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7,008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340" w:type="dxa"/>
            <w:vAlign w:val="bottom"/>
            <w:tcBorders>
              <w:top w:val="single" w:sz="8" w:color="CFF0FC"/>
            </w:tcBorders>
            <w:vMerge w:val="restart"/>
            <w:shd w:val="clear" w:color="auto" w:fill="CFF0FC"/>
          </w:tcPr>
          <w:p>
            <w:pPr>
              <w:spacing w:after="0"/>
              <w:rPr>
                <w:sz w:val="20"/>
                <w:szCs w:val="20"/>
                <w:color w:val="auto"/>
              </w:rPr>
            </w:pPr>
            <w:r>
              <w:rPr>
                <w:rFonts w:ascii="Arial" w:cs="Arial" w:eastAsia="Arial" w:hAnsi="Arial"/>
                <w:sz w:val="16"/>
                <w:szCs w:val="16"/>
                <w:color w:val="auto"/>
              </w:rPr>
              <w:t>Net income</w:t>
            </w:r>
          </w:p>
        </w:tc>
        <w:tc>
          <w:tcPr>
            <w:tcW w:w="206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340" w:type="dxa"/>
            <w:vAlign w:val="bottom"/>
            <w:vMerge w:val="continue"/>
            <w:shd w:val="clear" w:color="auto" w:fill="CFF0FC"/>
          </w:tcPr>
          <w:p>
            <w:pPr>
              <w:spacing w:after="0"/>
              <w:rPr>
                <w:sz w:val="17"/>
                <w:szCs w:val="17"/>
                <w:color w:val="auto"/>
              </w:rPr>
            </w:pPr>
          </w:p>
        </w:tc>
        <w:tc>
          <w:tcPr>
            <w:tcW w:w="226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3,498</w:t>
            </w:r>
          </w:p>
        </w:tc>
        <w:tc>
          <w:tcPr>
            <w:tcW w:w="240" w:type="dxa"/>
            <w:vAlign w:val="bottom"/>
            <w:shd w:val="clear" w:color="auto" w:fill="CFF0FC"/>
          </w:tcPr>
          <w:p>
            <w:pPr>
              <w:spacing w:after="0"/>
              <w:rPr>
                <w:sz w:val="17"/>
                <w:szCs w:val="17"/>
                <w:color w:val="auto"/>
              </w:rPr>
            </w:pPr>
          </w:p>
        </w:tc>
        <w:tc>
          <w:tcPr>
            <w:tcW w:w="260" w:type="dxa"/>
            <w:vAlign w:val="bottom"/>
            <w:shd w:val="clear" w:color="auto" w:fill="CFF0FC"/>
          </w:tcPr>
          <w:p>
            <w:pPr>
              <w:jc w:val="right"/>
              <w:ind w:right="104"/>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2,324</w:t>
            </w:r>
          </w:p>
        </w:tc>
        <w:tc>
          <w:tcPr>
            <w:tcW w:w="240" w:type="dxa"/>
            <w:vAlign w:val="bottom"/>
            <w:shd w:val="clear" w:color="auto" w:fill="CFF0FC"/>
          </w:tcPr>
          <w:p>
            <w:pPr>
              <w:spacing w:after="0"/>
              <w:rPr>
                <w:sz w:val="17"/>
                <w:szCs w:val="17"/>
                <w:color w:val="auto"/>
              </w:rPr>
            </w:pPr>
          </w:p>
        </w:tc>
        <w:tc>
          <w:tcPr>
            <w:tcW w:w="200" w:type="dxa"/>
            <w:vAlign w:val="bottom"/>
            <w:shd w:val="clear" w:color="auto" w:fill="CFF0FC"/>
          </w:tcPr>
          <w:p>
            <w:pPr>
              <w:jc w:val="right"/>
              <w:ind w:right="44"/>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10,690</w:t>
            </w:r>
          </w:p>
        </w:tc>
        <w:tc>
          <w:tcPr>
            <w:tcW w:w="240" w:type="dxa"/>
            <w:vAlign w:val="bottom"/>
            <w:shd w:val="clear" w:color="auto" w:fill="CFF0FC"/>
          </w:tcPr>
          <w:p>
            <w:pPr>
              <w:spacing w:after="0"/>
              <w:rPr>
                <w:sz w:val="17"/>
                <w:szCs w:val="17"/>
                <w:color w:val="auto"/>
              </w:rPr>
            </w:pPr>
          </w:p>
        </w:tc>
        <w:tc>
          <w:tcPr>
            <w:tcW w:w="260" w:type="dxa"/>
            <w:vAlign w:val="bottom"/>
            <w:shd w:val="clear" w:color="auto" w:fill="CFF0FC"/>
          </w:tcPr>
          <w:p>
            <w:pPr>
              <w:jc w:val="right"/>
              <w:ind w:right="104"/>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8,203</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34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6"/>
                <w:szCs w:val="16"/>
                <w:color w:val="auto"/>
              </w:rPr>
              <w:t>Net income per share - basic</w:t>
            </w:r>
          </w:p>
        </w:tc>
        <w:tc>
          <w:tcPr>
            <w:tcW w:w="206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340" w:type="dxa"/>
            <w:vAlign w:val="bottom"/>
            <w:vMerge w:val="continue"/>
          </w:tcPr>
          <w:p>
            <w:pPr>
              <w:spacing w:after="0"/>
              <w:rPr>
                <w:sz w:val="18"/>
                <w:szCs w:val="18"/>
                <w:color w:val="auto"/>
              </w:rPr>
            </w:pPr>
          </w:p>
        </w:tc>
        <w:tc>
          <w:tcPr>
            <w:tcW w:w="22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0.11</w:t>
            </w:r>
          </w:p>
        </w:tc>
        <w:tc>
          <w:tcPr>
            <w:tcW w:w="240" w:type="dxa"/>
            <w:vAlign w:val="bottom"/>
          </w:tcPr>
          <w:p>
            <w:pPr>
              <w:spacing w:after="0"/>
              <w:rPr>
                <w:sz w:val="18"/>
                <w:szCs w:val="18"/>
                <w:color w:val="auto"/>
              </w:rPr>
            </w:pPr>
          </w:p>
        </w:tc>
        <w:tc>
          <w:tcPr>
            <w:tcW w:w="260" w:type="dxa"/>
            <w:vAlign w:val="bottom"/>
          </w:tcPr>
          <w:p>
            <w:pPr>
              <w:jc w:val="right"/>
              <w:ind w:right="104"/>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0.07</w:t>
            </w:r>
          </w:p>
        </w:tc>
        <w:tc>
          <w:tcPr>
            <w:tcW w:w="240" w:type="dxa"/>
            <w:vAlign w:val="bottom"/>
          </w:tcPr>
          <w:p>
            <w:pPr>
              <w:spacing w:after="0"/>
              <w:rPr>
                <w:sz w:val="18"/>
                <w:szCs w:val="18"/>
                <w:color w:val="auto"/>
              </w:rPr>
            </w:pPr>
          </w:p>
        </w:tc>
        <w:tc>
          <w:tcPr>
            <w:tcW w:w="200" w:type="dxa"/>
            <w:vAlign w:val="bottom"/>
          </w:tcPr>
          <w:p>
            <w:pPr>
              <w:jc w:val="right"/>
              <w:ind w:right="44"/>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0.33</w:t>
            </w:r>
          </w:p>
        </w:tc>
        <w:tc>
          <w:tcPr>
            <w:tcW w:w="240" w:type="dxa"/>
            <w:vAlign w:val="bottom"/>
          </w:tcPr>
          <w:p>
            <w:pPr>
              <w:spacing w:after="0"/>
              <w:rPr>
                <w:sz w:val="18"/>
                <w:szCs w:val="18"/>
                <w:color w:val="auto"/>
              </w:rPr>
            </w:pPr>
          </w:p>
        </w:tc>
        <w:tc>
          <w:tcPr>
            <w:tcW w:w="260" w:type="dxa"/>
            <w:vAlign w:val="bottom"/>
          </w:tcPr>
          <w:p>
            <w:pPr>
              <w:jc w:val="right"/>
              <w:ind w:right="104"/>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0.25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340" w:type="dxa"/>
            <w:vAlign w:val="bottom"/>
            <w:tcBorders>
              <w:top w:val="single" w:sz="8" w:color="CFF0FC"/>
            </w:tcBorders>
            <w:vMerge w:val="restart"/>
            <w:shd w:val="clear" w:color="auto" w:fill="CFF0FC"/>
          </w:tcPr>
          <w:p>
            <w:pPr>
              <w:spacing w:after="0"/>
              <w:rPr>
                <w:sz w:val="20"/>
                <w:szCs w:val="20"/>
                <w:color w:val="auto"/>
              </w:rPr>
            </w:pPr>
            <w:r>
              <w:rPr>
                <w:rFonts w:ascii="Arial" w:cs="Arial" w:eastAsia="Arial" w:hAnsi="Arial"/>
                <w:sz w:val="16"/>
                <w:szCs w:val="16"/>
                <w:color w:val="auto"/>
              </w:rPr>
              <w:t>Net income per share - diluted</w:t>
            </w:r>
          </w:p>
        </w:tc>
        <w:tc>
          <w:tcPr>
            <w:tcW w:w="206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340" w:type="dxa"/>
            <w:vAlign w:val="bottom"/>
            <w:vMerge w:val="continue"/>
            <w:shd w:val="clear" w:color="auto" w:fill="CFF0FC"/>
          </w:tcPr>
          <w:p>
            <w:pPr>
              <w:spacing w:after="0"/>
              <w:rPr>
                <w:sz w:val="17"/>
                <w:szCs w:val="17"/>
                <w:color w:val="auto"/>
              </w:rPr>
            </w:pPr>
          </w:p>
        </w:tc>
        <w:tc>
          <w:tcPr>
            <w:tcW w:w="226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0.11</w:t>
            </w:r>
          </w:p>
        </w:tc>
        <w:tc>
          <w:tcPr>
            <w:tcW w:w="240" w:type="dxa"/>
            <w:vAlign w:val="bottom"/>
            <w:shd w:val="clear" w:color="auto" w:fill="CFF0FC"/>
          </w:tcPr>
          <w:p>
            <w:pPr>
              <w:spacing w:after="0"/>
              <w:rPr>
                <w:sz w:val="17"/>
                <w:szCs w:val="17"/>
                <w:color w:val="auto"/>
              </w:rPr>
            </w:pPr>
          </w:p>
        </w:tc>
        <w:tc>
          <w:tcPr>
            <w:tcW w:w="260" w:type="dxa"/>
            <w:vAlign w:val="bottom"/>
            <w:shd w:val="clear" w:color="auto" w:fill="CFF0FC"/>
          </w:tcPr>
          <w:p>
            <w:pPr>
              <w:jc w:val="right"/>
              <w:ind w:right="104"/>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0.07</w:t>
            </w:r>
          </w:p>
        </w:tc>
        <w:tc>
          <w:tcPr>
            <w:tcW w:w="240" w:type="dxa"/>
            <w:vAlign w:val="bottom"/>
            <w:shd w:val="clear" w:color="auto" w:fill="CFF0FC"/>
          </w:tcPr>
          <w:p>
            <w:pPr>
              <w:spacing w:after="0"/>
              <w:rPr>
                <w:sz w:val="17"/>
                <w:szCs w:val="17"/>
                <w:color w:val="auto"/>
              </w:rPr>
            </w:pPr>
          </w:p>
        </w:tc>
        <w:tc>
          <w:tcPr>
            <w:tcW w:w="200" w:type="dxa"/>
            <w:vAlign w:val="bottom"/>
            <w:shd w:val="clear" w:color="auto" w:fill="CFF0FC"/>
          </w:tcPr>
          <w:p>
            <w:pPr>
              <w:jc w:val="right"/>
              <w:ind w:right="44"/>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0.33</w:t>
            </w:r>
          </w:p>
        </w:tc>
        <w:tc>
          <w:tcPr>
            <w:tcW w:w="240" w:type="dxa"/>
            <w:vAlign w:val="bottom"/>
            <w:shd w:val="clear" w:color="auto" w:fill="CFF0FC"/>
          </w:tcPr>
          <w:p>
            <w:pPr>
              <w:spacing w:after="0"/>
              <w:rPr>
                <w:sz w:val="17"/>
                <w:szCs w:val="17"/>
                <w:color w:val="auto"/>
              </w:rPr>
            </w:pPr>
          </w:p>
        </w:tc>
        <w:tc>
          <w:tcPr>
            <w:tcW w:w="260" w:type="dxa"/>
            <w:vAlign w:val="bottom"/>
            <w:shd w:val="clear" w:color="auto" w:fill="CFF0FC"/>
          </w:tcPr>
          <w:p>
            <w:pPr>
              <w:jc w:val="right"/>
              <w:ind w:right="104"/>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0.25</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340" w:type="dxa"/>
            <w:vAlign w:val="bottom"/>
            <w:tcBorders>
              <w:top w:val="single" w:sz="8" w:color="CFF0FC"/>
            </w:tcBorders>
          </w:tcPr>
          <w:p>
            <w:pPr>
              <w:spacing w:after="0" w:line="20" w:lineRule="exact"/>
              <w:rPr>
                <w:sz w:val="1"/>
                <w:szCs w:val="1"/>
                <w:color w:val="auto"/>
              </w:rPr>
            </w:pPr>
          </w:p>
        </w:tc>
        <w:tc>
          <w:tcPr>
            <w:tcW w:w="206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These unaudited pro forma combined results of operations include certain adjustments arising from the acquisition, such as amortization of intangible assets, depreciation of property and equipment, and fair value adjustments of acquired deferred revenue balances. The unaudited pro forma combined results of operations is for informational purposes only and is not indicative of what the Company’s results of operations would have been had the transaction occurred at the beginning of the earliest period presented or to project the Company’s results of operations in any future period.</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NurseGrid</w:t>
      </w:r>
    </w:p>
    <w:p>
      <w:pPr>
        <w:spacing w:after="0" w:line="117"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212529"/>
        </w:rPr>
        <w:t>On March 9, 2020, the Company acquired all of the outstanding stock of HcT2 Co. dba NurseGrid (“NurseGrid”), a Portland, Oregon-based healthcare technology company offering NurseGrid Mobile and its corollary application for nurse managers, NurseGrid Enterprise, for net cash consideration of approximately $21.5 million, after giving effect to the post-closing working capital adjustment. The Company accounted for this transaction as a business combination achieved in stages which required the Company to remeasure its previously existing minority ownership interest, which was accounted for as a non-marketable equity investment measured using the fair value alternative, to fair value at the acquisition date based on the total enterprise value, adjusting for a control premium. The fair value of the Company’s interest in NurseGrid was $3.6 million at closing, resulting in a gain of $1.2 million, recorded as a change in fair value of non-marketable equity investments in the Company’s Condensed Consolidated Statements of Income. Additionally, the Company’s previously recorded non-marketable equity investment in NurseGrid was de-recognized from the Company’s Condensed Consolidated Balance Sheet. The financial results of NurseGrid have been included in the Workforce Solutions segment from March 9, 2020.</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229235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b w:val="1"/>
          <w:bCs w:val="1"/>
          <w:color w:val="auto"/>
        </w:rPr>
        <w:t>HEALTHSTREAM,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color w:val="212529"/>
        </w:rPr>
        <w:t>A summary of the purchase price is as follows (in thousands):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580" w:type="dxa"/>
            <w:vAlign w:val="bottom"/>
            <w:shd w:val="clear" w:color="auto" w:fill="CFF0FC"/>
          </w:tcPr>
          <w:p>
            <w:pPr>
              <w:spacing w:after="0"/>
              <w:rPr>
                <w:sz w:val="20"/>
                <w:szCs w:val="20"/>
                <w:color w:val="auto"/>
              </w:rPr>
            </w:pPr>
            <w:r>
              <w:rPr>
                <w:rFonts w:ascii="Arial" w:cs="Arial" w:eastAsia="Arial" w:hAnsi="Arial"/>
                <w:sz w:val="16"/>
                <w:szCs w:val="16"/>
                <w:color w:val="auto"/>
              </w:rPr>
              <w:t>Cash paid at closing</w:t>
            </w:r>
          </w:p>
        </w:tc>
        <w:tc>
          <w:tcPr>
            <w:tcW w:w="580" w:type="dxa"/>
            <w:vAlign w:val="bottom"/>
            <w:shd w:val="clear" w:color="auto" w:fill="CFF0FC"/>
          </w:tcPr>
          <w:p>
            <w:pPr>
              <w:jc w:val="right"/>
              <w:ind w:right="424"/>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25,485</w:t>
            </w:r>
          </w:p>
        </w:tc>
        <w:tc>
          <w:tcPr>
            <w:tcW w:w="100" w:type="dxa"/>
            <w:vAlign w:val="bottom"/>
            <w:shd w:val="clear" w:color="auto" w:fill="CFF0FC"/>
          </w:tcPr>
          <w:p>
            <w:pPr>
              <w:spacing w:after="0"/>
              <w:rPr>
                <w:sz w:val="18"/>
                <w:szCs w:val="18"/>
                <w:color w:val="auto"/>
              </w:rPr>
            </w:pPr>
          </w:p>
        </w:tc>
      </w:tr>
      <w:tr>
        <w:trPr>
          <w:trHeight w:val="213"/>
        </w:trPr>
        <w:tc>
          <w:tcPr>
            <w:tcW w:w="9580" w:type="dxa"/>
            <w:vAlign w:val="bottom"/>
          </w:tcPr>
          <w:p>
            <w:pPr>
              <w:spacing w:after="0"/>
              <w:rPr>
                <w:sz w:val="20"/>
                <w:szCs w:val="20"/>
                <w:color w:val="auto"/>
              </w:rPr>
            </w:pPr>
            <w:r>
              <w:rPr>
                <w:rFonts w:ascii="Arial" w:cs="Arial" w:eastAsia="Arial" w:hAnsi="Arial"/>
                <w:sz w:val="16"/>
                <w:szCs w:val="16"/>
                <w:color w:val="auto"/>
              </w:rPr>
              <w:t>Post-closing adjustment, net of cash received</w:t>
            </w:r>
          </w:p>
        </w:tc>
        <w:tc>
          <w:tcPr>
            <w:tcW w:w="5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33</w:t>
            </w:r>
          </w:p>
        </w:tc>
        <w:tc>
          <w:tcPr>
            <w:tcW w:w="100" w:type="dxa"/>
            <w:vAlign w:val="bottom"/>
          </w:tcPr>
          <w:p>
            <w:pPr>
              <w:spacing w:after="0"/>
              <w:rPr>
                <w:sz w:val="18"/>
                <w:szCs w:val="18"/>
                <w:color w:val="auto"/>
              </w:rPr>
            </w:pPr>
          </w:p>
        </w:tc>
      </w:tr>
      <w:tr>
        <w:trPr>
          <w:trHeight w:val="219"/>
        </w:trPr>
        <w:tc>
          <w:tcPr>
            <w:tcW w:w="9580" w:type="dxa"/>
            <w:vAlign w:val="bottom"/>
            <w:shd w:val="clear" w:color="auto" w:fill="CFF0FC"/>
          </w:tcPr>
          <w:p>
            <w:pPr>
              <w:spacing w:after="0"/>
              <w:rPr>
                <w:sz w:val="20"/>
                <w:szCs w:val="20"/>
                <w:color w:val="auto"/>
              </w:rPr>
            </w:pPr>
            <w:r>
              <w:rPr>
                <w:rFonts w:ascii="Arial" w:cs="Arial" w:eastAsia="Arial" w:hAnsi="Arial"/>
                <w:sz w:val="16"/>
                <w:szCs w:val="16"/>
                <w:color w:val="auto"/>
              </w:rPr>
              <w:t>Cash acquired</w:t>
            </w:r>
          </w:p>
        </w:tc>
        <w:tc>
          <w:tcPr>
            <w:tcW w:w="58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(4,064)</w:t>
            </w:r>
          </w:p>
        </w:tc>
      </w:tr>
      <w:tr>
        <w:trPr>
          <w:trHeight w:val="207"/>
        </w:trPr>
        <w:tc>
          <w:tcPr>
            <w:tcW w:w="9580" w:type="dxa"/>
            <w:vAlign w:val="bottom"/>
          </w:tcPr>
          <w:p>
            <w:pPr>
              <w:ind w:left="140"/>
              <w:spacing w:after="0"/>
              <w:rPr>
                <w:sz w:val="20"/>
                <w:szCs w:val="20"/>
                <w:color w:val="auto"/>
              </w:rPr>
            </w:pPr>
            <w:r>
              <w:rPr>
                <w:rFonts w:ascii="Arial" w:cs="Arial" w:eastAsia="Arial" w:hAnsi="Arial"/>
                <w:sz w:val="16"/>
                <w:szCs w:val="16"/>
                <w:color w:val="auto"/>
              </w:rPr>
              <w:t>Net consideration paid</w:t>
            </w:r>
          </w:p>
        </w:tc>
        <w:tc>
          <w:tcPr>
            <w:tcW w:w="58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21,454</w:t>
            </w:r>
          </w:p>
        </w:tc>
        <w:tc>
          <w:tcPr>
            <w:tcW w:w="100" w:type="dxa"/>
            <w:vAlign w:val="bottom"/>
          </w:tcPr>
          <w:p>
            <w:pPr>
              <w:spacing w:after="0"/>
              <w:rPr>
                <w:sz w:val="17"/>
                <w:szCs w:val="17"/>
                <w:color w:val="auto"/>
              </w:rPr>
            </w:pPr>
          </w:p>
        </w:tc>
      </w:tr>
      <w:tr>
        <w:trPr>
          <w:trHeight w:val="219"/>
        </w:trPr>
        <w:tc>
          <w:tcPr>
            <w:tcW w:w="9580" w:type="dxa"/>
            <w:vAlign w:val="bottom"/>
            <w:shd w:val="clear" w:color="auto" w:fill="CFF0FC"/>
          </w:tcPr>
          <w:p>
            <w:pPr>
              <w:spacing w:after="0"/>
              <w:rPr>
                <w:sz w:val="20"/>
                <w:szCs w:val="20"/>
                <w:color w:val="auto"/>
              </w:rPr>
            </w:pPr>
            <w:r>
              <w:rPr>
                <w:rFonts w:ascii="Arial" w:cs="Arial" w:eastAsia="Arial" w:hAnsi="Arial"/>
                <w:sz w:val="16"/>
                <w:szCs w:val="16"/>
                <w:color w:val="auto"/>
              </w:rPr>
              <w:t>Fair value of existing equity interest in NurseGrid</w:t>
            </w:r>
          </w:p>
        </w:tc>
        <w:tc>
          <w:tcPr>
            <w:tcW w:w="58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3,623</w:t>
            </w:r>
          </w:p>
        </w:tc>
        <w:tc>
          <w:tcPr>
            <w:tcW w:w="100" w:type="dxa"/>
            <w:vAlign w:val="bottom"/>
            <w:shd w:val="clear" w:color="auto" w:fill="CFF0FC"/>
          </w:tcPr>
          <w:p>
            <w:pPr>
              <w:spacing w:after="0"/>
              <w:rPr>
                <w:sz w:val="19"/>
                <w:szCs w:val="19"/>
                <w:color w:val="auto"/>
              </w:rPr>
            </w:pPr>
          </w:p>
        </w:tc>
      </w:tr>
      <w:tr>
        <w:trPr>
          <w:trHeight w:val="207"/>
        </w:trPr>
        <w:tc>
          <w:tcPr>
            <w:tcW w:w="9580" w:type="dxa"/>
            <w:vAlign w:val="bottom"/>
          </w:tcPr>
          <w:p>
            <w:pPr>
              <w:ind w:left="140"/>
              <w:spacing w:after="0"/>
              <w:rPr>
                <w:sz w:val="20"/>
                <w:szCs w:val="20"/>
                <w:color w:val="auto"/>
              </w:rPr>
            </w:pPr>
            <w:r>
              <w:rPr>
                <w:rFonts w:ascii="Arial" w:cs="Arial" w:eastAsia="Arial" w:hAnsi="Arial"/>
                <w:sz w:val="16"/>
                <w:szCs w:val="16"/>
                <w:color w:val="auto"/>
              </w:rPr>
              <w:t>Net consideration paid</w:t>
            </w:r>
          </w:p>
        </w:tc>
        <w:tc>
          <w:tcPr>
            <w:tcW w:w="580" w:type="dxa"/>
            <w:vAlign w:val="bottom"/>
            <w:tcBorders>
              <w:bottom w:val="single" w:sz="8" w:color="auto"/>
            </w:tcBorders>
          </w:tcPr>
          <w:p>
            <w:pPr>
              <w:jc w:val="right"/>
              <w:ind w:right="424"/>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25,077</w:t>
            </w:r>
          </w:p>
        </w:tc>
        <w:tc>
          <w:tcPr>
            <w:tcW w:w="100" w:type="dxa"/>
            <w:vAlign w:val="bottom"/>
          </w:tcPr>
          <w:p>
            <w:pPr>
              <w:spacing w:after="0"/>
              <w:rPr>
                <w:sz w:val="17"/>
                <w:szCs w:val="17"/>
                <w:color w:val="auto"/>
              </w:rPr>
            </w:pPr>
          </w:p>
        </w:tc>
      </w:tr>
      <w:tr>
        <w:trPr>
          <w:trHeight w:val="20"/>
        </w:trPr>
        <w:tc>
          <w:tcPr>
            <w:tcW w:w="95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the preliminary fair value of the assets acquired and liabilities assumed as of the date of acquisition (in thousands):</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9580" w:type="dxa"/>
            <w:vAlign w:val="bottom"/>
            <w:shd w:val="clear" w:color="auto" w:fill="CFF0FC"/>
          </w:tcPr>
          <w:p>
            <w:pPr>
              <w:spacing w:after="0"/>
              <w:rPr>
                <w:sz w:val="20"/>
                <w:szCs w:val="20"/>
                <w:color w:val="auto"/>
              </w:rPr>
            </w:pPr>
            <w:r>
              <w:rPr>
                <w:rFonts w:ascii="Arial" w:cs="Arial" w:eastAsia="Arial" w:hAnsi="Arial"/>
                <w:sz w:val="16"/>
                <w:szCs w:val="16"/>
                <w:color w:val="auto"/>
              </w:rPr>
              <w:t>Accounts and unbilled receivable, net</w:t>
            </w:r>
          </w:p>
        </w:tc>
        <w:tc>
          <w:tcPr>
            <w:tcW w:w="580" w:type="dxa"/>
            <w:vAlign w:val="bottom"/>
            <w:shd w:val="clear" w:color="auto" w:fill="CFF0FC"/>
          </w:tcPr>
          <w:p>
            <w:pPr>
              <w:jc w:val="right"/>
              <w:ind w:right="424"/>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92</w:t>
            </w:r>
          </w:p>
        </w:tc>
        <w:tc>
          <w:tcPr>
            <w:tcW w:w="100" w:type="dxa"/>
            <w:vAlign w:val="bottom"/>
            <w:shd w:val="clear" w:color="auto" w:fill="CFF0FC"/>
          </w:tcPr>
          <w:p>
            <w:pPr>
              <w:spacing w:after="0"/>
              <w:rPr>
                <w:sz w:val="17"/>
                <w:szCs w:val="17"/>
                <w:color w:val="auto"/>
              </w:rPr>
            </w:pPr>
          </w:p>
        </w:tc>
      </w:tr>
      <w:tr>
        <w:trPr>
          <w:trHeight w:val="213"/>
        </w:trPr>
        <w:tc>
          <w:tcPr>
            <w:tcW w:w="9580" w:type="dxa"/>
            <w:vAlign w:val="bottom"/>
          </w:tcPr>
          <w:p>
            <w:pPr>
              <w:spacing w:after="0"/>
              <w:rPr>
                <w:sz w:val="20"/>
                <w:szCs w:val="20"/>
                <w:color w:val="auto"/>
              </w:rPr>
            </w:pPr>
            <w:r>
              <w:rPr>
                <w:rFonts w:ascii="Arial" w:cs="Arial" w:eastAsia="Arial" w:hAnsi="Arial"/>
                <w:sz w:val="16"/>
                <w:szCs w:val="16"/>
                <w:color w:val="auto"/>
              </w:rPr>
              <w:t>Prepaid and other current assets</w:t>
            </w:r>
          </w:p>
        </w:tc>
        <w:tc>
          <w:tcPr>
            <w:tcW w:w="5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155</w:t>
            </w:r>
          </w:p>
        </w:tc>
        <w:tc>
          <w:tcPr>
            <w:tcW w:w="100" w:type="dxa"/>
            <w:vAlign w:val="bottom"/>
          </w:tcPr>
          <w:p>
            <w:pPr>
              <w:spacing w:after="0"/>
              <w:rPr>
                <w:sz w:val="18"/>
                <w:szCs w:val="18"/>
                <w:color w:val="auto"/>
              </w:rPr>
            </w:pPr>
          </w:p>
        </w:tc>
      </w:tr>
      <w:tr>
        <w:trPr>
          <w:trHeight w:val="219"/>
        </w:trPr>
        <w:tc>
          <w:tcPr>
            <w:tcW w:w="9580" w:type="dxa"/>
            <w:vAlign w:val="bottom"/>
            <w:shd w:val="clear" w:color="auto" w:fill="CFF0FC"/>
          </w:tcPr>
          <w:p>
            <w:pPr>
              <w:spacing w:after="0"/>
              <w:rPr>
                <w:sz w:val="20"/>
                <w:szCs w:val="20"/>
                <w:color w:val="auto"/>
              </w:rPr>
            </w:pPr>
            <w:r>
              <w:rPr>
                <w:rFonts w:ascii="Arial" w:cs="Arial" w:eastAsia="Arial" w:hAnsi="Arial"/>
                <w:sz w:val="16"/>
                <w:szCs w:val="16"/>
                <w:color w:val="auto"/>
              </w:rPr>
              <w:t>Operating lease right-of-use assets</w:t>
            </w:r>
          </w:p>
        </w:tc>
        <w:tc>
          <w:tcPr>
            <w:tcW w:w="5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50</w:t>
            </w:r>
          </w:p>
        </w:tc>
        <w:tc>
          <w:tcPr>
            <w:tcW w:w="100" w:type="dxa"/>
            <w:vAlign w:val="bottom"/>
            <w:shd w:val="clear" w:color="auto" w:fill="CFF0FC"/>
          </w:tcPr>
          <w:p>
            <w:pPr>
              <w:spacing w:after="0"/>
              <w:rPr>
                <w:sz w:val="19"/>
                <w:szCs w:val="19"/>
                <w:color w:val="auto"/>
              </w:rPr>
            </w:pPr>
          </w:p>
        </w:tc>
      </w:tr>
      <w:tr>
        <w:trPr>
          <w:trHeight w:val="213"/>
        </w:trPr>
        <w:tc>
          <w:tcPr>
            <w:tcW w:w="9580" w:type="dxa"/>
            <w:vAlign w:val="bottom"/>
          </w:tcPr>
          <w:p>
            <w:pPr>
              <w:spacing w:after="0"/>
              <w:rPr>
                <w:sz w:val="20"/>
                <w:szCs w:val="20"/>
                <w:color w:val="auto"/>
              </w:rPr>
            </w:pPr>
            <w:r>
              <w:rPr>
                <w:rFonts w:ascii="Arial" w:cs="Arial" w:eastAsia="Arial" w:hAnsi="Arial"/>
                <w:sz w:val="16"/>
                <w:szCs w:val="16"/>
                <w:color w:val="auto"/>
              </w:rPr>
              <w:t>Deferred tax assets</w:t>
            </w:r>
          </w:p>
        </w:tc>
        <w:tc>
          <w:tcPr>
            <w:tcW w:w="5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2,121</w:t>
            </w:r>
          </w:p>
        </w:tc>
        <w:tc>
          <w:tcPr>
            <w:tcW w:w="100" w:type="dxa"/>
            <w:vAlign w:val="bottom"/>
          </w:tcPr>
          <w:p>
            <w:pPr>
              <w:spacing w:after="0"/>
              <w:rPr>
                <w:sz w:val="18"/>
                <w:szCs w:val="18"/>
                <w:color w:val="auto"/>
              </w:rPr>
            </w:pPr>
          </w:p>
        </w:tc>
      </w:tr>
      <w:tr>
        <w:trPr>
          <w:trHeight w:val="219"/>
        </w:trPr>
        <w:tc>
          <w:tcPr>
            <w:tcW w:w="9580" w:type="dxa"/>
            <w:vAlign w:val="bottom"/>
            <w:shd w:val="clear" w:color="auto" w:fill="CFF0FC"/>
          </w:tcPr>
          <w:p>
            <w:pPr>
              <w:spacing w:after="0"/>
              <w:rPr>
                <w:sz w:val="20"/>
                <w:szCs w:val="20"/>
                <w:color w:val="auto"/>
              </w:rPr>
            </w:pPr>
            <w:r>
              <w:rPr>
                <w:rFonts w:ascii="Arial" w:cs="Arial" w:eastAsia="Arial" w:hAnsi="Arial"/>
                <w:sz w:val="16"/>
                <w:szCs w:val="16"/>
                <w:color w:val="auto"/>
              </w:rPr>
              <w:t>Goodwill</w:t>
            </w:r>
          </w:p>
        </w:tc>
        <w:tc>
          <w:tcPr>
            <w:tcW w:w="5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21,085</w:t>
            </w:r>
          </w:p>
        </w:tc>
        <w:tc>
          <w:tcPr>
            <w:tcW w:w="100" w:type="dxa"/>
            <w:vAlign w:val="bottom"/>
            <w:shd w:val="clear" w:color="auto" w:fill="CFF0FC"/>
          </w:tcPr>
          <w:p>
            <w:pPr>
              <w:spacing w:after="0"/>
              <w:rPr>
                <w:sz w:val="19"/>
                <w:szCs w:val="19"/>
                <w:color w:val="auto"/>
              </w:rPr>
            </w:pPr>
          </w:p>
        </w:tc>
      </w:tr>
      <w:tr>
        <w:trPr>
          <w:trHeight w:val="213"/>
        </w:trPr>
        <w:tc>
          <w:tcPr>
            <w:tcW w:w="9580" w:type="dxa"/>
            <w:vAlign w:val="bottom"/>
          </w:tcPr>
          <w:p>
            <w:pPr>
              <w:spacing w:after="0"/>
              <w:rPr>
                <w:sz w:val="20"/>
                <w:szCs w:val="20"/>
                <w:color w:val="auto"/>
              </w:rPr>
            </w:pPr>
            <w:r>
              <w:rPr>
                <w:rFonts w:ascii="Arial" w:cs="Arial" w:eastAsia="Arial" w:hAnsi="Arial"/>
                <w:sz w:val="16"/>
                <w:szCs w:val="16"/>
                <w:color w:val="auto"/>
              </w:rPr>
              <w:t>Intangible assets</w:t>
            </w:r>
          </w:p>
        </w:tc>
        <w:tc>
          <w:tcPr>
            <w:tcW w:w="5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1,845</w:t>
            </w:r>
          </w:p>
        </w:tc>
        <w:tc>
          <w:tcPr>
            <w:tcW w:w="100" w:type="dxa"/>
            <w:vAlign w:val="bottom"/>
          </w:tcPr>
          <w:p>
            <w:pPr>
              <w:spacing w:after="0"/>
              <w:rPr>
                <w:sz w:val="18"/>
                <w:szCs w:val="18"/>
                <w:color w:val="auto"/>
              </w:rPr>
            </w:pPr>
          </w:p>
        </w:tc>
      </w:tr>
      <w:tr>
        <w:trPr>
          <w:trHeight w:val="219"/>
        </w:trPr>
        <w:tc>
          <w:tcPr>
            <w:tcW w:w="9580" w:type="dxa"/>
            <w:vAlign w:val="bottom"/>
            <w:shd w:val="clear" w:color="auto" w:fill="CFF0FC"/>
          </w:tcPr>
          <w:p>
            <w:pPr>
              <w:spacing w:after="0"/>
              <w:rPr>
                <w:sz w:val="20"/>
                <w:szCs w:val="20"/>
                <w:color w:val="auto"/>
              </w:rPr>
            </w:pPr>
            <w:r>
              <w:rPr>
                <w:rFonts w:ascii="Arial" w:cs="Arial" w:eastAsia="Arial" w:hAnsi="Arial"/>
                <w:sz w:val="16"/>
                <w:szCs w:val="16"/>
                <w:color w:val="auto"/>
              </w:rPr>
              <w:t>Accounts payable and accrued liabilities</w:t>
            </w:r>
          </w:p>
        </w:tc>
        <w:tc>
          <w:tcPr>
            <w:tcW w:w="58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(143)</w:t>
            </w:r>
          </w:p>
        </w:tc>
      </w:tr>
      <w:tr>
        <w:trPr>
          <w:trHeight w:val="213"/>
        </w:trPr>
        <w:tc>
          <w:tcPr>
            <w:tcW w:w="9580" w:type="dxa"/>
            <w:vAlign w:val="bottom"/>
          </w:tcPr>
          <w:p>
            <w:pPr>
              <w:spacing w:after="0"/>
              <w:rPr>
                <w:sz w:val="20"/>
                <w:szCs w:val="20"/>
                <w:color w:val="auto"/>
              </w:rPr>
            </w:pPr>
            <w:r>
              <w:rPr>
                <w:rFonts w:ascii="Arial" w:cs="Arial" w:eastAsia="Arial" w:hAnsi="Arial"/>
                <w:sz w:val="16"/>
                <w:szCs w:val="16"/>
                <w:color w:val="auto"/>
              </w:rPr>
              <w:t>Deferred revenue</w:t>
            </w:r>
          </w:p>
        </w:tc>
        <w:tc>
          <w:tcPr>
            <w:tcW w:w="58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6"/>
                <w:szCs w:val="16"/>
                <w:color w:val="auto"/>
              </w:rPr>
              <w:t>(78)</w:t>
            </w:r>
          </w:p>
        </w:tc>
      </w:tr>
      <w:tr>
        <w:trPr>
          <w:trHeight w:val="219"/>
        </w:trPr>
        <w:tc>
          <w:tcPr>
            <w:tcW w:w="9580" w:type="dxa"/>
            <w:vAlign w:val="bottom"/>
            <w:shd w:val="clear" w:color="auto" w:fill="CFF0FC"/>
          </w:tcPr>
          <w:p>
            <w:pPr>
              <w:spacing w:after="0"/>
              <w:rPr>
                <w:sz w:val="20"/>
                <w:szCs w:val="20"/>
                <w:color w:val="auto"/>
              </w:rPr>
            </w:pPr>
            <w:r>
              <w:rPr>
                <w:rFonts w:ascii="Arial" w:cs="Arial" w:eastAsia="Arial" w:hAnsi="Arial"/>
                <w:sz w:val="16"/>
                <w:szCs w:val="16"/>
                <w:color w:val="auto"/>
              </w:rPr>
              <w:t>Operating lease liabilities</w:t>
            </w:r>
          </w:p>
        </w:tc>
        <w:tc>
          <w:tcPr>
            <w:tcW w:w="58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(50)</w:t>
            </w:r>
          </w:p>
        </w:tc>
      </w:tr>
      <w:tr>
        <w:trPr>
          <w:trHeight w:val="206"/>
        </w:trPr>
        <w:tc>
          <w:tcPr>
            <w:tcW w:w="9580" w:type="dxa"/>
            <w:vAlign w:val="bottom"/>
          </w:tcPr>
          <w:p>
            <w:pPr>
              <w:ind w:left="260"/>
              <w:spacing w:after="0"/>
              <w:rPr>
                <w:sz w:val="20"/>
                <w:szCs w:val="20"/>
                <w:color w:val="auto"/>
              </w:rPr>
            </w:pPr>
            <w:r>
              <w:rPr>
                <w:rFonts w:ascii="Arial" w:cs="Arial" w:eastAsia="Arial" w:hAnsi="Arial"/>
                <w:sz w:val="16"/>
                <w:szCs w:val="16"/>
                <w:color w:val="auto"/>
              </w:rPr>
              <w:t>Net assets acquired</w:t>
            </w:r>
          </w:p>
        </w:tc>
        <w:tc>
          <w:tcPr>
            <w:tcW w:w="580" w:type="dxa"/>
            <w:vAlign w:val="bottom"/>
            <w:tcBorders>
              <w:top w:val="single" w:sz="8" w:color="auto"/>
              <w:bottom w:val="single" w:sz="8" w:color="auto"/>
            </w:tcBorders>
          </w:tcPr>
          <w:p>
            <w:pPr>
              <w:jc w:val="right"/>
              <w:ind w:right="424"/>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25,077</w:t>
            </w:r>
          </w:p>
        </w:tc>
        <w:tc>
          <w:tcPr>
            <w:tcW w:w="100" w:type="dxa"/>
            <w:vAlign w:val="bottom"/>
          </w:tcPr>
          <w:p>
            <w:pPr>
              <w:spacing w:after="0"/>
              <w:rPr>
                <w:sz w:val="17"/>
                <w:szCs w:val="17"/>
                <w:color w:val="auto"/>
              </w:rPr>
            </w:pPr>
          </w:p>
        </w:tc>
      </w:tr>
      <w:tr>
        <w:trPr>
          <w:trHeight w:val="20"/>
        </w:trPr>
        <w:tc>
          <w:tcPr>
            <w:tcW w:w="95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58" w:lineRule="exact"/>
        <w:rPr>
          <w:sz w:val="20"/>
          <w:szCs w:val="20"/>
          <w:color w:val="auto"/>
        </w:rPr>
      </w:pPr>
    </w:p>
    <w:p>
      <w:pPr>
        <w:jc w:val="both"/>
        <w:spacing w:after="0" w:line="274" w:lineRule="auto"/>
        <w:rPr>
          <w:sz w:val="20"/>
          <w:szCs w:val="20"/>
          <w:color w:val="auto"/>
        </w:rPr>
      </w:pPr>
      <w:r>
        <w:rPr>
          <w:rFonts w:ascii="Arial" w:cs="Arial" w:eastAsia="Arial" w:hAnsi="Arial"/>
          <w:sz w:val="16"/>
          <w:szCs w:val="16"/>
          <w:color w:val="212529"/>
        </w:rPr>
        <w:t>The excess of preliminary purchase price over the preliminary fair values of net tangible and intangible assets is recorded as goodwill. The preliminary fair values of tangible and identifiable intangible assets and liabilities are based on management’s estimates and assumptions. The primary intangible assets acquired were developed technology and trade name. The fair value estimate for developed technology intangible asset included significant assumptions, including the estimate of employee hours that would be needed to recreate the technology. The fair value estimate for trade name intangible asset included significant assumptions in the prospective financial information, such as projected revenues, royalty rate, and the discount rate. Additionally, these assumptions are forward looking and could be affected by future economic and market conditions. The preliminary fair values of assets acquired and liabilities assumed continue to be subject to change during the measurement period (up to one year from the acquisition date) as the Company finalizes the valuation of these items. The primary areas of the preliminary purchase price allocation that are not finalized include the composition and valuation of intangible assets and income tax attributes. The goodwill balance is primarily attributed to the assembled workforce, future market opportunities to engage and support the NurseGrid Mobile user community, and expected synergies from integrating NurseGrid with other combined functional areas within the Company. The goodwill balance is not deductible for U.S. income tax purposes. The net tangible assets include deferred revenue, which was adjusted down from a book value at the acquisition date of $157,000 to an estimated fair value of $78,000. The $79,000 write-down of deferred revenue will result in lower revenues than would have otherwise been recognized for such services.</w:t>
      </w:r>
    </w:p>
    <w:p>
      <w:pPr>
        <w:spacing w:after="0" w:line="158" w:lineRule="exact"/>
        <w:rPr>
          <w:sz w:val="20"/>
          <w:szCs w:val="20"/>
          <w:color w:val="auto"/>
        </w:rPr>
      </w:pPr>
    </w:p>
    <w:p>
      <w:pPr>
        <w:spacing w:after="0"/>
        <w:rPr>
          <w:sz w:val="20"/>
          <w:szCs w:val="20"/>
          <w:color w:val="auto"/>
        </w:rPr>
      </w:pPr>
      <w:r>
        <w:rPr>
          <w:rFonts w:ascii="Arial" w:cs="Arial" w:eastAsia="Arial" w:hAnsi="Arial"/>
          <w:sz w:val="15"/>
          <w:szCs w:val="15"/>
          <w:color w:val="212529"/>
        </w:rPr>
        <w:t>The following table sets forth the preliminary components of identifiable intangible assets and their estimated useful lives as of the acquisition date (in thousands):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200" w:type="dxa"/>
            <w:vAlign w:val="bottom"/>
          </w:tcPr>
          <w:p>
            <w:pPr>
              <w:spacing w:after="0"/>
              <w:rPr>
                <w:sz w:val="17"/>
                <w:szCs w:val="17"/>
                <w:color w:val="auto"/>
              </w:rPr>
            </w:pPr>
          </w:p>
        </w:tc>
        <w:tc>
          <w:tcPr>
            <w:tcW w:w="1320" w:type="dxa"/>
            <w:vAlign w:val="bottom"/>
            <w:gridSpan w:val="2"/>
          </w:tcPr>
          <w:p>
            <w:pPr>
              <w:jc w:val="right"/>
              <w:spacing w:after="0"/>
              <w:rPr>
                <w:sz w:val="20"/>
                <w:szCs w:val="20"/>
                <w:color w:val="auto"/>
              </w:rPr>
            </w:pPr>
            <w:r>
              <w:rPr>
                <w:rFonts w:ascii="Arial" w:cs="Arial" w:eastAsia="Arial" w:hAnsi="Arial"/>
                <w:sz w:val="16"/>
                <w:szCs w:val="16"/>
                <w:b w:val="1"/>
                <w:bCs w:val="1"/>
                <w:color w:val="auto"/>
              </w:rPr>
              <w:t>Preliminary Fair</w:t>
            </w:r>
          </w:p>
        </w:tc>
        <w:tc>
          <w:tcPr>
            <w:tcW w:w="28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13"/>
        </w:trPr>
        <w:tc>
          <w:tcPr>
            <w:tcW w:w="8200" w:type="dxa"/>
            <w:vAlign w:val="bottom"/>
            <w:tcBorders>
              <w:bottom w:val="single" w:sz="8" w:color="CFF0FC"/>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value</w:t>
            </w:r>
          </w:p>
        </w:tc>
        <w:tc>
          <w:tcPr>
            <w:tcW w:w="420" w:type="dxa"/>
            <w:vAlign w:val="bottom"/>
            <w:tcBorders>
              <w:bottom w:val="single" w:sz="8" w:color="auto"/>
            </w:tcBorders>
          </w:tcPr>
          <w:p>
            <w:pPr>
              <w:spacing w:after="0"/>
              <w:rPr>
                <w:sz w:val="18"/>
                <w:szCs w:val="18"/>
                <w:color w:val="auto"/>
              </w:rPr>
            </w:pPr>
          </w:p>
        </w:tc>
        <w:tc>
          <w:tcPr>
            <w:tcW w:w="280" w:type="dxa"/>
            <w:vAlign w:val="bottom"/>
            <w:tcBorders>
              <w:bottom w:val="single" w:sz="8" w:color="CFF0FC"/>
            </w:tcBorders>
          </w:tcPr>
          <w:p>
            <w:pPr>
              <w:spacing w:after="0"/>
              <w:rPr>
                <w:sz w:val="18"/>
                <w:szCs w:val="18"/>
                <w:color w:val="auto"/>
              </w:rPr>
            </w:pPr>
          </w:p>
        </w:tc>
        <w:tc>
          <w:tcPr>
            <w:tcW w:w="144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Useful life</w:t>
            </w:r>
          </w:p>
        </w:tc>
      </w:tr>
      <w:tr>
        <w:trPr>
          <w:trHeight w:val="213"/>
        </w:trPr>
        <w:tc>
          <w:tcPr>
            <w:tcW w:w="8200" w:type="dxa"/>
            <w:vAlign w:val="bottom"/>
            <w:shd w:val="clear" w:color="auto" w:fill="CFF0FC"/>
          </w:tcPr>
          <w:p>
            <w:pPr>
              <w:spacing w:after="0"/>
              <w:rPr>
                <w:sz w:val="20"/>
                <w:szCs w:val="20"/>
                <w:color w:val="auto"/>
              </w:rPr>
            </w:pPr>
            <w:r>
              <w:rPr>
                <w:rFonts w:ascii="Arial" w:cs="Arial" w:eastAsia="Arial" w:hAnsi="Arial"/>
                <w:sz w:val="16"/>
                <w:szCs w:val="16"/>
                <w:color w:val="auto"/>
              </w:rPr>
              <w:t>Customer relationships</w:t>
            </w:r>
          </w:p>
        </w:tc>
        <w:tc>
          <w:tcPr>
            <w:tcW w:w="900" w:type="dxa"/>
            <w:vAlign w:val="bottom"/>
            <w:shd w:val="clear" w:color="auto" w:fill="CFF0FC"/>
          </w:tcPr>
          <w:p>
            <w:pPr>
              <w:jc w:val="right"/>
              <w:ind w:right="742"/>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35</w:t>
            </w:r>
          </w:p>
        </w:tc>
        <w:tc>
          <w:tcPr>
            <w:tcW w:w="280" w:type="dxa"/>
            <w:vAlign w:val="bottom"/>
            <w:shd w:val="clear" w:color="auto" w:fill="CFF0FC"/>
          </w:tcPr>
          <w:p>
            <w:pPr>
              <w:spacing w:after="0"/>
              <w:rPr>
                <w:sz w:val="18"/>
                <w:szCs w:val="18"/>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 years</w:t>
            </w:r>
          </w:p>
        </w:tc>
      </w:tr>
      <w:tr>
        <w:trPr>
          <w:trHeight w:val="213"/>
        </w:trPr>
        <w:tc>
          <w:tcPr>
            <w:tcW w:w="8200" w:type="dxa"/>
            <w:vAlign w:val="bottom"/>
          </w:tcPr>
          <w:p>
            <w:pPr>
              <w:spacing w:after="0"/>
              <w:rPr>
                <w:sz w:val="20"/>
                <w:szCs w:val="20"/>
                <w:color w:val="auto"/>
              </w:rPr>
            </w:pPr>
            <w:r>
              <w:rPr>
                <w:rFonts w:ascii="Arial" w:cs="Arial" w:eastAsia="Arial" w:hAnsi="Arial"/>
                <w:sz w:val="16"/>
                <w:szCs w:val="16"/>
                <w:color w:val="auto"/>
              </w:rPr>
              <w:t>Developed technology</w:t>
            </w:r>
          </w:p>
        </w:tc>
        <w:tc>
          <w:tcPr>
            <w:tcW w:w="9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w w:val="99"/>
              </w:rPr>
              <w:t>1,110</w:t>
            </w:r>
          </w:p>
        </w:tc>
        <w:tc>
          <w:tcPr>
            <w:tcW w:w="28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5 years</w:t>
            </w:r>
          </w:p>
        </w:tc>
      </w:tr>
      <w:tr>
        <w:trPr>
          <w:trHeight w:val="219"/>
        </w:trPr>
        <w:tc>
          <w:tcPr>
            <w:tcW w:w="8200" w:type="dxa"/>
            <w:vAlign w:val="bottom"/>
            <w:shd w:val="clear" w:color="auto" w:fill="CFF0FC"/>
          </w:tcPr>
          <w:p>
            <w:pPr>
              <w:spacing w:after="0"/>
              <w:rPr>
                <w:sz w:val="20"/>
                <w:szCs w:val="20"/>
                <w:color w:val="auto"/>
              </w:rPr>
            </w:pPr>
            <w:r>
              <w:rPr>
                <w:rFonts w:ascii="Arial" w:cs="Arial" w:eastAsia="Arial" w:hAnsi="Arial"/>
                <w:sz w:val="16"/>
                <w:szCs w:val="16"/>
                <w:color w:val="auto"/>
              </w:rPr>
              <w:t>Trade name</w:t>
            </w:r>
          </w:p>
        </w:tc>
        <w:tc>
          <w:tcPr>
            <w:tcW w:w="900" w:type="dxa"/>
            <w:vAlign w:val="bottom"/>
            <w:tcBorders>
              <w:bottom w:val="single" w:sz="8" w:color="auto"/>
            </w:tcBorders>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700</w:t>
            </w:r>
          </w:p>
        </w:tc>
        <w:tc>
          <w:tcPr>
            <w:tcW w:w="28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Indefinite</w:t>
            </w:r>
          </w:p>
        </w:tc>
      </w:tr>
      <w:tr>
        <w:trPr>
          <w:trHeight w:val="207"/>
        </w:trPr>
        <w:tc>
          <w:tcPr>
            <w:tcW w:w="8200" w:type="dxa"/>
            <w:vAlign w:val="bottom"/>
          </w:tcPr>
          <w:p>
            <w:pPr>
              <w:ind w:left="140"/>
              <w:spacing w:after="0"/>
              <w:rPr>
                <w:sz w:val="20"/>
                <w:szCs w:val="20"/>
                <w:color w:val="auto"/>
              </w:rPr>
            </w:pPr>
            <w:r>
              <w:rPr>
                <w:rFonts w:ascii="Arial" w:cs="Arial" w:eastAsia="Arial" w:hAnsi="Arial"/>
                <w:sz w:val="16"/>
                <w:szCs w:val="16"/>
                <w:color w:val="auto"/>
              </w:rPr>
              <w:t>Total intangible assets</w:t>
            </w:r>
          </w:p>
        </w:tc>
        <w:tc>
          <w:tcPr>
            <w:tcW w:w="900" w:type="dxa"/>
            <w:vAlign w:val="bottom"/>
            <w:tcBorders>
              <w:bottom w:val="single" w:sz="8" w:color="auto"/>
            </w:tcBorders>
          </w:tcPr>
          <w:p>
            <w:pPr>
              <w:jc w:val="right"/>
              <w:ind w:right="742"/>
              <w:spacing w:after="0"/>
              <w:rPr>
                <w:sz w:val="20"/>
                <w:szCs w:val="20"/>
                <w:color w:val="auto"/>
              </w:rPr>
            </w:pPr>
            <w:r>
              <w:rPr>
                <w:rFonts w:ascii="Arial" w:cs="Arial" w:eastAsia="Arial" w:hAnsi="Arial"/>
                <w:sz w:val="15"/>
                <w:szCs w:val="15"/>
                <w:color w:val="auto"/>
                <w:w w:val="71"/>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9"/>
              </w:rPr>
              <w:t>1,845</w:t>
            </w:r>
          </w:p>
        </w:tc>
        <w:tc>
          <w:tcPr>
            <w:tcW w:w="28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0"/>
        </w:trPr>
        <w:tc>
          <w:tcPr>
            <w:tcW w:w="82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bl>
    <w:p>
      <w:pPr>
        <w:spacing w:after="0" w:line="158" w:lineRule="exact"/>
        <w:rPr>
          <w:sz w:val="20"/>
          <w:szCs w:val="20"/>
          <w:color w:val="auto"/>
        </w:rPr>
      </w:pPr>
    </w:p>
    <w:p>
      <w:pPr>
        <w:jc w:val="both"/>
        <w:ind w:right="20"/>
        <w:spacing w:after="0" w:line="274" w:lineRule="auto"/>
        <w:rPr>
          <w:sz w:val="20"/>
          <w:szCs w:val="20"/>
          <w:color w:val="auto"/>
        </w:rPr>
      </w:pPr>
      <w:r>
        <w:rPr>
          <w:rFonts w:ascii="Arial" w:cs="Arial" w:eastAsia="Arial" w:hAnsi="Arial"/>
          <w:sz w:val="17"/>
          <w:szCs w:val="17"/>
          <w:color w:val="212529"/>
        </w:rPr>
        <w:t>The amounts of revenue and operating loss of NurseGrid included in the Company’s Consolidated Statement of Income since the date of acquisition of March 9, 2020 for the three and six months ended June 30, 2020 are as follows (in thousands):</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8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w w:val="99"/>
              </w:rPr>
              <w:t>Three Months Ended</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78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Six Months Ended</w:t>
            </w:r>
          </w:p>
        </w:tc>
      </w:tr>
      <w:tr>
        <w:trPr>
          <w:trHeight w:val="171"/>
        </w:trPr>
        <w:tc>
          <w:tcPr>
            <w:tcW w:w="70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tcPr>
          <w:p>
            <w:pPr>
              <w:jc w:val="right"/>
              <w:ind w:right="464"/>
              <w:spacing w:after="0"/>
              <w:rPr>
                <w:sz w:val="20"/>
                <w:szCs w:val="20"/>
                <w:color w:val="auto"/>
              </w:rPr>
            </w:pPr>
            <w:r>
              <w:rPr>
                <w:rFonts w:ascii="Arial" w:cs="Arial" w:eastAsia="Arial" w:hAnsi="Arial"/>
                <w:sz w:val="14"/>
                <w:szCs w:val="14"/>
                <w:b w:val="1"/>
                <w:bCs w:val="1"/>
                <w:color w:val="auto"/>
              </w:rPr>
              <w:t>June 30, 2020</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tcPr>
          <w:p>
            <w:pPr>
              <w:jc w:val="right"/>
              <w:ind w:right="464"/>
              <w:spacing w:after="0"/>
              <w:rPr>
                <w:sz w:val="20"/>
                <w:szCs w:val="20"/>
                <w:color w:val="auto"/>
              </w:rPr>
            </w:pPr>
            <w:r>
              <w:rPr>
                <w:rFonts w:ascii="Arial" w:cs="Arial" w:eastAsia="Arial" w:hAnsi="Arial"/>
                <w:sz w:val="14"/>
                <w:szCs w:val="14"/>
                <w:b w:val="1"/>
                <w:bCs w:val="1"/>
                <w:color w:val="auto"/>
              </w:rPr>
              <w:t>June 30, 2020</w:t>
            </w:r>
          </w:p>
        </w:tc>
        <w:tc>
          <w:tcPr>
            <w:tcW w:w="100" w:type="dxa"/>
            <w:vAlign w:val="bottom"/>
          </w:tcPr>
          <w:p>
            <w:pPr>
              <w:spacing w:after="0"/>
              <w:rPr>
                <w:sz w:val="14"/>
                <w:szCs w:val="14"/>
                <w:color w:val="auto"/>
              </w:rPr>
            </w:pPr>
          </w:p>
        </w:tc>
      </w:tr>
      <w:tr>
        <w:trPr>
          <w:trHeight w:val="247"/>
        </w:trPr>
        <w:tc>
          <w:tcPr>
            <w:tcW w:w="702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Total revenues</w:t>
            </w:r>
          </w:p>
        </w:tc>
        <w:tc>
          <w:tcPr>
            <w:tcW w:w="20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w w:val="71"/>
              </w:rPr>
              <w:t>$</w:t>
            </w: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69</w:t>
            </w:r>
          </w:p>
        </w:tc>
        <w:tc>
          <w:tcPr>
            <w:tcW w:w="180" w:type="dxa"/>
            <w:vAlign w:val="bottom"/>
            <w:tcBorders>
              <w:bottom w:val="single" w:sz="8" w:color="CFF0FC"/>
            </w:tcBorders>
          </w:tcPr>
          <w:p>
            <w:pPr>
              <w:spacing w:after="0"/>
              <w:rPr>
                <w:sz w:val="21"/>
                <w:szCs w:val="21"/>
                <w:color w:val="auto"/>
              </w:rPr>
            </w:pPr>
          </w:p>
        </w:tc>
        <w:tc>
          <w:tcPr>
            <w:tcW w:w="120" w:type="dxa"/>
            <w:vAlign w:val="bottom"/>
            <w:tcBorders>
              <w:bottom w:val="single" w:sz="8" w:color="CFF0FC"/>
            </w:tcBorders>
          </w:tcPr>
          <w:p>
            <w:pPr>
              <w:spacing w:after="0"/>
              <w:rPr>
                <w:sz w:val="21"/>
                <w:szCs w:val="21"/>
                <w:color w:val="auto"/>
              </w:rPr>
            </w:pPr>
          </w:p>
        </w:tc>
        <w:tc>
          <w:tcPr>
            <w:tcW w:w="240" w:type="dxa"/>
            <w:vAlign w:val="bottom"/>
            <w:tcBorders>
              <w:bottom w:val="single" w:sz="8" w:color="auto"/>
            </w:tcBorders>
          </w:tcPr>
          <w:p>
            <w:pPr>
              <w:jc w:val="right"/>
              <w:ind w:right="84"/>
              <w:spacing w:after="0"/>
              <w:rPr>
                <w:sz w:val="20"/>
                <w:szCs w:val="20"/>
                <w:color w:val="auto"/>
              </w:rPr>
            </w:pPr>
            <w:r>
              <w:rPr>
                <w:rFonts w:ascii="Arial" w:cs="Arial" w:eastAsia="Arial" w:hAnsi="Arial"/>
                <w:sz w:val="15"/>
                <w:szCs w:val="15"/>
                <w:color w:val="auto"/>
                <w:w w:val="71"/>
              </w:rPr>
              <w:t>$</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97</w:t>
            </w:r>
          </w:p>
        </w:tc>
        <w:tc>
          <w:tcPr>
            <w:tcW w:w="100" w:type="dxa"/>
            <w:vAlign w:val="bottom"/>
            <w:tcBorders>
              <w:bottom w:val="single" w:sz="8" w:color="CFF0FC"/>
            </w:tcBorders>
          </w:tcPr>
          <w:p>
            <w:pPr>
              <w:spacing w:after="0"/>
              <w:rPr>
                <w:sz w:val="21"/>
                <w:szCs w:val="21"/>
                <w:color w:val="auto"/>
              </w:rPr>
            </w:pPr>
          </w:p>
        </w:tc>
      </w:tr>
      <w:tr>
        <w:trPr>
          <w:trHeight w:val="196"/>
        </w:trPr>
        <w:tc>
          <w:tcPr>
            <w:tcW w:w="7020" w:type="dxa"/>
            <w:vAlign w:val="bottom"/>
            <w:shd w:val="clear" w:color="auto" w:fill="CFF0FC"/>
          </w:tcPr>
          <w:p>
            <w:pPr>
              <w:spacing w:after="0"/>
              <w:rPr>
                <w:sz w:val="20"/>
                <w:szCs w:val="20"/>
                <w:color w:val="auto"/>
              </w:rPr>
            </w:pPr>
            <w:r>
              <w:rPr>
                <w:rFonts w:ascii="Arial" w:cs="Arial" w:eastAsia="Arial" w:hAnsi="Arial"/>
                <w:sz w:val="16"/>
                <w:szCs w:val="16"/>
                <w:color w:val="auto"/>
              </w:rPr>
              <w:t>Operating loss</w:t>
            </w:r>
          </w:p>
        </w:tc>
        <w:tc>
          <w:tcPr>
            <w:tcW w:w="200" w:type="dxa"/>
            <w:vAlign w:val="bottom"/>
            <w:shd w:val="clear" w:color="auto" w:fill="CFF0FC"/>
          </w:tcPr>
          <w:p>
            <w:pPr>
              <w:jc w:val="right"/>
              <w:ind w:right="44"/>
              <w:spacing w:after="0"/>
              <w:rPr>
                <w:sz w:val="20"/>
                <w:szCs w:val="20"/>
                <w:color w:val="auto"/>
              </w:rPr>
            </w:pPr>
            <w:r>
              <w:rPr>
                <w:rFonts w:ascii="Arial" w:cs="Arial" w:eastAsia="Arial" w:hAnsi="Arial"/>
                <w:sz w:val="15"/>
                <w:szCs w:val="15"/>
                <w:color w:val="auto"/>
                <w:w w:val="71"/>
              </w:rPr>
              <w:t>$</w:t>
            </w:r>
          </w:p>
        </w:tc>
        <w:tc>
          <w:tcPr>
            <w:tcW w:w="188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(803)</w:t>
            </w:r>
          </w:p>
        </w:tc>
        <w:tc>
          <w:tcPr>
            <w:tcW w:w="360" w:type="dxa"/>
            <w:vAlign w:val="bottom"/>
            <w:gridSpan w:val="2"/>
            <w:shd w:val="clear" w:color="auto" w:fill="CFF0FC"/>
          </w:tcPr>
          <w:p>
            <w:pPr>
              <w:jc w:val="right"/>
              <w:ind w:right="84"/>
              <w:spacing w:after="0"/>
              <w:rPr>
                <w:sz w:val="20"/>
                <w:szCs w:val="20"/>
                <w:color w:val="auto"/>
              </w:rPr>
            </w:pPr>
            <w:r>
              <w:rPr>
                <w:rFonts w:ascii="Arial" w:cs="Arial" w:eastAsia="Arial" w:hAnsi="Arial"/>
                <w:sz w:val="16"/>
                <w:szCs w:val="16"/>
                <w:color w:val="auto"/>
              </w:rPr>
              <w:t>$</w:t>
            </w:r>
          </w:p>
        </w:tc>
        <w:tc>
          <w:tcPr>
            <w:tcW w:w="17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(1,023)</w:t>
            </w:r>
          </w:p>
        </w:tc>
      </w:tr>
      <w:tr>
        <w:trPr>
          <w:trHeight w:val="20"/>
        </w:trPr>
        <w:tc>
          <w:tcPr>
            <w:tcW w:w="702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229235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jc w:val="center"/>
        <w:spacing w:after="0"/>
        <w:rPr>
          <w:sz w:val="20"/>
          <w:szCs w:val="20"/>
          <w:color w:val="auto"/>
        </w:rPr>
      </w:pPr>
      <w:r>
        <w:rPr>
          <w:rFonts w:ascii="Arial" w:cs="Arial" w:eastAsia="Arial" w:hAnsi="Arial"/>
          <w:sz w:val="18"/>
          <w:szCs w:val="18"/>
          <w:b w:val="1"/>
          <w:bCs w:val="1"/>
          <w:color w:val="auto"/>
        </w:rPr>
        <w:t>HEALTHSTREAM,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396"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212529"/>
        </w:rPr>
        <w:t>The following unaudited pro forma financial information summarizes the results of operations of the Company and NurseGrid as though the companies were combined as of January 1, 2019 (in thousands, except per share data):</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34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60" w:type="dxa"/>
            <w:vAlign w:val="bottom"/>
            <w:gridSpan w:val="5"/>
          </w:tcPr>
          <w:p>
            <w:pPr>
              <w:ind w:left="160"/>
              <w:spacing w:after="0"/>
              <w:rPr>
                <w:sz w:val="20"/>
                <w:szCs w:val="20"/>
                <w:color w:val="auto"/>
              </w:rPr>
            </w:pPr>
            <w:r>
              <w:rPr>
                <w:rFonts w:ascii="Arial" w:cs="Arial" w:eastAsia="Arial" w:hAnsi="Arial"/>
                <w:sz w:val="16"/>
                <w:szCs w:val="16"/>
                <w:b w:val="1"/>
                <w:bCs w:val="1"/>
                <w:color w:val="auto"/>
              </w:rPr>
              <w:t>Three Months Ended</w:t>
            </w:r>
          </w:p>
        </w:tc>
        <w:tc>
          <w:tcPr>
            <w:tcW w:w="200" w:type="dxa"/>
            <w:vAlign w:val="bottom"/>
          </w:tcPr>
          <w:p>
            <w:pPr>
              <w:spacing w:after="0"/>
              <w:rPr>
                <w:sz w:val="17"/>
                <w:szCs w:val="17"/>
                <w:color w:val="auto"/>
              </w:rPr>
            </w:pPr>
          </w:p>
        </w:tc>
        <w:tc>
          <w:tcPr>
            <w:tcW w:w="2180" w:type="dxa"/>
            <w:vAlign w:val="bottom"/>
            <w:gridSpan w:val="5"/>
          </w:tcPr>
          <w:p>
            <w:pPr>
              <w:ind w:left="280"/>
              <w:spacing w:after="0"/>
              <w:rPr>
                <w:sz w:val="20"/>
                <w:szCs w:val="20"/>
                <w:color w:val="auto"/>
              </w:rPr>
            </w:pPr>
            <w:r>
              <w:rPr>
                <w:rFonts w:ascii="Arial" w:cs="Arial" w:eastAsia="Arial" w:hAnsi="Arial"/>
                <w:sz w:val="16"/>
                <w:szCs w:val="16"/>
                <w:b w:val="1"/>
                <w:bCs w:val="1"/>
                <w:color w:val="auto"/>
              </w:rPr>
              <w:t>Six Months Ended</w:t>
            </w:r>
          </w:p>
        </w:tc>
        <w:tc>
          <w:tcPr>
            <w:tcW w:w="0" w:type="dxa"/>
            <w:vAlign w:val="bottom"/>
          </w:tcPr>
          <w:p>
            <w:pPr>
              <w:spacing w:after="0"/>
              <w:rPr>
                <w:sz w:val="1"/>
                <w:szCs w:val="1"/>
                <w:color w:val="auto"/>
              </w:rPr>
            </w:pPr>
          </w:p>
        </w:tc>
      </w:tr>
      <w:tr>
        <w:trPr>
          <w:trHeight w:val="213"/>
        </w:trPr>
        <w:tc>
          <w:tcPr>
            <w:tcW w:w="434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gridSpan w:val="3"/>
          </w:tcPr>
          <w:p>
            <w:pPr>
              <w:jc w:val="right"/>
              <w:ind w:right="24"/>
              <w:spacing w:after="0"/>
              <w:rPr>
                <w:sz w:val="20"/>
                <w:szCs w:val="20"/>
                <w:color w:val="auto"/>
              </w:rPr>
            </w:pPr>
            <w:r>
              <w:rPr>
                <w:rFonts w:ascii="Arial" w:cs="Arial" w:eastAsia="Arial" w:hAnsi="Arial"/>
                <w:sz w:val="16"/>
                <w:szCs w:val="16"/>
                <w:b w:val="1"/>
                <w:bCs w:val="1"/>
                <w:color w:val="auto"/>
              </w:rPr>
              <w:t>June 30,</w:t>
            </w:r>
          </w:p>
        </w:tc>
        <w:tc>
          <w:tcPr>
            <w:tcW w:w="74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gridSpan w:val="3"/>
          </w:tcPr>
          <w:p>
            <w:pPr>
              <w:jc w:val="right"/>
              <w:ind w:right="4"/>
              <w:spacing w:after="0"/>
              <w:rPr>
                <w:sz w:val="20"/>
                <w:szCs w:val="20"/>
                <w:color w:val="auto"/>
              </w:rPr>
            </w:pPr>
            <w:r>
              <w:rPr>
                <w:rFonts w:ascii="Arial" w:cs="Arial" w:eastAsia="Arial" w:hAnsi="Arial"/>
                <w:sz w:val="16"/>
                <w:szCs w:val="16"/>
                <w:b w:val="1"/>
                <w:bCs w:val="1"/>
                <w:color w:val="auto"/>
              </w:rPr>
              <w:t>June 30,</w:t>
            </w:r>
          </w:p>
        </w:tc>
        <w:tc>
          <w:tcPr>
            <w:tcW w:w="7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340" w:type="dxa"/>
            <w:vAlign w:val="bottom"/>
            <w:tcBorders>
              <w:bottom w:val="single" w:sz="8" w:color="CFF0FC"/>
            </w:tcBorders>
          </w:tcPr>
          <w:p>
            <w:pPr>
              <w:spacing w:after="0"/>
              <w:rPr>
                <w:sz w:val="18"/>
                <w:szCs w:val="18"/>
                <w:color w:val="auto"/>
              </w:rPr>
            </w:pPr>
          </w:p>
        </w:tc>
        <w:tc>
          <w:tcPr>
            <w:tcW w:w="2060" w:type="dxa"/>
            <w:vAlign w:val="bottom"/>
            <w:tcBorders>
              <w:bottom w:val="single" w:sz="8" w:color="CFF0FC"/>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2020</w:t>
            </w:r>
          </w:p>
        </w:tc>
        <w:tc>
          <w:tcPr>
            <w:tcW w:w="240" w:type="dxa"/>
            <w:vAlign w:val="bottom"/>
            <w:tcBorders>
              <w:bottom w:val="single" w:sz="8" w:color="CFF0FC"/>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2019</w:t>
            </w:r>
          </w:p>
        </w:tc>
        <w:tc>
          <w:tcPr>
            <w:tcW w:w="240" w:type="dxa"/>
            <w:vAlign w:val="bottom"/>
            <w:tcBorders>
              <w:bottom w:val="single" w:sz="8" w:color="CFF0FC"/>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2020</w:t>
            </w:r>
          </w:p>
        </w:tc>
        <w:tc>
          <w:tcPr>
            <w:tcW w:w="240" w:type="dxa"/>
            <w:vAlign w:val="bottom"/>
            <w:tcBorders>
              <w:bottom w:val="single" w:sz="8" w:color="CFF0FC"/>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2019</w:t>
            </w:r>
          </w:p>
        </w:tc>
        <w:tc>
          <w:tcPr>
            <w:tcW w:w="12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340" w:type="dxa"/>
            <w:vAlign w:val="bottom"/>
            <w:shd w:val="clear" w:color="auto" w:fill="CFF0FC"/>
          </w:tcPr>
          <w:p>
            <w:pPr>
              <w:spacing w:after="0"/>
              <w:rPr>
                <w:sz w:val="20"/>
                <w:szCs w:val="20"/>
                <w:color w:val="auto"/>
              </w:rPr>
            </w:pPr>
            <w:r>
              <w:rPr>
                <w:rFonts w:ascii="Arial" w:cs="Arial" w:eastAsia="Arial" w:hAnsi="Arial"/>
                <w:sz w:val="16"/>
                <w:szCs w:val="16"/>
                <w:color w:val="auto"/>
              </w:rPr>
              <w:t>Total revenues</w:t>
            </w:r>
          </w:p>
        </w:tc>
        <w:tc>
          <w:tcPr>
            <w:tcW w:w="226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60,588</w:t>
            </w: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jc w:val="right"/>
              <w:ind w:right="104"/>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64,136</w:t>
            </w: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jc w:val="right"/>
              <w:ind w:right="44"/>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122,233</w:t>
            </w: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jc w:val="right"/>
              <w:ind w:right="104"/>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129,511</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34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6"/>
                <w:szCs w:val="16"/>
                <w:color w:val="auto"/>
              </w:rPr>
              <w:t>Income from continuing operations</w:t>
            </w:r>
          </w:p>
        </w:tc>
        <w:tc>
          <w:tcPr>
            <w:tcW w:w="206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4340" w:type="dxa"/>
            <w:vAlign w:val="bottom"/>
            <w:vMerge w:val="continue"/>
          </w:tcPr>
          <w:p>
            <w:pPr>
              <w:spacing w:after="0"/>
              <w:rPr>
                <w:sz w:val="18"/>
                <w:szCs w:val="18"/>
                <w:color w:val="auto"/>
              </w:rPr>
            </w:pPr>
          </w:p>
        </w:tc>
        <w:tc>
          <w:tcPr>
            <w:tcW w:w="22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3,469</w:t>
            </w:r>
          </w:p>
        </w:tc>
        <w:tc>
          <w:tcPr>
            <w:tcW w:w="240" w:type="dxa"/>
            <w:vAlign w:val="bottom"/>
          </w:tcPr>
          <w:p>
            <w:pPr>
              <w:spacing w:after="0"/>
              <w:rPr>
                <w:sz w:val="18"/>
                <w:szCs w:val="18"/>
                <w:color w:val="auto"/>
              </w:rPr>
            </w:pPr>
          </w:p>
        </w:tc>
        <w:tc>
          <w:tcPr>
            <w:tcW w:w="260" w:type="dxa"/>
            <w:vAlign w:val="bottom"/>
          </w:tcPr>
          <w:p>
            <w:pPr>
              <w:jc w:val="right"/>
              <w:ind w:right="104"/>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1,601</w:t>
            </w:r>
          </w:p>
        </w:tc>
        <w:tc>
          <w:tcPr>
            <w:tcW w:w="240" w:type="dxa"/>
            <w:vAlign w:val="bottom"/>
          </w:tcPr>
          <w:p>
            <w:pPr>
              <w:spacing w:after="0"/>
              <w:rPr>
                <w:sz w:val="18"/>
                <w:szCs w:val="18"/>
                <w:color w:val="auto"/>
              </w:rPr>
            </w:pPr>
          </w:p>
        </w:tc>
        <w:tc>
          <w:tcPr>
            <w:tcW w:w="200" w:type="dxa"/>
            <w:vAlign w:val="bottom"/>
          </w:tcPr>
          <w:p>
            <w:pPr>
              <w:jc w:val="right"/>
              <w:ind w:right="44"/>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9,984</w:t>
            </w:r>
          </w:p>
        </w:tc>
        <w:tc>
          <w:tcPr>
            <w:tcW w:w="240" w:type="dxa"/>
            <w:vAlign w:val="bottom"/>
          </w:tcPr>
          <w:p>
            <w:pPr>
              <w:spacing w:after="0"/>
              <w:rPr>
                <w:sz w:val="18"/>
                <w:szCs w:val="18"/>
                <w:color w:val="auto"/>
              </w:rPr>
            </w:pPr>
          </w:p>
        </w:tc>
        <w:tc>
          <w:tcPr>
            <w:tcW w:w="260" w:type="dxa"/>
            <w:vAlign w:val="bottom"/>
          </w:tcPr>
          <w:p>
            <w:pPr>
              <w:jc w:val="right"/>
              <w:ind w:right="104"/>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5,477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340" w:type="dxa"/>
            <w:vAlign w:val="bottom"/>
            <w:tcBorders>
              <w:top w:val="single" w:sz="8" w:color="CFF0FC"/>
            </w:tcBorders>
            <w:vMerge w:val="restart"/>
            <w:shd w:val="clear" w:color="auto" w:fill="CFF0FC"/>
          </w:tcPr>
          <w:p>
            <w:pPr>
              <w:spacing w:after="0"/>
              <w:rPr>
                <w:sz w:val="20"/>
                <w:szCs w:val="20"/>
                <w:color w:val="auto"/>
              </w:rPr>
            </w:pPr>
            <w:r>
              <w:rPr>
                <w:rFonts w:ascii="Arial" w:cs="Arial" w:eastAsia="Arial" w:hAnsi="Arial"/>
                <w:sz w:val="16"/>
                <w:szCs w:val="16"/>
                <w:color w:val="auto"/>
              </w:rPr>
              <w:t>Net income</w:t>
            </w:r>
          </w:p>
        </w:tc>
        <w:tc>
          <w:tcPr>
            <w:tcW w:w="206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340" w:type="dxa"/>
            <w:vAlign w:val="bottom"/>
            <w:vMerge w:val="continue"/>
            <w:shd w:val="clear" w:color="auto" w:fill="CFF0FC"/>
          </w:tcPr>
          <w:p>
            <w:pPr>
              <w:spacing w:after="0"/>
              <w:rPr>
                <w:sz w:val="17"/>
                <w:szCs w:val="17"/>
                <w:color w:val="auto"/>
              </w:rPr>
            </w:pPr>
          </w:p>
        </w:tc>
        <w:tc>
          <w:tcPr>
            <w:tcW w:w="226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3,469</w:t>
            </w:r>
          </w:p>
        </w:tc>
        <w:tc>
          <w:tcPr>
            <w:tcW w:w="240" w:type="dxa"/>
            <w:vAlign w:val="bottom"/>
            <w:shd w:val="clear" w:color="auto" w:fill="CFF0FC"/>
          </w:tcPr>
          <w:p>
            <w:pPr>
              <w:spacing w:after="0"/>
              <w:rPr>
                <w:sz w:val="17"/>
                <w:szCs w:val="17"/>
                <w:color w:val="auto"/>
              </w:rPr>
            </w:pPr>
          </w:p>
        </w:tc>
        <w:tc>
          <w:tcPr>
            <w:tcW w:w="260" w:type="dxa"/>
            <w:vAlign w:val="bottom"/>
            <w:shd w:val="clear" w:color="auto" w:fill="CFF0FC"/>
          </w:tcPr>
          <w:p>
            <w:pPr>
              <w:jc w:val="right"/>
              <w:ind w:right="104"/>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1,601</w:t>
            </w:r>
          </w:p>
        </w:tc>
        <w:tc>
          <w:tcPr>
            <w:tcW w:w="240" w:type="dxa"/>
            <w:vAlign w:val="bottom"/>
            <w:shd w:val="clear" w:color="auto" w:fill="CFF0FC"/>
          </w:tcPr>
          <w:p>
            <w:pPr>
              <w:spacing w:after="0"/>
              <w:rPr>
                <w:sz w:val="17"/>
                <w:szCs w:val="17"/>
                <w:color w:val="auto"/>
              </w:rPr>
            </w:pPr>
          </w:p>
        </w:tc>
        <w:tc>
          <w:tcPr>
            <w:tcW w:w="200" w:type="dxa"/>
            <w:vAlign w:val="bottom"/>
            <w:shd w:val="clear" w:color="auto" w:fill="CFF0FC"/>
          </w:tcPr>
          <w:p>
            <w:pPr>
              <w:jc w:val="right"/>
              <w:ind w:right="44"/>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9,984</w:t>
            </w:r>
          </w:p>
        </w:tc>
        <w:tc>
          <w:tcPr>
            <w:tcW w:w="240" w:type="dxa"/>
            <w:vAlign w:val="bottom"/>
            <w:shd w:val="clear" w:color="auto" w:fill="CFF0FC"/>
          </w:tcPr>
          <w:p>
            <w:pPr>
              <w:spacing w:after="0"/>
              <w:rPr>
                <w:sz w:val="17"/>
                <w:szCs w:val="17"/>
                <w:color w:val="auto"/>
              </w:rPr>
            </w:pPr>
          </w:p>
        </w:tc>
        <w:tc>
          <w:tcPr>
            <w:tcW w:w="260" w:type="dxa"/>
            <w:vAlign w:val="bottom"/>
            <w:shd w:val="clear" w:color="auto" w:fill="CFF0FC"/>
          </w:tcPr>
          <w:p>
            <w:pPr>
              <w:jc w:val="right"/>
              <w:ind w:right="104"/>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6,671</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34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6"/>
                <w:szCs w:val="16"/>
                <w:color w:val="auto"/>
              </w:rPr>
              <w:t>Net income per share - basic</w:t>
            </w:r>
          </w:p>
        </w:tc>
        <w:tc>
          <w:tcPr>
            <w:tcW w:w="206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4340" w:type="dxa"/>
            <w:vAlign w:val="bottom"/>
            <w:vMerge w:val="continue"/>
          </w:tcPr>
          <w:p>
            <w:pPr>
              <w:spacing w:after="0"/>
              <w:rPr>
                <w:sz w:val="18"/>
                <w:szCs w:val="18"/>
                <w:color w:val="auto"/>
              </w:rPr>
            </w:pPr>
          </w:p>
        </w:tc>
        <w:tc>
          <w:tcPr>
            <w:tcW w:w="22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0.11</w:t>
            </w:r>
          </w:p>
        </w:tc>
        <w:tc>
          <w:tcPr>
            <w:tcW w:w="240" w:type="dxa"/>
            <w:vAlign w:val="bottom"/>
          </w:tcPr>
          <w:p>
            <w:pPr>
              <w:spacing w:after="0"/>
              <w:rPr>
                <w:sz w:val="18"/>
                <w:szCs w:val="18"/>
                <w:color w:val="auto"/>
              </w:rPr>
            </w:pPr>
          </w:p>
        </w:tc>
        <w:tc>
          <w:tcPr>
            <w:tcW w:w="260" w:type="dxa"/>
            <w:vAlign w:val="bottom"/>
          </w:tcPr>
          <w:p>
            <w:pPr>
              <w:jc w:val="right"/>
              <w:ind w:right="104"/>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0.05</w:t>
            </w:r>
          </w:p>
        </w:tc>
        <w:tc>
          <w:tcPr>
            <w:tcW w:w="240" w:type="dxa"/>
            <w:vAlign w:val="bottom"/>
          </w:tcPr>
          <w:p>
            <w:pPr>
              <w:spacing w:after="0"/>
              <w:rPr>
                <w:sz w:val="18"/>
                <w:szCs w:val="18"/>
                <w:color w:val="auto"/>
              </w:rPr>
            </w:pPr>
          </w:p>
        </w:tc>
        <w:tc>
          <w:tcPr>
            <w:tcW w:w="200" w:type="dxa"/>
            <w:vAlign w:val="bottom"/>
          </w:tcPr>
          <w:p>
            <w:pPr>
              <w:jc w:val="right"/>
              <w:ind w:right="44"/>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0.31</w:t>
            </w:r>
          </w:p>
        </w:tc>
        <w:tc>
          <w:tcPr>
            <w:tcW w:w="240" w:type="dxa"/>
            <w:vAlign w:val="bottom"/>
          </w:tcPr>
          <w:p>
            <w:pPr>
              <w:spacing w:after="0"/>
              <w:rPr>
                <w:sz w:val="18"/>
                <w:szCs w:val="18"/>
                <w:color w:val="auto"/>
              </w:rPr>
            </w:pPr>
          </w:p>
        </w:tc>
        <w:tc>
          <w:tcPr>
            <w:tcW w:w="260" w:type="dxa"/>
            <w:vAlign w:val="bottom"/>
          </w:tcPr>
          <w:p>
            <w:pPr>
              <w:jc w:val="right"/>
              <w:ind w:right="104"/>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0.21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340" w:type="dxa"/>
            <w:vAlign w:val="bottom"/>
            <w:tcBorders>
              <w:top w:val="single" w:sz="8" w:color="CFF0FC"/>
            </w:tcBorders>
            <w:vMerge w:val="restart"/>
            <w:shd w:val="clear" w:color="auto" w:fill="CFF0FC"/>
          </w:tcPr>
          <w:p>
            <w:pPr>
              <w:spacing w:after="0"/>
              <w:rPr>
                <w:sz w:val="20"/>
                <w:szCs w:val="20"/>
                <w:color w:val="auto"/>
              </w:rPr>
            </w:pPr>
            <w:r>
              <w:rPr>
                <w:rFonts w:ascii="Arial" w:cs="Arial" w:eastAsia="Arial" w:hAnsi="Arial"/>
                <w:sz w:val="16"/>
                <w:szCs w:val="16"/>
                <w:color w:val="auto"/>
              </w:rPr>
              <w:t>Net income per share - diluted</w:t>
            </w:r>
          </w:p>
        </w:tc>
        <w:tc>
          <w:tcPr>
            <w:tcW w:w="206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340" w:type="dxa"/>
            <w:vAlign w:val="bottom"/>
            <w:vMerge w:val="continue"/>
            <w:shd w:val="clear" w:color="auto" w:fill="CFF0FC"/>
          </w:tcPr>
          <w:p>
            <w:pPr>
              <w:spacing w:after="0"/>
              <w:rPr>
                <w:sz w:val="17"/>
                <w:szCs w:val="17"/>
                <w:color w:val="auto"/>
              </w:rPr>
            </w:pPr>
          </w:p>
        </w:tc>
        <w:tc>
          <w:tcPr>
            <w:tcW w:w="226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0.11</w:t>
            </w:r>
          </w:p>
        </w:tc>
        <w:tc>
          <w:tcPr>
            <w:tcW w:w="240" w:type="dxa"/>
            <w:vAlign w:val="bottom"/>
            <w:shd w:val="clear" w:color="auto" w:fill="CFF0FC"/>
          </w:tcPr>
          <w:p>
            <w:pPr>
              <w:spacing w:after="0"/>
              <w:rPr>
                <w:sz w:val="17"/>
                <w:szCs w:val="17"/>
                <w:color w:val="auto"/>
              </w:rPr>
            </w:pPr>
          </w:p>
        </w:tc>
        <w:tc>
          <w:tcPr>
            <w:tcW w:w="260" w:type="dxa"/>
            <w:vAlign w:val="bottom"/>
            <w:shd w:val="clear" w:color="auto" w:fill="CFF0FC"/>
          </w:tcPr>
          <w:p>
            <w:pPr>
              <w:jc w:val="right"/>
              <w:ind w:right="104"/>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0.05</w:t>
            </w:r>
          </w:p>
        </w:tc>
        <w:tc>
          <w:tcPr>
            <w:tcW w:w="240" w:type="dxa"/>
            <w:vAlign w:val="bottom"/>
            <w:shd w:val="clear" w:color="auto" w:fill="CFF0FC"/>
          </w:tcPr>
          <w:p>
            <w:pPr>
              <w:spacing w:after="0"/>
              <w:rPr>
                <w:sz w:val="17"/>
                <w:szCs w:val="17"/>
                <w:color w:val="auto"/>
              </w:rPr>
            </w:pPr>
          </w:p>
        </w:tc>
        <w:tc>
          <w:tcPr>
            <w:tcW w:w="200" w:type="dxa"/>
            <w:vAlign w:val="bottom"/>
            <w:shd w:val="clear" w:color="auto" w:fill="CFF0FC"/>
          </w:tcPr>
          <w:p>
            <w:pPr>
              <w:jc w:val="right"/>
              <w:ind w:right="44"/>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0.31</w:t>
            </w:r>
          </w:p>
        </w:tc>
        <w:tc>
          <w:tcPr>
            <w:tcW w:w="240" w:type="dxa"/>
            <w:vAlign w:val="bottom"/>
            <w:shd w:val="clear" w:color="auto" w:fill="CFF0FC"/>
          </w:tcPr>
          <w:p>
            <w:pPr>
              <w:spacing w:after="0"/>
              <w:rPr>
                <w:sz w:val="17"/>
                <w:szCs w:val="17"/>
                <w:color w:val="auto"/>
              </w:rPr>
            </w:pPr>
          </w:p>
        </w:tc>
        <w:tc>
          <w:tcPr>
            <w:tcW w:w="260" w:type="dxa"/>
            <w:vAlign w:val="bottom"/>
            <w:shd w:val="clear" w:color="auto" w:fill="CFF0FC"/>
          </w:tcPr>
          <w:p>
            <w:pPr>
              <w:jc w:val="right"/>
              <w:ind w:right="104"/>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0.21</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340" w:type="dxa"/>
            <w:vAlign w:val="bottom"/>
            <w:tcBorders>
              <w:top w:val="single" w:sz="8" w:color="CFF0FC"/>
            </w:tcBorders>
          </w:tcPr>
          <w:p>
            <w:pPr>
              <w:spacing w:after="0" w:line="20" w:lineRule="exact"/>
              <w:rPr>
                <w:sz w:val="1"/>
                <w:szCs w:val="1"/>
                <w:color w:val="auto"/>
              </w:rPr>
            </w:pPr>
          </w:p>
        </w:tc>
        <w:tc>
          <w:tcPr>
            <w:tcW w:w="206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1" w:lineRule="exact"/>
        <w:rPr>
          <w:sz w:val="20"/>
          <w:szCs w:val="20"/>
          <w:color w:val="auto"/>
        </w:rPr>
      </w:pPr>
    </w:p>
    <w:p>
      <w:pPr>
        <w:jc w:val="both"/>
        <w:spacing w:after="0" w:line="302" w:lineRule="auto"/>
        <w:rPr>
          <w:sz w:val="20"/>
          <w:szCs w:val="20"/>
          <w:color w:val="auto"/>
        </w:rPr>
      </w:pPr>
      <w:r>
        <w:rPr>
          <w:rFonts w:ascii="Arial" w:cs="Arial" w:eastAsia="Arial" w:hAnsi="Arial"/>
          <w:sz w:val="15"/>
          <w:szCs w:val="15"/>
          <w:color w:val="212529"/>
        </w:rPr>
        <w:t xml:space="preserve">These unaudited pro forma combined results of operations include certain adjustments arising from the acquisition, such as amortization of intangible assets, depreciation of property and equipment, </w:t>
      </w:r>
      <w:r>
        <w:rPr>
          <w:rFonts w:ascii="Arial" w:cs="Arial" w:eastAsia="Arial" w:hAnsi="Arial"/>
          <w:sz w:val="15"/>
          <w:szCs w:val="15"/>
          <w:color w:val="000000"/>
        </w:rPr>
        <w:t>interest expense related to NurseGrid’s previously outstanding debt, and fair value adjustments of acquired deferred revenue</w:t>
      </w:r>
      <w:r>
        <w:rPr>
          <w:rFonts w:ascii="Arial" w:cs="Arial" w:eastAsia="Arial" w:hAnsi="Arial"/>
          <w:sz w:val="15"/>
          <w:szCs w:val="15"/>
          <w:color w:val="212529"/>
        </w:rPr>
        <w:t xml:space="preserve"> </w:t>
      </w:r>
      <w:r>
        <w:rPr>
          <w:rFonts w:ascii="Arial" w:cs="Arial" w:eastAsia="Arial" w:hAnsi="Arial"/>
          <w:sz w:val="15"/>
          <w:szCs w:val="15"/>
          <w:color w:val="000000"/>
        </w:rPr>
        <w:t>balances</w:t>
      </w:r>
      <w:r>
        <w:rPr>
          <w:rFonts w:ascii="Arial" w:cs="Arial" w:eastAsia="Arial" w:hAnsi="Arial"/>
          <w:sz w:val="15"/>
          <w:szCs w:val="15"/>
          <w:color w:val="212529"/>
        </w:rPr>
        <w:t>. The unaudited pro forma combined results of operations is for informational purposes only and is not indicative of what the Company’s results of operations</w:t>
      </w:r>
      <w:r>
        <w:rPr>
          <w:rFonts w:ascii="Arial" w:cs="Arial" w:eastAsia="Arial" w:hAnsi="Arial"/>
          <w:sz w:val="15"/>
          <w:szCs w:val="15"/>
          <w:color w:val="000000"/>
        </w:rPr>
        <w:t xml:space="preserve"> </w:t>
      </w:r>
      <w:r>
        <w:rPr>
          <w:rFonts w:ascii="Arial" w:cs="Arial" w:eastAsia="Arial" w:hAnsi="Arial"/>
          <w:sz w:val="15"/>
          <w:szCs w:val="15"/>
          <w:color w:val="212529"/>
        </w:rPr>
        <w:t>would have been had the transaction occurred at the beginning of the earliest period presented or to project the Company’s results of operations in any future period.</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BUSINESS SEGMENTS</w:t>
      </w:r>
    </w:p>
    <w:p>
      <w:pPr>
        <w:spacing w:after="0" w:line="12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provides services to healthcare organizations and other members within the healthcare industry. The Company’s services are focused on the delivery of workforce development products and services (Workforce Solutions) and provider credentialing, privileging, and enrollment products and services (Provider Solutions).</w:t>
      </w:r>
    </w:p>
    <w:p>
      <w:pPr>
        <w:spacing w:after="0" w:line="76"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Company measures segment performance based on operating income before income taxes and prior to the allocation of certain corporate overhead expenses, interest income, interest expense, and depreciation. The Unallocated component below includes corporate functions, such as accounting, human resources, legal, investor relations, administrative and executive personnel, depreciation, a portion of amortization, and certain other expenses, which are not currently allocated in measuring segment performance. The following is the Company’s business segment information for the three and six months ended June 30, 2020 and 2019 and as of June 30, 2020 and December 31, 2019 (in thousands).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20" w:type="dxa"/>
            <w:vAlign w:val="bottom"/>
            <w:gridSpan w:val="6"/>
          </w:tcPr>
          <w:p>
            <w:pPr>
              <w:jc w:val="right"/>
              <w:ind w:right="740"/>
              <w:spacing w:after="0"/>
              <w:rPr>
                <w:sz w:val="20"/>
                <w:szCs w:val="20"/>
                <w:color w:val="auto"/>
              </w:rPr>
            </w:pPr>
            <w:r>
              <w:rPr>
                <w:rFonts w:ascii="Arial" w:cs="Arial" w:eastAsia="Arial" w:hAnsi="Arial"/>
                <w:sz w:val="14"/>
                <w:szCs w:val="14"/>
                <w:b w:val="1"/>
                <w:bCs w:val="1"/>
                <w:color w:val="auto"/>
              </w:rPr>
              <w:t>Three Months Ended</w:t>
            </w: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100" w:type="dxa"/>
            <w:vAlign w:val="bottom"/>
            <w:gridSpan w:val="7"/>
          </w:tcPr>
          <w:p>
            <w:pPr>
              <w:jc w:val="right"/>
              <w:ind w:right="80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1"/>
        </w:trPr>
        <w:tc>
          <w:tcPr>
            <w:tcW w:w="49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4"/>
          </w:tcPr>
          <w:p>
            <w:pPr>
              <w:jc w:val="right"/>
              <w:ind w:right="27"/>
              <w:spacing w:after="0"/>
              <w:rPr>
                <w:sz w:val="20"/>
                <w:szCs w:val="20"/>
                <w:color w:val="auto"/>
              </w:rPr>
            </w:pPr>
            <w:r>
              <w:rPr>
                <w:rFonts w:ascii="Arial" w:cs="Arial" w:eastAsia="Arial" w:hAnsi="Arial"/>
                <w:sz w:val="14"/>
                <w:szCs w:val="14"/>
                <w:b w:val="1"/>
                <w:bCs w:val="1"/>
                <w:color w:val="auto"/>
              </w:rPr>
              <w:t>June 30,</w:t>
            </w:r>
          </w:p>
        </w:tc>
        <w:tc>
          <w:tcPr>
            <w:tcW w:w="9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gridSpan w:val="3"/>
          </w:tcPr>
          <w:p>
            <w:pPr>
              <w:jc w:val="right"/>
              <w:ind w:right="67"/>
              <w:spacing w:after="0"/>
              <w:rPr>
                <w:sz w:val="20"/>
                <w:szCs w:val="20"/>
                <w:color w:val="auto"/>
              </w:rPr>
            </w:pPr>
            <w:r>
              <w:rPr>
                <w:rFonts w:ascii="Arial" w:cs="Arial" w:eastAsia="Arial" w:hAnsi="Arial"/>
                <w:sz w:val="14"/>
                <w:szCs w:val="14"/>
                <w:b w:val="1"/>
                <w:bCs w:val="1"/>
                <w:color w:val="auto"/>
              </w:rPr>
              <w:t>June 30,</w:t>
            </w:r>
          </w:p>
        </w:tc>
        <w:tc>
          <w:tcPr>
            <w:tcW w:w="8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4980" w:type="dxa"/>
            <w:vAlign w:val="bottom"/>
            <w:tcBorders>
              <w:bottom w:val="single" w:sz="8" w:color="CFF0FC"/>
            </w:tcBorders>
          </w:tcPr>
          <w:p>
            <w:pPr>
              <w:spacing w:after="0"/>
              <w:rPr>
                <w:sz w:val="20"/>
                <w:szCs w:val="20"/>
                <w:color w:val="auto"/>
              </w:rPr>
            </w:pPr>
            <w:r>
              <w:rPr>
                <w:rFonts w:ascii="Arial" w:cs="Arial" w:eastAsia="Arial" w:hAnsi="Arial"/>
                <w:sz w:val="14"/>
                <w:szCs w:val="14"/>
                <w:b w:val="1"/>
                <w:bCs w:val="1"/>
                <w:color w:val="auto"/>
              </w:rPr>
              <w:t>Revenues, net:</w:t>
            </w:r>
          </w:p>
        </w:tc>
        <w:tc>
          <w:tcPr>
            <w:tcW w:w="82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2020</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2019</w:t>
            </w:r>
          </w:p>
        </w:tc>
        <w:tc>
          <w:tcPr>
            <w:tcW w:w="80" w:type="dxa"/>
            <w:vAlign w:val="bottom"/>
            <w:tcBorders>
              <w:bottom w:val="single" w:sz="8" w:color="CFF0FC"/>
            </w:tcBorders>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gridSpan w:val="2"/>
          </w:tcPr>
          <w:p>
            <w:pPr>
              <w:jc w:val="right"/>
              <w:ind w:right="8"/>
              <w:spacing w:after="0"/>
              <w:rPr>
                <w:sz w:val="20"/>
                <w:szCs w:val="20"/>
                <w:color w:val="auto"/>
              </w:rPr>
            </w:pPr>
            <w:r>
              <w:rPr>
                <w:rFonts w:ascii="Arial" w:cs="Arial" w:eastAsia="Arial" w:hAnsi="Arial"/>
                <w:sz w:val="14"/>
                <w:szCs w:val="14"/>
                <w:b w:val="1"/>
                <w:bCs w:val="1"/>
                <w:color w:val="auto"/>
              </w:rPr>
              <w:t>2020</w:t>
            </w:r>
          </w:p>
        </w:tc>
        <w:tc>
          <w:tcPr>
            <w:tcW w:w="340" w:type="dxa"/>
            <w:vAlign w:val="bottom"/>
            <w:tcBorders>
              <w:bottom w:val="single" w:sz="8" w:color="auto"/>
            </w:tcBorders>
          </w:tcPr>
          <w:p>
            <w:pPr>
              <w:spacing w:after="0"/>
              <w:rPr>
                <w:sz w:val="19"/>
                <w:szCs w:val="19"/>
                <w:color w:val="auto"/>
              </w:rPr>
            </w:pPr>
          </w:p>
        </w:tc>
        <w:tc>
          <w:tcPr>
            <w:tcW w:w="24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2019</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9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Workforce Solutions</w:t>
            </w:r>
          </w:p>
        </w:tc>
        <w:tc>
          <w:tcPr>
            <w:tcW w:w="82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48,888</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52,422</w:t>
            </w:r>
          </w:p>
        </w:tc>
        <w:tc>
          <w:tcPr>
            <w:tcW w:w="80" w:type="dxa"/>
            <w:vAlign w:val="bottom"/>
            <w:shd w:val="clear" w:color="auto" w:fill="CFF0FC"/>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98,712</w:t>
            </w: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127"/>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106,716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8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Provider Solutions</w:t>
            </w:r>
          </w:p>
        </w:tc>
        <w:tc>
          <w:tcPr>
            <w:tcW w:w="82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11,665</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11,359</w:t>
            </w:r>
          </w:p>
        </w:tc>
        <w:tc>
          <w:tcPr>
            <w:tcW w:w="80" w:type="dxa"/>
            <w:vAlign w:val="bottom"/>
            <w:tcBorders>
              <w:bottom w:val="single" w:sz="8" w:color="CFF0FC"/>
            </w:tcBorders>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23,413</w:t>
            </w:r>
          </w:p>
        </w:tc>
        <w:tc>
          <w:tcPr>
            <w:tcW w:w="24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22,251</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980" w:type="dxa"/>
            <w:vAlign w:val="bottom"/>
            <w:tcBorders>
              <w:bottom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Total revenues, net</w:t>
            </w:r>
          </w:p>
        </w:tc>
        <w:tc>
          <w:tcPr>
            <w:tcW w:w="82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60,553</w:t>
            </w:r>
          </w:p>
        </w:tc>
        <w:tc>
          <w:tcPr>
            <w:tcW w:w="16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63,781</w:t>
            </w:r>
          </w:p>
        </w:tc>
        <w:tc>
          <w:tcPr>
            <w:tcW w:w="80" w:type="dxa"/>
            <w:vAlign w:val="bottom"/>
            <w:tcBorders>
              <w:bottom w:val="single" w:sz="8" w:color="CFF0FC"/>
            </w:tcBorders>
            <w:shd w:val="clear" w:color="auto" w:fill="CFF0FC"/>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gridSpan w:val="3"/>
            <w:shd w:val="clear" w:color="auto" w:fill="CFF0FC"/>
          </w:tcPr>
          <w:p>
            <w:pPr>
              <w:jc w:val="right"/>
              <w:spacing w:after="0"/>
              <w:rPr>
                <w:sz w:val="20"/>
                <w:szCs w:val="20"/>
                <w:color w:val="auto"/>
              </w:rPr>
            </w:pPr>
            <w:r>
              <w:rPr>
                <w:rFonts w:ascii="Arial" w:cs="Arial" w:eastAsia="Arial" w:hAnsi="Arial"/>
                <w:sz w:val="18"/>
                <w:szCs w:val="18"/>
                <w:color w:val="auto"/>
              </w:rPr>
              <w:t>122,125</w:t>
            </w:r>
          </w:p>
        </w:tc>
        <w:tc>
          <w:tcPr>
            <w:tcW w:w="24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127"/>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128,967</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980" w:type="dxa"/>
            <w:vAlign w:val="bottom"/>
            <w:vMerge w:val="restart"/>
          </w:tcPr>
          <w:p>
            <w:pPr>
              <w:spacing w:after="0"/>
              <w:rPr>
                <w:sz w:val="20"/>
                <w:szCs w:val="20"/>
                <w:color w:val="auto"/>
              </w:rPr>
            </w:pPr>
            <w:r>
              <w:rPr>
                <w:rFonts w:ascii="Arial" w:cs="Arial" w:eastAsia="Arial" w:hAnsi="Arial"/>
                <w:sz w:val="14"/>
                <w:szCs w:val="14"/>
                <w:b w:val="1"/>
                <w:bCs w:val="1"/>
                <w:color w:val="auto"/>
              </w:rPr>
              <w:t>Operating income from continuing operations:</w:t>
            </w:r>
          </w:p>
        </w:tc>
        <w:tc>
          <w:tcPr>
            <w:tcW w:w="8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980" w:type="dxa"/>
            <w:vAlign w:val="bottom"/>
            <w:vMerge w:val="continue"/>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9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Workforce Solutions</w:t>
            </w:r>
          </w:p>
        </w:tc>
        <w:tc>
          <w:tcPr>
            <w:tcW w:w="1080" w:type="dxa"/>
            <w:vAlign w:val="bottom"/>
            <w:gridSpan w:val="2"/>
            <w:shd w:val="clear" w:color="auto" w:fill="CFF0FC"/>
          </w:tcPr>
          <w:p>
            <w:pPr>
              <w:jc w:val="right"/>
              <w:ind w:right="107"/>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10,447</w:t>
            </w:r>
          </w:p>
        </w:tc>
        <w:tc>
          <w:tcPr>
            <w:tcW w:w="160" w:type="dxa"/>
            <w:vAlign w:val="bottom"/>
            <w:shd w:val="clear" w:color="auto" w:fill="CFF0FC"/>
          </w:tcPr>
          <w:p>
            <w:pPr>
              <w:spacing w:after="0"/>
              <w:rPr>
                <w:sz w:val="19"/>
                <w:szCs w:val="19"/>
                <w:color w:val="auto"/>
              </w:rPr>
            </w:pPr>
          </w:p>
        </w:tc>
        <w:tc>
          <w:tcPr>
            <w:tcW w:w="300" w:type="dxa"/>
            <w:vAlign w:val="bottom"/>
            <w:gridSpan w:val="2"/>
            <w:shd w:val="clear" w:color="auto" w:fill="CFF0FC"/>
          </w:tcPr>
          <w:p>
            <w:pPr>
              <w:jc w:val="right"/>
              <w:ind w:right="47"/>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8,890</w:t>
            </w:r>
          </w:p>
        </w:tc>
        <w:tc>
          <w:tcPr>
            <w:tcW w:w="80" w:type="dxa"/>
            <w:vAlign w:val="bottom"/>
            <w:shd w:val="clear" w:color="auto" w:fill="CFF0FC"/>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23,817</w:t>
            </w: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127"/>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20,419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80" w:type="dxa"/>
            <w:vAlign w:val="bottom"/>
          </w:tcPr>
          <w:p>
            <w:pPr>
              <w:ind w:left="260"/>
              <w:spacing w:after="0"/>
              <w:rPr>
                <w:sz w:val="20"/>
                <w:szCs w:val="20"/>
                <w:color w:val="auto"/>
              </w:rPr>
            </w:pPr>
            <w:r>
              <w:rPr>
                <w:rFonts w:ascii="Arial" w:cs="Arial" w:eastAsia="Arial" w:hAnsi="Arial"/>
                <w:sz w:val="18"/>
                <w:szCs w:val="18"/>
                <w:color w:val="auto"/>
              </w:rPr>
              <w:t>Provider Solutions</w:t>
            </w:r>
          </w:p>
        </w:tc>
        <w:tc>
          <w:tcPr>
            <w:tcW w:w="8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1,272</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1,385</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gridSpan w:val="3"/>
          </w:tcPr>
          <w:p>
            <w:pPr>
              <w:jc w:val="right"/>
              <w:spacing w:after="0"/>
              <w:rPr>
                <w:sz w:val="20"/>
                <w:szCs w:val="20"/>
                <w:color w:val="auto"/>
              </w:rPr>
            </w:pPr>
            <w:r>
              <w:rPr>
                <w:rFonts w:ascii="Arial" w:cs="Arial" w:eastAsia="Arial" w:hAnsi="Arial"/>
                <w:sz w:val="18"/>
                <w:szCs w:val="18"/>
                <w:color w:val="auto"/>
              </w:rPr>
              <w:t>2,469</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2,821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Unallocated</w:t>
            </w:r>
          </w:p>
        </w:tc>
        <w:tc>
          <w:tcPr>
            <w:tcW w:w="8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(7,415)</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(8,007)</w:t>
            </w:r>
          </w:p>
        </w:tc>
        <w:tc>
          <w:tcPr>
            <w:tcW w:w="140" w:type="dxa"/>
            <w:vAlign w:val="bottom"/>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20" w:type="dxa"/>
            <w:vAlign w:val="bottom"/>
            <w:gridSpan w:val="4"/>
            <w:shd w:val="clear" w:color="auto" w:fill="CFF0FC"/>
          </w:tcPr>
          <w:p>
            <w:pPr>
              <w:jc w:val="right"/>
              <w:ind w:right="180"/>
              <w:spacing w:after="0"/>
              <w:rPr>
                <w:sz w:val="20"/>
                <w:szCs w:val="20"/>
                <w:color w:val="auto"/>
              </w:rPr>
            </w:pPr>
            <w:r>
              <w:rPr>
                <w:rFonts w:ascii="Arial" w:cs="Arial" w:eastAsia="Arial" w:hAnsi="Arial"/>
                <w:sz w:val="18"/>
                <w:szCs w:val="18"/>
                <w:color w:val="auto"/>
              </w:rPr>
              <w:t>(14,739)</w:t>
            </w:r>
          </w:p>
        </w:tc>
        <w:tc>
          <w:tcPr>
            <w:tcW w:w="280" w:type="dxa"/>
            <w:vAlign w:val="bottom"/>
            <w:shd w:val="clear" w:color="auto" w:fill="CFF0FC"/>
          </w:tcPr>
          <w:p>
            <w:pPr>
              <w:spacing w:after="0"/>
              <w:rPr>
                <w:sz w:val="19"/>
                <w:szCs w:val="19"/>
                <w:color w:val="auto"/>
              </w:rPr>
            </w:pPr>
          </w:p>
        </w:tc>
        <w:tc>
          <w:tcPr>
            <w:tcW w:w="960" w:type="dxa"/>
            <w:vAlign w:val="bottom"/>
            <w:gridSpan w:val="3"/>
            <w:shd w:val="clear" w:color="auto" w:fill="CFF0FC"/>
          </w:tcPr>
          <w:p>
            <w:pPr>
              <w:jc w:val="right"/>
              <w:ind w:right="40"/>
              <w:spacing w:after="0"/>
              <w:rPr>
                <w:sz w:val="20"/>
                <w:szCs w:val="20"/>
                <w:color w:val="auto"/>
              </w:rPr>
            </w:pPr>
            <w:r>
              <w:rPr>
                <w:rFonts w:ascii="Arial" w:cs="Arial" w:eastAsia="Arial" w:hAnsi="Arial"/>
                <w:sz w:val="18"/>
                <w:szCs w:val="18"/>
                <w:color w:val="auto"/>
              </w:rPr>
              <w:t>(15,603)</w:t>
            </w:r>
          </w:p>
        </w:tc>
        <w:tc>
          <w:tcPr>
            <w:tcW w:w="0" w:type="dxa"/>
            <w:vAlign w:val="bottom"/>
          </w:tcPr>
          <w:p>
            <w:pPr>
              <w:spacing w:after="0"/>
              <w:rPr>
                <w:sz w:val="1"/>
                <w:szCs w:val="1"/>
                <w:color w:val="auto"/>
              </w:rPr>
            </w:pPr>
          </w:p>
        </w:tc>
      </w:tr>
      <w:tr>
        <w:trPr>
          <w:trHeight w:val="223"/>
        </w:trPr>
        <w:tc>
          <w:tcPr>
            <w:tcW w:w="4980" w:type="dxa"/>
            <w:vAlign w:val="bottom"/>
          </w:tcPr>
          <w:p>
            <w:pPr>
              <w:ind w:left="500"/>
              <w:spacing w:after="0"/>
              <w:rPr>
                <w:sz w:val="20"/>
                <w:szCs w:val="20"/>
                <w:color w:val="auto"/>
              </w:rPr>
            </w:pPr>
            <w:r>
              <w:rPr>
                <w:rFonts w:ascii="Arial" w:cs="Arial" w:eastAsia="Arial" w:hAnsi="Arial"/>
                <w:sz w:val="18"/>
                <w:szCs w:val="18"/>
                <w:color w:val="auto"/>
              </w:rPr>
              <w:t>Total operating income from continuing operations</w:t>
            </w:r>
          </w:p>
        </w:tc>
        <w:tc>
          <w:tcPr>
            <w:tcW w:w="82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4,304</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2,268</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11,547</w:t>
            </w:r>
          </w:p>
        </w:tc>
        <w:tc>
          <w:tcPr>
            <w:tcW w:w="24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127"/>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7,637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9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4980" w:type="dxa"/>
            <w:vAlign w:val="bottom"/>
          </w:tcPr>
          <w:p>
            <w:pPr>
              <w:spacing w:after="0"/>
              <w:rPr>
                <w:sz w:val="20"/>
                <w:szCs w:val="20"/>
                <w:color w:val="auto"/>
              </w:rPr>
            </w:pPr>
            <w:r>
              <w:rPr>
                <w:rFonts w:ascii="Arial" w:cs="Arial" w:eastAsia="Arial" w:hAnsi="Arial"/>
                <w:sz w:val="14"/>
                <w:szCs w:val="14"/>
                <w:b w:val="1"/>
                <w:bCs w:val="1"/>
                <w:color w:val="auto"/>
              </w:rPr>
              <w:t>Segment assets *</w:t>
            </w:r>
          </w:p>
        </w:tc>
        <w:tc>
          <w:tcPr>
            <w:tcW w:w="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40" w:type="dxa"/>
            <w:vAlign w:val="bottom"/>
            <w:tcBorders>
              <w:bottom w:val="single" w:sz="8" w:color="auto"/>
            </w:tcBorders>
            <w:gridSpan w:val="4"/>
          </w:tcPr>
          <w:p>
            <w:pPr>
              <w:jc w:val="right"/>
              <w:ind w:right="90"/>
              <w:spacing w:after="0"/>
              <w:rPr>
                <w:sz w:val="20"/>
                <w:szCs w:val="20"/>
                <w:color w:val="auto"/>
              </w:rPr>
            </w:pPr>
            <w:r>
              <w:rPr>
                <w:rFonts w:ascii="Arial" w:cs="Arial" w:eastAsia="Arial" w:hAnsi="Arial"/>
                <w:sz w:val="14"/>
                <w:szCs w:val="14"/>
                <w:b w:val="1"/>
                <w:bCs w:val="1"/>
                <w:color w:val="auto"/>
              </w:rPr>
              <w:t>June 30, 2020</w:t>
            </w:r>
          </w:p>
        </w:tc>
        <w:tc>
          <w:tcPr>
            <w:tcW w:w="260" w:type="dxa"/>
            <w:vAlign w:val="bottom"/>
            <w:tcBorders>
              <w:bottom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1700" w:type="dxa"/>
            <w:vAlign w:val="bottom"/>
            <w:tcBorders>
              <w:bottom w:val="single" w:sz="8" w:color="auto"/>
            </w:tcBorders>
            <w:gridSpan w:val="4"/>
          </w:tcPr>
          <w:p>
            <w:pPr>
              <w:jc w:val="right"/>
              <w:ind w:right="192"/>
              <w:spacing w:after="0"/>
              <w:rPr>
                <w:sz w:val="20"/>
                <w:szCs w:val="20"/>
                <w:color w:val="auto"/>
              </w:rPr>
            </w:pPr>
            <w:r>
              <w:rPr>
                <w:rFonts w:ascii="Arial" w:cs="Arial" w:eastAsia="Arial" w:hAnsi="Arial"/>
                <w:sz w:val="14"/>
                <w:szCs w:val="14"/>
                <w:b w:val="1"/>
                <w:bCs w:val="1"/>
                <w:color w:val="auto"/>
              </w:rPr>
              <w:t>December 31, 2019</w:t>
            </w:r>
          </w:p>
        </w:tc>
        <w:tc>
          <w:tcPr>
            <w:tcW w:w="12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7132320" cy="1543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29"/>
        </w:trPr>
        <w:tc>
          <w:tcPr>
            <w:tcW w:w="4600" w:type="dxa"/>
            <w:vAlign w:val="bottom"/>
          </w:tcPr>
          <w:p>
            <w:pPr>
              <w:ind w:left="260"/>
              <w:spacing w:after="0"/>
              <w:rPr>
                <w:sz w:val="20"/>
                <w:szCs w:val="20"/>
                <w:color w:val="auto"/>
              </w:rPr>
            </w:pPr>
            <w:r>
              <w:rPr>
                <w:rFonts w:ascii="Arial" w:cs="Arial" w:eastAsia="Arial" w:hAnsi="Arial"/>
                <w:sz w:val="18"/>
                <w:szCs w:val="18"/>
                <w:color w:val="auto"/>
              </w:rPr>
              <w:t>Workforce Solutions</w:t>
            </w:r>
          </w:p>
        </w:tc>
        <w:tc>
          <w:tcPr>
            <w:tcW w:w="3440" w:type="dxa"/>
            <w:vAlign w:val="bottom"/>
            <w:gridSpan w:val="2"/>
          </w:tcPr>
          <w:p>
            <w:pPr>
              <w:jc w:val="right"/>
              <w:ind w:right="41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144,065</w:t>
            </w:r>
          </w:p>
        </w:tc>
        <w:tc>
          <w:tcPr>
            <w:tcW w:w="280" w:type="dxa"/>
            <w:vAlign w:val="bottom"/>
          </w:tcPr>
          <w:p>
            <w:pPr>
              <w:spacing w:after="0"/>
              <w:rPr>
                <w:sz w:val="19"/>
                <w:szCs w:val="19"/>
                <w:color w:val="auto"/>
              </w:rPr>
            </w:pPr>
          </w:p>
        </w:tc>
        <w:tc>
          <w:tcPr>
            <w:tcW w:w="600" w:type="dxa"/>
            <w:vAlign w:val="bottom"/>
            <w:gridSpan w:val="2"/>
          </w:tcPr>
          <w:p>
            <w:pPr>
              <w:jc w:val="right"/>
              <w:ind w:right="469"/>
              <w:spacing w:after="0"/>
              <w:rPr>
                <w:sz w:val="20"/>
                <w:szCs w:val="20"/>
                <w:color w:val="auto"/>
              </w:rPr>
            </w:pPr>
            <w:r>
              <w:rPr>
                <w:rFonts w:ascii="Arial" w:cs="Arial" w:eastAsia="Arial" w:hAnsi="Arial"/>
                <w:sz w:val="15"/>
                <w:szCs w:val="15"/>
                <w:color w:val="auto"/>
                <w:w w:val="71"/>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118,382</w:t>
            </w:r>
          </w:p>
        </w:tc>
        <w:tc>
          <w:tcPr>
            <w:tcW w:w="120" w:type="dxa"/>
            <w:vAlign w:val="bottom"/>
          </w:tcPr>
          <w:p>
            <w:pPr>
              <w:spacing w:after="0"/>
              <w:rPr>
                <w:sz w:val="19"/>
                <w:szCs w:val="19"/>
                <w:color w:val="auto"/>
              </w:rPr>
            </w:pPr>
          </w:p>
        </w:tc>
      </w:tr>
      <w:tr>
        <w:trPr>
          <w:trHeight w:val="230"/>
        </w:trPr>
        <w:tc>
          <w:tcPr>
            <w:tcW w:w="4600" w:type="dxa"/>
            <w:vAlign w:val="bottom"/>
          </w:tcPr>
          <w:p>
            <w:pPr>
              <w:ind w:left="260"/>
              <w:spacing w:after="0"/>
              <w:rPr>
                <w:sz w:val="20"/>
                <w:szCs w:val="20"/>
                <w:color w:val="auto"/>
              </w:rPr>
            </w:pPr>
            <w:r>
              <w:rPr>
                <w:rFonts w:ascii="Arial" w:cs="Arial" w:eastAsia="Arial" w:hAnsi="Arial"/>
                <w:sz w:val="18"/>
                <w:szCs w:val="18"/>
                <w:color w:val="auto"/>
              </w:rPr>
              <w:t>Provider Solutions</w:t>
            </w:r>
          </w:p>
        </w:tc>
        <w:tc>
          <w:tcPr>
            <w:tcW w:w="28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141,794</w:t>
            </w: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148,398</w:t>
            </w:r>
          </w:p>
        </w:tc>
        <w:tc>
          <w:tcPr>
            <w:tcW w:w="120" w:type="dxa"/>
            <w:vAlign w:val="bottom"/>
          </w:tcPr>
          <w:p>
            <w:pPr>
              <w:spacing w:after="0"/>
              <w:rPr>
                <w:sz w:val="20"/>
                <w:szCs w:val="20"/>
                <w:color w:val="auto"/>
              </w:rPr>
            </w:pPr>
          </w:p>
        </w:tc>
      </w:tr>
      <w:tr>
        <w:trPr>
          <w:trHeight w:val="230"/>
        </w:trPr>
        <w:tc>
          <w:tcPr>
            <w:tcW w:w="46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Unallocated</w:t>
            </w:r>
          </w:p>
        </w:tc>
        <w:tc>
          <w:tcPr>
            <w:tcW w:w="2840" w:type="dxa"/>
            <w:vAlign w:val="bottom"/>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191,966</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222,764</w:t>
            </w:r>
          </w:p>
        </w:tc>
        <w:tc>
          <w:tcPr>
            <w:tcW w:w="120" w:type="dxa"/>
            <w:vAlign w:val="bottom"/>
            <w:shd w:val="clear" w:color="auto" w:fill="CFF0FC"/>
          </w:tcPr>
          <w:p>
            <w:pPr>
              <w:spacing w:after="0"/>
              <w:rPr>
                <w:sz w:val="19"/>
                <w:szCs w:val="19"/>
                <w:color w:val="auto"/>
              </w:rPr>
            </w:pPr>
          </w:p>
        </w:tc>
      </w:tr>
      <w:tr>
        <w:trPr>
          <w:trHeight w:val="223"/>
        </w:trPr>
        <w:tc>
          <w:tcPr>
            <w:tcW w:w="4600" w:type="dxa"/>
            <w:vAlign w:val="bottom"/>
          </w:tcPr>
          <w:p>
            <w:pPr>
              <w:ind w:left="500"/>
              <w:spacing w:after="0"/>
              <w:rPr>
                <w:sz w:val="20"/>
                <w:szCs w:val="20"/>
                <w:color w:val="auto"/>
              </w:rPr>
            </w:pPr>
            <w:r>
              <w:rPr>
                <w:rFonts w:ascii="Arial" w:cs="Arial" w:eastAsia="Arial" w:hAnsi="Arial"/>
                <w:sz w:val="18"/>
                <w:szCs w:val="18"/>
                <w:color w:val="auto"/>
              </w:rPr>
              <w:t>Total assets</w:t>
            </w:r>
          </w:p>
        </w:tc>
        <w:tc>
          <w:tcPr>
            <w:tcW w:w="2840" w:type="dxa"/>
            <w:vAlign w:val="bottom"/>
          </w:tcPr>
          <w:p>
            <w:pPr>
              <w:spacing w:after="0"/>
              <w:rPr>
                <w:sz w:val="19"/>
                <w:szCs w:val="19"/>
                <w:color w:val="auto"/>
              </w:rPr>
            </w:pPr>
          </w:p>
        </w:tc>
        <w:tc>
          <w:tcPr>
            <w:tcW w:w="6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477,825</w:t>
            </w:r>
          </w:p>
        </w:tc>
        <w:tc>
          <w:tcPr>
            <w:tcW w:w="2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469"/>
              <w:spacing w:after="0"/>
              <w:rPr>
                <w:sz w:val="20"/>
                <w:szCs w:val="20"/>
                <w:color w:val="auto"/>
              </w:rPr>
            </w:pPr>
            <w:r>
              <w:rPr>
                <w:rFonts w:ascii="Arial" w:cs="Arial" w:eastAsia="Arial" w:hAnsi="Arial"/>
                <w:sz w:val="10"/>
                <w:szCs w:val="10"/>
                <w:color w:val="auto"/>
                <w:w w:val="71"/>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489,544</w:t>
            </w:r>
          </w:p>
        </w:tc>
        <w:tc>
          <w:tcPr>
            <w:tcW w:w="120" w:type="dxa"/>
            <w:vAlign w:val="bottom"/>
          </w:tcPr>
          <w:p>
            <w:pPr>
              <w:spacing w:after="0"/>
              <w:rPr>
                <w:sz w:val="19"/>
                <w:szCs w:val="19"/>
                <w:color w:val="auto"/>
              </w:rPr>
            </w:pPr>
          </w:p>
        </w:tc>
      </w:tr>
      <w:tr>
        <w:trPr>
          <w:trHeight w:val="20"/>
        </w:trPr>
        <w:tc>
          <w:tcPr>
            <w:tcW w:w="460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03" w:lineRule="exact"/>
        <w:rPr>
          <w:sz w:val="20"/>
          <w:szCs w:val="20"/>
          <w:color w:val="auto"/>
        </w:rPr>
      </w:pPr>
    </w:p>
    <w:p>
      <w:pPr>
        <w:jc w:val="both"/>
        <w:ind w:left="400" w:hanging="392"/>
        <w:spacing w:after="0" w:line="238" w:lineRule="auto"/>
        <w:tabs>
          <w:tab w:leader="none" w:pos="400" w:val="left"/>
        </w:tabs>
        <w:numPr>
          <w:ilvl w:val="0"/>
          <w:numId w:val="5"/>
        </w:numPr>
        <w:rPr>
          <w:rFonts w:ascii="Arial" w:cs="Arial" w:eastAsia="Arial" w:hAnsi="Arial"/>
          <w:sz w:val="14"/>
          <w:szCs w:val="14"/>
          <w:color w:val="auto"/>
        </w:rPr>
      </w:pPr>
      <w:r>
        <w:rPr>
          <w:rFonts w:ascii="Arial" w:cs="Arial" w:eastAsia="Arial" w:hAnsi="Arial"/>
          <w:sz w:val="14"/>
          <w:szCs w:val="14"/>
          <w:color w:val="auto"/>
        </w:rPr>
        <w:t>Segment assets include accounts and unbilled receivables, prepaid and other current assets, other assets, capitalized software development, certain property and equipment, goodwill, and intangible assets. Cash and cash equivalents and marketable securities are not allocated to individual segments and are included within Unallocated. A significant portion of property and equipment assets are included within Unallocated.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229235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jc w:val="center"/>
        <w:spacing w:after="0"/>
        <w:rPr>
          <w:sz w:val="20"/>
          <w:szCs w:val="20"/>
          <w:color w:val="auto"/>
        </w:rPr>
      </w:pPr>
      <w:r>
        <w:rPr>
          <w:rFonts w:ascii="Arial" w:cs="Arial" w:eastAsia="Arial" w:hAnsi="Arial"/>
          <w:sz w:val="18"/>
          <w:szCs w:val="18"/>
          <w:b w:val="1"/>
          <w:bCs w:val="1"/>
          <w:color w:val="auto"/>
        </w:rPr>
        <w:t>HEALTHSTREAM,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DISCONTINUED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Patient Experience</w:t>
      </w:r>
    </w:p>
    <w:p>
      <w:pPr>
        <w:spacing w:after="0" w:line="11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On February 12, 2018, the Company divested its PX business to Press Ganey for $65.2 million in cash (after giving effect to the post-closing working capital adjustment), resulting in a gain, net of tax, of $20.5 million, of which $19.0 million was recorded during the year ended December 31, 2018 and $1.5 million was recorded during the year ended December 31, 2019. This sale of the PX business resulted in the Company’s divestiture of the Company’s patient experience solutions business segment. The Company has classified this gain on the sale of the PX business as discontinued operations in its Condensed Consolidated Statement of Income for the six months ended June 30, 2019. Our results for the three months ended June 30, 2020 and 2019 and for the six months ended June 30, 2020 do not include any discontinued operations.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DEBT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Revolving Credit Facility</w:t>
      </w:r>
    </w:p>
    <w:p>
      <w:pPr>
        <w:spacing w:after="0" w:line="117"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On December 31, 2018, the Company entered into a Second Amendment to its Revolving Credit Agreement, dated as of November 24, 2014 (as amended, the “Revolving Credit Facility”), with SunTrust Bank (“SunTrust”), which extended the maturity date to November 24, 2020. Under the Revolving Credit Facility, the Company may borrow up to $50.0 million, which includes a $5.0 million swing line sub-facility and a $5.0 million letter of credit sub-facility, as well as an accordion feature that allows the Company to increase the Revolving Credit Facility by a total of up to $25.0 million, subject to securing additional commitments from existing lenders or new lending institutions. The obligations under the Revolving Credit Facility are guaranteed by each of the Company’s subsidiaries. At the Company’s election, the borrowings under the Revolving Credit Facility bear interest at either (1) a rate per annum equal to the highest of SunTrust’s prime rate or 0.5% in excess of the Federal Funds Rate or 1.0% in excess of one-month LIBOR (the “Base Rate”), plus an applicable margin, or</w:t>
      </w:r>
    </w:p>
    <w:p>
      <w:pPr>
        <w:spacing w:after="0" w:line="2" w:lineRule="exact"/>
        <w:rPr>
          <w:sz w:val="20"/>
          <w:szCs w:val="20"/>
          <w:color w:val="auto"/>
        </w:rPr>
      </w:pPr>
    </w:p>
    <w:p>
      <w:pPr>
        <w:jc w:val="both"/>
        <w:ind w:firstLine="8"/>
        <w:spacing w:after="0" w:line="290" w:lineRule="auto"/>
        <w:tabs>
          <w:tab w:leader="none" w:pos="251"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one, two, three, or six month per annum LIBOR for deposits in the applicable currency (the “Eurocurrency Rate”), as selected by the Company, plus an applicable margin. The applicable margin for Eurocurrency Rate loans depends on the Company’s funded debt leverage ratio and varies from 1.50% to 2.00%. The applicable margin for Base Rate loans depends on the Company’s funded debt leverage ratio and varies from 0.50% to 1.50%. Commitment fees and letter of credit fees are also payable under the Revolving Credit Facility. Principal is payable in full at maturity on November 24, 2020, and there are no scheduled principal payments prior to maturity. The Company is required to pay a commitment fee ranging between 20 and 30 basis points per annum of the average daily unused portion of the Revolving Credit Facility, depending on the Company’s funded debt leverage ratio.</w:t>
      </w:r>
    </w:p>
    <w:p>
      <w:pPr>
        <w:spacing w:after="0" w:line="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purpose of the Revolving Credit Facility is for general working capital needs, permitted acquisitions (as defined in the Revolving Credit Facility), and for stock repurchase and/or redemption transactions that the Company may authorize.</w:t>
      </w:r>
    </w:p>
    <w:p>
      <w:pPr>
        <w:spacing w:after="0" w:line="6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Revolving Credit Facility contains certain covenants that, among other things, restrict additional indebtedness, liens and encumbrances, changes to the character of the Company’s business, acquisitions, asset dispositions, mergers and consolidations, sale or discount of receivables, creation or acquisitions of additional subsidiaries, and other matters customarily restricted in such agreements.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In addition, the Revolving Credit Facility requires the Company to meet certain financial tests, including, without limitation:</w:t>
      </w:r>
    </w:p>
    <w:p>
      <w:pPr>
        <w:spacing w:after="0" w:line="117" w:lineRule="exact"/>
        <w:rPr>
          <w:sz w:val="20"/>
          <w:szCs w:val="20"/>
          <w:color w:val="auto"/>
        </w:rPr>
      </w:pPr>
    </w:p>
    <w:p>
      <w:pPr>
        <w:ind w:left="400" w:hanging="392"/>
        <w:spacing w:after="0"/>
        <w:tabs>
          <w:tab w:leader="none" w:pos="400" w:val="left"/>
        </w:tabs>
        <w:numPr>
          <w:ilvl w:val="0"/>
          <w:numId w:val="7"/>
        </w:numPr>
        <w:rPr>
          <w:rFonts w:ascii="Arial" w:cs="Arial" w:eastAsia="Arial" w:hAnsi="Arial"/>
          <w:sz w:val="18"/>
          <w:szCs w:val="18"/>
          <w:color w:val="auto"/>
        </w:rPr>
      </w:pPr>
      <w:r>
        <w:rPr>
          <w:rFonts w:ascii="Arial" w:cs="Arial" w:eastAsia="Arial" w:hAnsi="Arial"/>
          <w:sz w:val="18"/>
          <w:szCs w:val="18"/>
          <w:color w:val="auto"/>
        </w:rPr>
        <w:t>a funded debt leverage ratio (consolidated debt/consolidated EBITDA) of not greater than 3.0 to 1.0; and</w:t>
      </w:r>
    </w:p>
    <w:p>
      <w:pPr>
        <w:spacing w:after="0" w:line="117" w:lineRule="exact"/>
        <w:rPr>
          <w:rFonts w:ascii="Arial" w:cs="Arial" w:eastAsia="Arial" w:hAnsi="Arial"/>
          <w:sz w:val="18"/>
          <w:szCs w:val="18"/>
          <w:color w:val="auto"/>
        </w:rPr>
      </w:pPr>
    </w:p>
    <w:p>
      <w:pPr>
        <w:ind w:left="400" w:hanging="392"/>
        <w:spacing w:after="0"/>
        <w:tabs>
          <w:tab w:leader="none" w:pos="400" w:val="left"/>
        </w:tabs>
        <w:numPr>
          <w:ilvl w:val="0"/>
          <w:numId w:val="7"/>
        </w:numPr>
        <w:rPr>
          <w:rFonts w:ascii="Arial" w:cs="Arial" w:eastAsia="Arial" w:hAnsi="Arial"/>
          <w:sz w:val="18"/>
          <w:szCs w:val="18"/>
          <w:color w:val="auto"/>
        </w:rPr>
      </w:pPr>
      <w:r>
        <w:rPr>
          <w:rFonts w:ascii="Arial" w:cs="Arial" w:eastAsia="Arial" w:hAnsi="Arial"/>
          <w:sz w:val="18"/>
          <w:szCs w:val="18"/>
          <w:color w:val="auto"/>
        </w:rPr>
        <w:t>an interest coverage ratio (consolidated EBITDA/consolidated interest expense) of not less than 3.0 to 1.0.</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June 30, 2020, the Company was in compliance with all covenants. There were no balances outstanding on the Revolving Credit Facility as of or during the three and six months ended June 30, 2020.</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NON-MARKETABLE EQUITY INVESTMENTS</w:t>
      </w:r>
    </w:p>
    <w:p>
      <w:pPr>
        <w:spacing w:after="0" w:line="121"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 xml:space="preserve">Non-marketable equity investments where the Company is not able to exercise significant influence over the investee are accounted for using the measurement alternative for equity investments that do not have readily determinable fair values. ASU 2016-01, </w:t>
      </w:r>
      <w:r>
        <w:rPr>
          <w:rFonts w:ascii="Arial" w:cs="Arial" w:eastAsia="Arial" w:hAnsi="Arial"/>
          <w:sz w:val="16"/>
          <w:szCs w:val="16"/>
          <w:i w:val="1"/>
          <w:iCs w:val="1"/>
          <w:color w:val="auto"/>
        </w:rPr>
        <w:t>Financial Instruments – Overall (Subtopic</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825-10) </w:t>
      </w:r>
      <w:r>
        <w:rPr>
          <w:rFonts w:ascii="Arial" w:cs="Arial" w:eastAsia="Arial" w:hAnsi="Arial"/>
          <w:sz w:val="16"/>
          <w:szCs w:val="16"/>
          <w:color w:val="auto"/>
        </w:rPr>
        <w:t>requires equity investments (except those accounted for under the equity method of accounting or those that result in consolidation of the investee)</w:t>
      </w:r>
      <w:r>
        <w:rPr>
          <w:rFonts w:ascii="Arial" w:cs="Arial" w:eastAsia="Arial" w:hAnsi="Arial"/>
          <w:sz w:val="16"/>
          <w:szCs w:val="16"/>
          <w:i w:val="1"/>
          <w:iCs w:val="1"/>
          <w:color w:val="auto"/>
        </w:rPr>
        <w:t xml:space="preserve"> </w:t>
      </w:r>
      <w:r>
        <w:rPr>
          <w:rFonts w:ascii="Arial" w:cs="Arial" w:eastAsia="Arial" w:hAnsi="Arial"/>
          <w:sz w:val="16"/>
          <w:szCs w:val="16"/>
          <w:color w:val="auto"/>
        </w:rPr>
        <w:t>to be measured at fair value with changes in fair value recognized in net income. The aggregate carrying amount of all non-marketable equity investments accounted for using the measurement alternative was $2.1 million and $4.5 million as of June 30, 2020 and December 31, 2019, respectively, which carrying value we evaluate for impairment at each reporting period. During the six months ended June 30, 2020, the Company recorded a $1.2 million upward adjustment to the carrying value of our non-marketable equity investment in NurseGrid due to a change in fair value based on the consideration paid upon the Company’s acquisition of NurseGrid on March 9, 2020 (see Note 8). Cumulatively, the Company has recorded $0.1 million in downward adjustments to the carrying value of non-marketable equity investments. Such is the combination of cumulative downward adjustments of $1.3 million offset by</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229235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jc w:val="center"/>
        <w:spacing w:after="0"/>
        <w:rPr>
          <w:sz w:val="20"/>
          <w:szCs w:val="20"/>
          <w:color w:val="auto"/>
        </w:rPr>
      </w:pPr>
      <w:r>
        <w:rPr>
          <w:rFonts w:ascii="Arial" w:cs="Arial" w:eastAsia="Arial" w:hAnsi="Arial"/>
          <w:sz w:val="18"/>
          <w:szCs w:val="18"/>
          <w:b w:val="1"/>
          <w:bCs w:val="1"/>
          <w:color w:val="auto"/>
        </w:rPr>
        <w:t>HEALTHSTREAM,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33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cumulative upward adjustments of $1.2 million. These adjustments are the result of changes in fair value based on observable prices from orderly transactions for similar investments made in investees. The fair value of non-marketable equity investments is not estimated if there are no identified events or changes in circumstances that may have a significant adverse effect on the fair value of the investment.</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CONTRACTUAL ADJUSTMENT</w:t>
      </w:r>
    </w:p>
    <w:p>
      <w:pPr>
        <w:spacing w:after="0" w:line="121"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212529"/>
        </w:rPr>
        <w:t>In June 2018, a contract with one of our royalty partners expired and was not renewed. However, the contract required continued royalty payments for any subscriptions that extended beyond the contract termination date. Following the contract termination, there was a mutual disagreement related to various elements of this past partnership, and the Company accrued but did not pay royalties to the partner following the contract expiration. During the first quarter of 2020, the Company received a release of liability from the partner associated with this contract, resulting in no royalties to be paid to the partner. The de-recognition of this royalty liability and related expense was recorded as a $3.4 million reduction to cost of revenues in the first quarter of 2020.</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229235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ind w:right="4140"/>
        <w:spacing w:after="0" w:line="279" w:lineRule="exact"/>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Management's Discussion and Analysis of Financial Condition and Results of Operations</w:t>
      </w:r>
      <w:r>
        <w:rPr>
          <w:rFonts w:ascii="Arial" w:cs="Arial" w:eastAsia="Arial" w:hAnsi="Arial"/>
          <w:sz w:val="18"/>
          <w:szCs w:val="18"/>
          <w:b w:val="1"/>
          <w:bCs w:val="1"/>
          <w:color w:val="auto"/>
        </w:rPr>
        <w:t xml:space="preserve"> Special Cautionary Notice Regarding Forward</w:t>
      </w:r>
      <w:r>
        <w:rPr>
          <w:rFonts w:ascii="MS PGothic" w:cs="MS PGothic" w:eastAsia="MS PGothic" w:hAnsi="MS PGothic"/>
          <w:sz w:val="18"/>
          <w:szCs w:val="18"/>
          <w:b w:val="1"/>
          <w:bCs w:val="1"/>
          <w:color w:val="auto"/>
        </w:rPr>
        <w:t>‑</w:t>
      </w:r>
      <w:r>
        <w:rPr>
          <w:rFonts w:ascii="Arial" w:cs="Arial" w:eastAsia="Arial" w:hAnsi="Arial"/>
          <w:sz w:val="18"/>
          <w:szCs w:val="18"/>
          <w:b w:val="1"/>
          <w:bCs w:val="1"/>
          <w:color w:val="auto"/>
        </w:rPr>
        <w:t>Looking Statements</w:t>
      </w:r>
    </w:p>
    <w:p>
      <w:pPr>
        <w:spacing w:after="0" w:line="9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You should read the following discussion and analysis in conjunction with our Condensed Consolidated Financial Statements and related notes included elsewhere in this report and our audited Consolidated Financial Statements and the notes thereto for the year ended December 31, 2019, appearing in our Annual Report on Form 10-K that was filed with the Securities and Exchange Commission (“SEC”) on February 26, 2020 (the “2019 Form 10-K”). Statements contained in this Quarterly Report on Form 10-Q that are not historical facts are forward-looking statements that the Company intends to be covered by the safe harbor provisions for forward-looking statements contained in the Private Securities Litigation Reform Act of 1995. Statements that are predictive in nature, that depend on or refer to future events or conditions, or that include words such as “anticipates,” “believes,” “could,” “estimates,” “expects,” “intends,” “may,” “plans,” “potential,” “predicts,” “ projects,” “should,” “will,” “would,” and similar expressions are forward-looking statements.</w:t>
      </w:r>
    </w:p>
    <w:p>
      <w:pPr>
        <w:spacing w:after="0" w:line="5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Company cautions that forward-looking statements involve known and unknown risks, uncertainties, and other factors that may cause actual results, performance, or achievements to be materially different from any future results, performance, or achievements expressed or implied by the forward-looking statements. Forward-looking statements reflect our current views with respect to future events and are based on assumptions and subject to risks and uncertainties. Given these uncertainties, you should not place undue reliance on these forward-looking statements.</w:t>
      </w:r>
    </w:p>
    <w:p>
      <w:pPr>
        <w:spacing w:after="0" w:line="63"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In evaluating any forward-looking statement, you should specifically consider the information regarding forward-looking statements and the information set forth under the caption Part II, Item 1A. Risk Factors in this Quarterly Report and under the caption Part I, Item 1A. Risk Factors in our 2019 Form 10-K and the information regarding forward-looking statements and other disclosures in our 2019 Form 10-K, earnings releases, and other filings with the SEC from time to time, as well as other cautionary statements contained elsewhere in this report, including the matters discussed in “Critical Accounting Policies and Estimates.” We undertake no obligation beyond that required by law to update publicly any forward-looking statements for any reason, even if new information becomes available or other events occur in the future. You should read this report and the documents that we reference in this report and have filed as exhibits to this report completely and with the understanding that our actual future results may be materially different from what we currently expect.</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Overview</w:t>
      </w:r>
    </w:p>
    <w:p>
      <w:pPr>
        <w:spacing w:after="0" w:line="12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HealthStream provides workforce and provider solutions for healthcare organizations—all designed to assess and develop the people that deliver patient care, which, in turn, supports the improvement of business and clinical outcomes. Workforce Solutions products are used by healthcare organizations to meet a broad range of their clinical development, talent management, training, certification, competency assessment, and performance appraisal needs. Provider Solutions products are used by healthcare organizations for provider credentialing, privileging, and enrollment needs. HealthStream’s customers include healthcare organizations, pharmaceutical and medical device companies, and other participants in the healthcare industry. At June 30, 2020, we had approximately 3.48 million contracted subscriptions to hStream</w:t>
      </w:r>
      <w:r>
        <w:rPr>
          <w:rFonts w:ascii="Arial" w:cs="Arial" w:eastAsia="Arial" w:hAnsi="Arial"/>
          <w:sz w:val="15"/>
          <w:szCs w:val="15"/>
          <w:color w:val="auto"/>
        </w:rPr>
        <w:t>TM</w:t>
      </w:r>
      <w:r>
        <w:rPr>
          <w:rFonts w:ascii="Arial" w:cs="Arial" w:eastAsia="Arial" w:hAnsi="Arial"/>
          <w:sz w:val="18"/>
          <w:szCs w:val="18"/>
          <w:color w:val="auto"/>
        </w:rPr>
        <w:t>, our Platform-as-a-Service technology. hStream technology enables healthcare organizations and their respective workforces to easily connect to and gain value from the growing HealthStream ecosystem of applications, tools, and content.</w:t>
      </w:r>
    </w:p>
    <w:p>
      <w:pPr>
        <w:spacing w:after="0" w:line="84"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On February 12, 2018, the Company divested its Patient Experience (“PX”) business to Press Ganey for $65.2 million in cash (after giving effect to the post-closing adjustment). Prior to the disposition of the PX business, our Patient Experience Solutions products provided our customers information about patients’ experiences and how to improve them, workforce engagement, physician relations, and community perceptions of their services. The gain on sale of the PX business recorded in prior periods are reflected in the Company’s Consolidated Financial Statements as discontinued operations for the six months ended June 30, 2019. Our results for the three months ended June 30, 2020 and 2019 and for the six months ended June 30, 2020 do not include any discontinued operations. Except where otherwise noted herein, our results for the six months ended June 30, 2020 and 2019 are presented on a continuing operations basis. This sale of the PX business resulted in the Company’s divestiture of the patient experience solutions business segment.</w:t>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Significant financial metrics for the second quarter of 2020 are set forth in the bullets below.</w:t>
      </w:r>
    </w:p>
    <w:p>
      <w:pPr>
        <w:ind w:left="400" w:hanging="392"/>
        <w:spacing w:after="0" w:line="183" w:lineRule="auto"/>
        <w:tabs>
          <w:tab w:leader="none" w:pos="400" w:val="left"/>
        </w:tabs>
        <w:numPr>
          <w:ilvl w:val="0"/>
          <w:numId w:val="8"/>
        </w:numPr>
        <w:rPr>
          <w:rFonts w:ascii="Arial" w:cs="Arial" w:eastAsia="Arial" w:hAnsi="Arial"/>
          <w:sz w:val="26"/>
          <w:szCs w:val="26"/>
          <w:color w:val="auto"/>
        </w:rPr>
      </w:pPr>
      <w:r>
        <w:rPr>
          <w:rFonts w:ascii="Arial" w:cs="Arial" w:eastAsia="Arial" w:hAnsi="Arial"/>
          <w:sz w:val="17"/>
          <w:szCs w:val="17"/>
          <w:color w:val="auto"/>
        </w:rPr>
        <w:t>Revenues of $60.6 million in the second quarter of 2020, down 5% from $63.8 million in the second quarter of 2019</w:t>
      </w:r>
    </w:p>
    <w:p>
      <w:pPr>
        <w:ind w:left="400" w:hanging="392"/>
        <w:spacing w:after="0" w:line="186" w:lineRule="auto"/>
        <w:tabs>
          <w:tab w:leader="none" w:pos="400" w:val="left"/>
        </w:tabs>
        <w:numPr>
          <w:ilvl w:val="0"/>
          <w:numId w:val="8"/>
        </w:numPr>
        <w:rPr>
          <w:rFonts w:ascii="Arial" w:cs="Arial" w:eastAsia="Arial" w:hAnsi="Arial"/>
          <w:sz w:val="24"/>
          <w:szCs w:val="24"/>
          <w:color w:val="auto"/>
        </w:rPr>
      </w:pPr>
      <w:r>
        <w:rPr>
          <w:rFonts w:ascii="Arial" w:cs="Arial" w:eastAsia="Arial" w:hAnsi="Arial"/>
          <w:sz w:val="16"/>
          <w:szCs w:val="16"/>
          <w:color w:val="auto"/>
        </w:rPr>
        <w:t>Operating income of $4.3 million in the second quarter of 2020 compared to $2.3 million in the second quarter of 2019</w:t>
      </w:r>
    </w:p>
    <w:p>
      <w:pPr>
        <w:spacing w:after="0" w:line="66" w:lineRule="exact"/>
        <w:rPr>
          <w:rFonts w:ascii="Arial" w:cs="Arial" w:eastAsia="Arial" w:hAnsi="Arial"/>
          <w:sz w:val="24"/>
          <w:szCs w:val="24"/>
          <w:color w:val="auto"/>
        </w:rPr>
      </w:pPr>
    </w:p>
    <w:p>
      <w:pPr>
        <w:ind w:left="400" w:hanging="392"/>
        <w:spacing w:after="0" w:line="185" w:lineRule="auto"/>
        <w:tabs>
          <w:tab w:leader="none" w:pos="400" w:val="left"/>
        </w:tabs>
        <w:numPr>
          <w:ilvl w:val="0"/>
          <w:numId w:val="8"/>
        </w:numPr>
        <w:rPr>
          <w:rFonts w:ascii="Arial" w:cs="Arial" w:eastAsia="Arial" w:hAnsi="Arial"/>
          <w:sz w:val="26"/>
          <w:szCs w:val="26"/>
          <w:color w:val="auto"/>
        </w:rPr>
      </w:pPr>
      <w:r>
        <w:rPr>
          <w:rFonts w:ascii="Arial" w:cs="Arial" w:eastAsia="Arial" w:hAnsi="Arial"/>
          <w:sz w:val="17"/>
          <w:szCs w:val="17"/>
          <w:color w:val="auto"/>
        </w:rPr>
        <w:t>Net income of $3.4 million in the second quarter of 2020, up 43% from $2.4 million in the second quarter of 2019</w:t>
      </w:r>
    </w:p>
    <w:p>
      <w:pPr>
        <w:spacing w:after="0" w:line="66" w:lineRule="exact"/>
        <w:rPr>
          <w:rFonts w:ascii="Arial" w:cs="Arial" w:eastAsia="Arial" w:hAnsi="Arial"/>
          <w:sz w:val="26"/>
          <w:szCs w:val="26"/>
          <w:color w:val="auto"/>
        </w:rPr>
      </w:pPr>
    </w:p>
    <w:p>
      <w:pPr>
        <w:ind w:left="400" w:right="20" w:hanging="392"/>
        <w:spacing w:after="0" w:line="194" w:lineRule="auto"/>
        <w:tabs>
          <w:tab w:leader="none" w:pos="400" w:val="left"/>
        </w:tabs>
        <w:numPr>
          <w:ilvl w:val="0"/>
          <w:numId w:val="8"/>
        </w:numPr>
        <w:rPr>
          <w:rFonts w:ascii="Arial" w:cs="Arial" w:eastAsia="Arial" w:hAnsi="Arial"/>
          <w:sz w:val="27"/>
          <w:szCs w:val="27"/>
          <w:color w:val="auto"/>
        </w:rPr>
      </w:pPr>
      <w:r>
        <w:rPr>
          <w:rFonts w:ascii="Arial" w:cs="Arial" w:eastAsia="Arial" w:hAnsi="Arial"/>
          <w:sz w:val="18"/>
          <w:szCs w:val="18"/>
          <w:color w:val="auto"/>
        </w:rPr>
        <w:t>Earnings per share (EPS) of $0.11 per share (diluted) in the second quarter of 2020 compared to EPS of $0.07 per share (diluted) in the second quarter of 2019</w:t>
      </w:r>
    </w:p>
    <w:p>
      <w:pPr>
        <w:spacing w:after="0" w:line="1" w:lineRule="exact"/>
        <w:rPr>
          <w:rFonts w:ascii="Arial" w:cs="Arial" w:eastAsia="Arial" w:hAnsi="Arial"/>
          <w:sz w:val="27"/>
          <w:szCs w:val="27"/>
          <w:color w:val="auto"/>
        </w:rPr>
      </w:pPr>
    </w:p>
    <w:p>
      <w:pPr>
        <w:ind w:left="400" w:hanging="392"/>
        <w:spacing w:after="0" w:line="229" w:lineRule="auto"/>
        <w:tabs>
          <w:tab w:leader="none" w:pos="400" w:val="left"/>
        </w:tabs>
        <w:numPr>
          <w:ilvl w:val="0"/>
          <w:numId w:val="8"/>
        </w:numPr>
        <w:rPr>
          <w:rFonts w:ascii="Arial" w:cs="Arial" w:eastAsia="Arial" w:hAnsi="Arial"/>
          <w:sz w:val="27"/>
          <w:szCs w:val="27"/>
          <w:color w:val="auto"/>
        </w:rPr>
      </w:pPr>
      <w:r>
        <w:rPr>
          <w:rFonts w:ascii="Arial" w:cs="Arial" w:eastAsia="Arial" w:hAnsi="Arial"/>
          <w:sz w:val="18"/>
          <w:szCs w:val="18"/>
          <w:color w:val="auto"/>
        </w:rPr>
        <w:t>Adjusted EBITDA</w:t>
      </w:r>
      <w:r>
        <w:rPr>
          <w:rFonts w:ascii="Arial" w:cs="Arial" w:eastAsia="Arial" w:hAnsi="Arial"/>
          <w:sz w:val="13"/>
          <w:szCs w:val="13"/>
          <w:color w:val="auto"/>
        </w:rPr>
        <w:t>1</w:t>
      </w:r>
      <w:r>
        <w:rPr>
          <w:rFonts w:ascii="Arial" w:cs="Arial" w:eastAsia="Arial" w:hAnsi="Arial"/>
          <w:sz w:val="18"/>
          <w:szCs w:val="18"/>
          <w:color w:val="auto"/>
        </w:rPr>
        <w:t xml:space="preserve"> of $12.0 million in the second quarter of 2020, up 2% from $11.8 million in the second quarter of 2019</w:t>
      </w:r>
    </w:p>
    <w:p>
      <w:pPr>
        <w:spacing w:after="0" w:line="77" w:lineRule="exact"/>
        <w:rPr>
          <w:sz w:val="20"/>
          <w:szCs w:val="20"/>
          <w:color w:val="auto"/>
        </w:rPr>
      </w:pPr>
    </w:p>
    <w:p>
      <w:pPr>
        <w:ind w:left="400" w:hanging="392"/>
        <w:spacing w:after="0" w:line="181" w:lineRule="auto"/>
        <w:tabs>
          <w:tab w:leader="none" w:pos="400" w:val="left"/>
        </w:tabs>
        <w:numPr>
          <w:ilvl w:val="0"/>
          <w:numId w:val="9"/>
        </w:numPr>
        <w:rPr>
          <w:rFonts w:ascii="Arial" w:cs="Arial" w:eastAsia="Arial" w:hAnsi="Arial"/>
          <w:sz w:val="26"/>
          <w:szCs w:val="26"/>
          <w:color w:val="auto"/>
          <w:vertAlign w:val="subscript"/>
        </w:rPr>
      </w:pPr>
      <w:r>
        <w:rPr>
          <w:rFonts w:ascii="Arial" w:cs="Arial" w:eastAsia="Arial" w:hAnsi="Arial"/>
          <w:sz w:val="12"/>
          <w:szCs w:val="12"/>
          <w:color w:val="auto"/>
        </w:rPr>
        <w:t>Adjusted EBITDA is a non-GAAP financial measure. A reconciliation of adjusted EBITDA to net income and disclosure regarding why we believe adjusted EBITDA provides useful information to investors is included later in this report.</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229235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19" w:name="page20"/>
    <w:bookmarkEnd w:id="19"/>
    <w:p>
      <w:pPr>
        <w:jc w:val="both"/>
        <w:spacing w:after="0" w:line="291" w:lineRule="auto"/>
        <w:rPr>
          <w:sz w:val="20"/>
          <w:szCs w:val="20"/>
          <w:color w:val="auto"/>
        </w:rPr>
      </w:pPr>
      <w:r>
        <w:rPr>
          <w:rFonts w:ascii="Arial" w:cs="Arial" w:eastAsia="Arial" w:hAnsi="Arial"/>
          <w:sz w:val="16"/>
          <w:szCs w:val="16"/>
          <w:color w:val="212529"/>
        </w:rPr>
        <w:t>During the second quarter of 2019, Robert A. Frist, Jr. contributed 78,520 of his personally owned shares of common stock (with a value of $2.0 million) to the Company for the benefit of HealthStream employees, without any consideration paid to Mr. Frist. In connection therewith, the Company approved the grant of the same number of shares under its 2016 Omnibus Incentive Plan to approximately 820 of its employees. These shares were issued in July 2019. Mr. Frist also contributed an additional 7,852 of his personally owned shares to cover the Company’s costs associated with such grants, such as administrative expenses and employer payroll taxes. Together, these grants resulted in the Company recognizing approximately $2.0 million stock based compensation expense and $0.2 million payroll tax expense in the second quarter of 2019. The only shareholder who was diluted from these transactions was Mr. Frist. See Note 5 to the Condensed Consolidated Financial Statements, included within this report, for additional information.</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 of and Response to COVID-19 Pandemic</w:t>
      </w:r>
    </w:p>
    <w:p>
      <w:pPr>
        <w:spacing w:after="0" w:line="12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COVID-19 pandemic has resulted in authorities throughout the United States and the world implementing widespread measures attempting to contain the spread and impact of COVID-19, such as travel bans and restrictions, quarantines, shelter-in-place orders, the promotion of social distancing, and limitations on business activity. These measures and the pandemic have caused a significant economic downturn in the United States and globally, resulted in increased unemployment and underemployment levels, and have adversely impacted consumer confidence and spending. Moreover, differing approaches among governmental authorities in the United States regarding whether and how to begin lifting shelter-in-place and business restriction orders have caused additional uncertainty. Additionally, some governmental authorities have reinstated previously relaxed restrictions due to a recent rise in diagnosed cases of COVID-19 in many regions of the United States. This pandemic has also led to significant disruption and volatility in financial and capital markets.</w:t>
      </w:r>
    </w:p>
    <w:p>
      <w:pPr>
        <w:spacing w:after="0" w:line="5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Our business is focused on providing workforce and provider solutions to healthcare organizations, such that the pandemic’s adverse impact on healthcare organizations has resulted in an adverse impact on our Company. Although we believe that COVID-19 did not have a significant negative impact on our revenues or net income during the first six months of 2020, certain developments related to COVID-19 have negatively impacted, and are expected to continue to negatively impact, our business this year and potentially longer, as described below.</w:t>
      </w:r>
    </w:p>
    <w:p>
      <w:pPr>
        <w:spacing w:after="0" w:line="63"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Our operating income for the second quarter of 2020 benefited from a temporary reduction of operating expenses related to COVID-19 conditions, but the operating expense reduction itself—despite its positive impact on operating income in the quarter—is indicative of the negative impact the pandemic is having on sales. We have experienced, and expect to continue to experience, delayed and reduced sales volumes due to the pandemic. Given that we sell multiple year subscriptions to our solutions, the revenue impact of lost or delayed sales in a given period generally does not manifest until future periods, just as the revenue we recognize in a given period is generally the result of sales from a prior period. Since mid-March, our sales team has been unable to travel and conduct onsite sales meetings with existing or prospective customers, and we have also cancelled tradeshows. While operating income benefitted from a $1.1 million reduction in operating expense related to the discontinuance of travel and a $0.2 million reduction in operating expenses related to the cancellation of tradeshows during the second quarter of 2020 compared to the same period last year, the practical implication was the loss of sales opportunities that would have likely converted to revenue in future periods.</w:t>
      </w:r>
    </w:p>
    <w:p>
      <w:pPr>
        <w:spacing w:after="0" w:line="7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extent, timing, and duration of the impacts of the COVID-19 pandemic on our business remain uncertain, and will depend upon, among other things, the length and severity of the pandemic, particularly with respect to the pandemic’s ongoing impact on healthcare organizations.</w:t>
      </w:r>
    </w:p>
    <w:p>
      <w:pPr>
        <w:spacing w:after="0" w:line="6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continue to closely monitor developments related to COVID-19 that may have an adverse impact on our operational and financial performance. We also continue to take actions focused on the safety and well-being of our employees, assisting our customers in this time of need, and mitigating operational and financial impacts to our business. We intend to continue serving our customers both in their battle to defeat the coronavirus and across the continuum of their other workforce and provider solution needs.</w:t>
      </w:r>
    </w:p>
    <w:p>
      <w:pPr>
        <w:spacing w:after="0" w:line="79"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In February of this year, our customers began using our proprietary technology platform to author and deliver COVID-19 training and education courses to their staff as they began to prepare for caring for COVID-19 patients. In March, we made available to all caregivers, free of charge, a curated library of proprietary content and to our customers, a bundle of cross-training courses to further their staff’s preparation to deliver safe and effective care to COVID-19 patients. This has resulted in approximately 2.2 million course completions related to COVID-19 through June 30, 2020, including courses self-authored by customers and proprietary courses, over our technology platform. Additionally, as previously announced, HealthStream, in partnership with the State of Tennessee Office of the Governor, is providing its COVID-19 Rapid Response Program, which includes training bundles and its workforce platform, along with other workforce resources to support the state’s efforts to rapidly train new, returning, and current caregivers who are volunteering to work in Alternate Healthcare Facilities being set-up across the state. This COVID-19 Rapid Response Program continues to be provided free of charge.</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229235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63" w:right="339" w:bottom="1440" w:gutter="0" w:footer="0" w:header="0"/>
        </w:sectPr>
      </w:pPr>
    </w:p>
    <w:bookmarkStart w:id="20" w:name="page21"/>
    <w:bookmarkEnd w:id="20"/>
    <w:p>
      <w:pPr>
        <w:jc w:val="both"/>
        <w:spacing w:after="0" w:line="342" w:lineRule="auto"/>
        <w:rPr>
          <w:sz w:val="20"/>
          <w:szCs w:val="20"/>
          <w:color w:val="auto"/>
        </w:rPr>
      </w:pPr>
      <w:r>
        <w:rPr>
          <w:rFonts w:ascii="Arial" w:cs="Arial" w:eastAsia="Arial" w:hAnsi="Arial"/>
          <w:sz w:val="16"/>
          <w:szCs w:val="16"/>
          <w:color w:val="auto"/>
        </w:rPr>
        <w:t>Additionally, to promote the safety and well-being of our employees, we required our entire workforce to begin working remotely from home beginning March 16, 2020, and the entire workforce continues to work remotely to date. We have not established a date to return to non-remote working conditions.</w:t>
      </w:r>
    </w:p>
    <w:p>
      <w:pPr>
        <w:spacing w:after="0" w:line="16"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Many healthcare organizations have been, and will likely continue to be, substantially adversely impacted by the COVID-19 pandemic. The period of time over which this adverse impact continues, the extent to which certain healthcare organizations continue to receive governmental funds as the result of federal stimulus and relief measures, and whether conditions related to the pandemic continue to deteriorate are important factors that may impact our business. The pandemic has resulted in a significant reduction of revenue generating services for many healthcare organizations, such as elective surgeries and other elective procedures, while, in some cases, their cost of providing emergency care as the result of treating COVID-19 patients has increased. Adverse COVID-19 impacts such as these have resulted, and will likely continue to result, in healthcare organizations curtailing operations, furloughing employees, eliminating positions, reducing operating and capital expenditures, and even, in some instances, declaring bankruptcy.</w:t>
      </w:r>
    </w:p>
    <w:p>
      <w:pPr>
        <w:spacing w:after="0" w:line="5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light of adverse developments with respect to healthcare organizations as noted above, we are continuing to monitor the ability or willingness of our customers to:</w:t>
      </w:r>
    </w:p>
    <w:p>
      <w:pPr>
        <w:spacing w:after="0" w:line="62" w:lineRule="exact"/>
        <w:rPr>
          <w:sz w:val="20"/>
          <w:szCs w:val="20"/>
          <w:color w:val="auto"/>
        </w:rPr>
      </w:pPr>
    </w:p>
    <w:p>
      <w:pPr>
        <w:ind w:left="800" w:hanging="401"/>
        <w:spacing w:after="0"/>
        <w:tabs>
          <w:tab w:leader="none" w:pos="8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pay for our solutions in a timely manner, in full, or at all;</w:t>
      </w:r>
    </w:p>
    <w:p>
      <w:pPr>
        <w:spacing w:after="0" w:line="23" w:lineRule="exact"/>
        <w:rPr>
          <w:rFonts w:ascii="Arial" w:cs="Arial" w:eastAsia="Arial" w:hAnsi="Arial"/>
          <w:sz w:val="18"/>
          <w:szCs w:val="18"/>
          <w:color w:val="auto"/>
        </w:rPr>
      </w:pPr>
    </w:p>
    <w:p>
      <w:pPr>
        <w:ind w:left="800" w:hanging="401"/>
        <w:spacing w:after="0"/>
        <w:tabs>
          <w:tab w:leader="none" w:pos="8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implement solutions they have purchased from us; and</w:t>
      </w:r>
    </w:p>
    <w:p>
      <w:pPr>
        <w:spacing w:after="0" w:line="9" w:lineRule="exact"/>
        <w:rPr>
          <w:rFonts w:ascii="Arial" w:cs="Arial" w:eastAsia="Arial" w:hAnsi="Arial"/>
          <w:sz w:val="18"/>
          <w:szCs w:val="18"/>
          <w:color w:val="auto"/>
        </w:rPr>
      </w:pPr>
    </w:p>
    <w:p>
      <w:pPr>
        <w:ind w:left="800" w:hanging="401"/>
        <w:spacing w:after="0"/>
        <w:tabs>
          <w:tab w:leader="none" w:pos="8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renew existing or purchase new products or services from us.</w:t>
      </w:r>
    </w:p>
    <w:p>
      <w:pPr>
        <w:spacing w:after="0" w:line="103"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monitor our cash position and credit exposure by evaluating, among other things, weekly cash receipts, days sales outstanding (“DSO”), customer requests to modify payment or contract terms, and bankruptcy notices. We experienced a decrease in cash receipts from customers in the second quarter of 2020 compared to the same period of the previous year and an increase in DSO from the first quarter of 2020 to the second quarter. Our DSO was 47 days for the second quarter of 2020, which was the same as the prior year, but rose from 44 days in the first quarter of 2020. While our cash balances increased by $2.5 million during the quarter, our cash flows from operations were $13.5 million this year compared to $36.6 million in the prior year, which was due primarily to the decline in legacy resuscitation sales and the impact of COVID-19. We are unable to know whether or to what extent such trends arising from the pandemic may continue or increase over time. Any continued deterioration in the collectability (or the timing of payments) of our accounts receivable will adversely impact our financial results.</w:t>
      </w:r>
    </w:p>
    <w:p>
      <w:pPr>
        <w:spacing w:after="0" w:line="70"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The timing of implementation of our services is also relevant to our business because our software solutions do not result in revenue recognition until they are implemented. To the extent our customers delay or fail to implement products they have previously purchased, our financial results will be adversely impacted. While we have experienced a negative impact from certain implementation delays related to COVID-19, these delays have not been consistent across products or across customers. Our Provider Solutions business segment has, in some instances, been more sensitive to implementation delays than our Workforce Solutions segment as the result of complexities associated with implementing certain of the solutions offered through that business segment.</w:t>
      </w:r>
    </w:p>
    <w:p>
      <w:pPr>
        <w:spacing w:after="0" w:line="5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Conditions related to the pandemic may also adversely impact the ability or willingness of our customers to renew their contracts with us, to renew contracts on comparable terms, or to expand the quantity and type of solutions they purchase from us, particularly to the extent such customers have reduced their staff numbers or scope of operations due to COVID-19. Pandemic-related conditions have also been delaying or otherwise adversely impacting our ability to enter into contracts with new potential customers, as some potential customers have been focused on dealing with the impact and demands COVID-19 is having on their businesses. In addition, many of our customers are not currently allowing vendors, including representatives of the Company, on their premises, which has been reducing the ability of our sales team to make sales they otherwise would likely make but for the impact of COVID-19. As discussed above, the inability to travel and conduct tradeshows has had, and is likely to continue to have, a negative impact on our sales volumes.</w:t>
      </w:r>
    </w:p>
    <w:p>
      <w:pPr>
        <w:spacing w:after="0" w:line="8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Our business also relies on a network of partners whose solutions we resell or whose solutions are sold and delivered over our platform. At least one of our partners has declared bankruptcy since the pandemic began, though such partner continues operations. To the extent COVID-19 results in business disruption or adverse impacts to our partners, such disruptions and adverse impacts could adversely impact our business.</w:t>
      </w:r>
    </w:p>
    <w:p>
      <w:pPr>
        <w:spacing w:after="0" w:line="57" w:lineRule="exact"/>
        <w:rPr>
          <w:sz w:val="20"/>
          <w:szCs w:val="20"/>
          <w:color w:val="auto"/>
        </w:rPr>
      </w:pPr>
    </w:p>
    <w:p>
      <w:pPr>
        <w:spacing w:after="0"/>
        <w:rPr>
          <w:sz w:val="20"/>
          <w:szCs w:val="20"/>
          <w:color w:val="auto"/>
        </w:rPr>
      </w:pPr>
      <w:r>
        <w:rPr>
          <w:rFonts w:ascii="Arial" w:cs="Arial" w:eastAsia="Arial" w:hAnsi="Arial"/>
          <w:sz w:val="16"/>
          <w:szCs w:val="16"/>
          <w:color w:val="auto"/>
        </w:rPr>
        <w:t>Given the uncertainty surrounding the adverse impact that COVID-19 may have on our business, we have taken certain expense management measures.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These include:</w:t>
      </w:r>
    </w:p>
    <w:p>
      <w:pPr>
        <w:spacing w:after="0" w:line="103" w:lineRule="exact"/>
        <w:rPr>
          <w:sz w:val="20"/>
          <w:szCs w:val="20"/>
          <w:color w:val="auto"/>
        </w:rPr>
      </w:pPr>
    </w:p>
    <w:p>
      <w:pPr>
        <w:ind w:left="800" w:hanging="401"/>
        <w:spacing w:after="0" w:line="258" w:lineRule="auto"/>
        <w:tabs>
          <w:tab w:leader="none" w:pos="8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Indefinitely postponing, and potentially foregoing, increases to base salaries in 2020, including executive base salaries. Normally, base salary increases become effective May 1</w:t>
      </w:r>
      <w:r>
        <w:rPr>
          <w:rFonts w:ascii="Arial" w:cs="Arial" w:eastAsia="Arial" w:hAnsi="Arial"/>
          <w:sz w:val="15"/>
          <w:szCs w:val="15"/>
          <w:color w:val="auto"/>
        </w:rPr>
        <w:t>st</w:t>
      </w:r>
      <w:r>
        <w:rPr>
          <w:rFonts w:ascii="Arial" w:cs="Arial" w:eastAsia="Arial" w:hAnsi="Arial"/>
          <w:sz w:val="18"/>
          <w:szCs w:val="18"/>
          <w:color w:val="auto"/>
        </w:rPr>
        <w:t>.</w:t>
      </w:r>
    </w:p>
    <w:p>
      <w:pPr>
        <w:spacing w:after="0" w:line="1" w:lineRule="exact"/>
        <w:rPr>
          <w:rFonts w:ascii="Arial" w:cs="Arial" w:eastAsia="Arial" w:hAnsi="Arial"/>
          <w:sz w:val="18"/>
          <w:szCs w:val="18"/>
          <w:color w:val="auto"/>
        </w:rPr>
      </w:pPr>
    </w:p>
    <w:p>
      <w:pPr>
        <w:ind w:left="800" w:hanging="401"/>
        <w:spacing w:after="0"/>
        <w:tabs>
          <w:tab w:leader="none" w:pos="8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Limiting hiring to critical positions.</w:t>
      </w:r>
    </w:p>
    <w:p>
      <w:pPr>
        <w:spacing w:after="0" w:line="9" w:lineRule="exact"/>
        <w:rPr>
          <w:rFonts w:ascii="Arial" w:cs="Arial" w:eastAsia="Arial" w:hAnsi="Arial"/>
          <w:sz w:val="18"/>
          <w:szCs w:val="18"/>
          <w:color w:val="auto"/>
        </w:rPr>
      </w:pPr>
    </w:p>
    <w:p>
      <w:pPr>
        <w:ind w:left="800" w:hanging="401"/>
        <w:spacing w:after="0" w:line="260" w:lineRule="auto"/>
        <w:tabs>
          <w:tab w:leader="none" w:pos="8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Limiting the Company’s match to the 401(k) Plan to the previously approved 1% level, rather than providing a greater match as we have in the previous two years.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229235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63" w:right="339" w:bottom="1440" w:gutter="0" w:footer="0" w:header="0"/>
        </w:sectPr>
      </w:pPr>
    </w:p>
    <w:bookmarkStart w:id="21" w:name="page22"/>
    <w:bookmarkEnd w:id="21"/>
    <w:p>
      <w:pPr>
        <w:ind w:left="800" w:hanging="401"/>
        <w:spacing w:after="0"/>
        <w:tabs>
          <w:tab w:leader="none" w:pos="8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Restricting employee business travel.</w:t>
      </w:r>
    </w:p>
    <w:p>
      <w:pPr>
        <w:spacing w:after="0" w:line="23" w:lineRule="exact"/>
        <w:rPr>
          <w:rFonts w:ascii="Arial" w:cs="Arial" w:eastAsia="Arial" w:hAnsi="Arial"/>
          <w:sz w:val="18"/>
          <w:szCs w:val="18"/>
          <w:color w:val="auto"/>
        </w:rPr>
      </w:pPr>
    </w:p>
    <w:p>
      <w:pPr>
        <w:ind w:left="800" w:hanging="401"/>
        <w:spacing w:after="0"/>
        <w:tabs>
          <w:tab w:leader="none" w:pos="8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Cancelling tradeshows and other events where large gatherings may occur.</w:t>
      </w:r>
    </w:p>
    <w:p>
      <w:pPr>
        <w:spacing w:after="0" w:line="9" w:lineRule="exact"/>
        <w:rPr>
          <w:rFonts w:ascii="Arial" w:cs="Arial" w:eastAsia="Arial" w:hAnsi="Arial"/>
          <w:sz w:val="18"/>
          <w:szCs w:val="18"/>
          <w:color w:val="auto"/>
        </w:rPr>
      </w:pPr>
    </w:p>
    <w:p>
      <w:pPr>
        <w:ind w:left="800" w:hanging="401"/>
        <w:spacing w:after="0"/>
        <w:tabs>
          <w:tab w:leader="none" w:pos="8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Requesting key vendors of ours to allow payment term extension without penalty.</w:t>
      </w:r>
    </w:p>
    <w:p>
      <w:pPr>
        <w:spacing w:after="0" w:line="9" w:lineRule="exact"/>
        <w:rPr>
          <w:rFonts w:ascii="Arial" w:cs="Arial" w:eastAsia="Arial" w:hAnsi="Arial"/>
          <w:sz w:val="18"/>
          <w:szCs w:val="18"/>
          <w:color w:val="auto"/>
        </w:rPr>
      </w:pPr>
    </w:p>
    <w:p>
      <w:pPr>
        <w:ind w:left="800" w:hanging="401"/>
        <w:spacing w:after="0"/>
        <w:tabs>
          <w:tab w:leader="none" w:pos="8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Evaluating iterative reductions to our capital expenditures to be deployed on an as-needed basis.</w:t>
      </w:r>
    </w:p>
    <w:p>
      <w:pPr>
        <w:spacing w:after="0" w:line="10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These expense management measures contributed to the decrease in our operating expenses, which declined by approximately $1.7 million during the three months ended June 30, 2020 compared to the prior year period. Additionally, we are continuing to monitor developments regarding the COVID-19 pandemic and may undertake further expense management initiatives if we deem necessary.</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Business Metrics</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management utilizes the following financial and non-financial metrics in connection with managing our business. These performance indicators include measurements of gross margin, adjusted EBITDA, and hStream subscriptions.</w:t>
      </w:r>
    </w:p>
    <w:p>
      <w:pPr>
        <w:spacing w:after="0" w:line="62" w:lineRule="exact"/>
        <w:rPr>
          <w:sz w:val="20"/>
          <w:szCs w:val="20"/>
          <w:color w:val="auto"/>
        </w:rPr>
      </w:pPr>
    </w:p>
    <w:p>
      <w:pPr>
        <w:jc w:val="both"/>
        <w:ind w:left="800" w:hanging="401"/>
        <w:spacing w:after="0" w:line="254" w:lineRule="auto"/>
        <w:tabs>
          <w:tab w:leader="none" w:pos="800" w:val="left"/>
        </w:tabs>
        <w:numPr>
          <w:ilvl w:val="0"/>
          <w:numId w:val="13"/>
        </w:numPr>
        <w:rPr>
          <w:rFonts w:ascii="Arial" w:cs="Arial" w:eastAsia="Arial" w:hAnsi="Arial"/>
          <w:sz w:val="18"/>
          <w:szCs w:val="18"/>
          <w:color w:val="auto"/>
        </w:rPr>
      </w:pPr>
      <w:r>
        <w:rPr>
          <w:rFonts w:ascii="Arial" w:cs="Arial" w:eastAsia="Arial" w:hAnsi="Arial"/>
          <w:sz w:val="18"/>
          <w:szCs w:val="18"/>
          <w:i w:val="1"/>
          <w:iCs w:val="1"/>
          <w:color w:val="auto"/>
        </w:rPr>
        <w:t>Operating Income</w:t>
      </w:r>
      <w:r>
        <w:rPr>
          <w:rFonts w:ascii="Arial" w:cs="Arial" w:eastAsia="Arial" w:hAnsi="Arial"/>
          <w:sz w:val="18"/>
          <w:szCs w:val="18"/>
          <w:color w:val="auto"/>
        </w:rPr>
        <w:t>. Operating income represents the amount of profit realized from our operations and is calculated as the difference between</w:t>
      </w:r>
      <w:r>
        <w:rPr>
          <w:rFonts w:ascii="Arial" w:cs="Arial" w:eastAsia="Arial" w:hAnsi="Arial"/>
          <w:sz w:val="18"/>
          <w:szCs w:val="18"/>
          <w:i w:val="1"/>
          <w:iCs w:val="1"/>
          <w:color w:val="auto"/>
        </w:rPr>
        <w:t xml:space="preserve"> </w:t>
      </w:r>
      <w:r>
        <w:rPr>
          <w:rFonts w:ascii="Arial" w:cs="Arial" w:eastAsia="Arial" w:hAnsi="Arial"/>
          <w:sz w:val="18"/>
          <w:szCs w:val="18"/>
          <w:color w:val="auto"/>
        </w:rPr>
        <w:t>revenues, net and operating costs and expenses. Operating income was $4.3 million and $11.5 million for the three and six months ended June 30, 2020 compared to $2.3 million and $7.6 million for the three and six months ended June 30, 2019. Management utilizes operating income in connection with managing our business as a key indicator of profitability. We also believe that operating income is useful to investors as a key measure of our profitability, which is among the reasons we have included such measure as among the metrics for which we have historically provided forward-looking guidance. For 2020, and for several previous years, executive bonuses have been based on the achievement of operating income targets as well.</w:t>
      </w:r>
    </w:p>
    <w:p>
      <w:pPr>
        <w:spacing w:after="0" w:line="86" w:lineRule="exact"/>
        <w:rPr>
          <w:rFonts w:ascii="Arial" w:cs="Arial" w:eastAsia="Arial" w:hAnsi="Arial"/>
          <w:sz w:val="18"/>
          <w:szCs w:val="18"/>
          <w:color w:val="auto"/>
        </w:rPr>
      </w:pPr>
    </w:p>
    <w:p>
      <w:pPr>
        <w:jc w:val="both"/>
        <w:ind w:left="800" w:hanging="401"/>
        <w:spacing w:after="0" w:line="270" w:lineRule="auto"/>
        <w:tabs>
          <w:tab w:leader="none" w:pos="800" w:val="left"/>
        </w:tabs>
        <w:numPr>
          <w:ilvl w:val="0"/>
          <w:numId w:val="13"/>
        </w:numPr>
        <w:rPr>
          <w:rFonts w:ascii="Arial" w:cs="Arial" w:eastAsia="Arial" w:hAnsi="Arial"/>
          <w:sz w:val="17"/>
          <w:szCs w:val="17"/>
          <w:color w:val="auto"/>
        </w:rPr>
      </w:pPr>
      <w:r>
        <w:rPr>
          <w:rFonts w:ascii="Arial" w:cs="Arial" w:eastAsia="Arial" w:hAnsi="Arial"/>
          <w:sz w:val="17"/>
          <w:szCs w:val="17"/>
          <w:i w:val="1"/>
          <w:iCs w:val="1"/>
          <w:color w:val="auto"/>
        </w:rPr>
        <w:t>Adjusted EBITDA</w:t>
      </w:r>
      <w:r>
        <w:rPr>
          <w:rFonts w:ascii="Arial" w:cs="Arial" w:eastAsia="Arial" w:hAnsi="Arial"/>
          <w:sz w:val="17"/>
          <w:szCs w:val="17"/>
          <w:color w:val="auto"/>
        </w:rPr>
        <w:t>. Adjusted EBITDA, calculated as set forth below under “Reconciliation of Non-GAAP Financial Measures,” is utilized by our</w:t>
      </w:r>
      <w:r>
        <w:rPr>
          <w:rFonts w:ascii="Arial" w:cs="Arial" w:eastAsia="Arial" w:hAnsi="Arial"/>
          <w:sz w:val="17"/>
          <w:szCs w:val="17"/>
          <w:i w:val="1"/>
          <w:iCs w:val="1"/>
          <w:color w:val="auto"/>
        </w:rPr>
        <w:t xml:space="preserve"> </w:t>
      </w:r>
      <w:r>
        <w:rPr>
          <w:rFonts w:ascii="Arial" w:cs="Arial" w:eastAsia="Arial" w:hAnsi="Arial"/>
          <w:sz w:val="17"/>
          <w:szCs w:val="17"/>
          <w:color w:val="auto"/>
        </w:rPr>
        <w:t>management in connection with managing our business and provides useful information to investors because adjusted EBITDA reflects net income adjusted for certain non-cash and non-operating items, as more specifically set forth below. Management further believes that adjusted EBITDA from continuing operations is a useful measure for evaluating the operating performance of the Company because such measure excludes the gain on sale in connection with the sale of the PX business in February 2018 included in our results of operations during the six months ended June 30, 2019, and thus reflects the Company’s ongoing business operations and assists in comparing the Company’s results of operations between periods. We believe that adjusted EBITDA and adjusted EBITDA from continuing operations are useful to many investors to assess the Company’s ongoing results from current operations. Adjusted EBITDA was $12.0 million for the three months ended June 30, 2020 compared to $11.8 million for the three months ended June 30, 2019.</w:t>
      </w:r>
    </w:p>
    <w:p>
      <w:pPr>
        <w:spacing w:after="0" w:line="72" w:lineRule="exact"/>
        <w:rPr>
          <w:rFonts w:ascii="Arial" w:cs="Arial" w:eastAsia="Arial" w:hAnsi="Arial"/>
          <w:sz w:val="17"/>
          <w:szCs w:val="17"/>
          <w:color w:val="auto"/>
        </w:rPr>
      </w:pPr>
    </w:p>
    <w:p>
      <w:pPr>
        <w:jc w:val="both"/>
        <w:ind w:left="800" w:hanging="401"/>
        <w:spacing w:after="0" w:line="296" w:lineRule="auto"/>
        <w:tabs>
          <w:tab w:leader="none" w:pos="800" w:val="left"/>
        </w:tabs>
        <w:numPr>
          <w:ilvl w:val="0"/>
          <w:numId w:val="13"/>
        </w:numPr>
        <w:rPr>
          <w:rFonts w:ascii="Arial" w:cs="Arial" w:eastAsia="Arial" w:hAnsi="Arial"/>
          <w:sz w:val="16"/>
          <w:szCs w:val="16"/>
          <w:color w:val="auto"/>
        </w:rPr>
      </w:pPr>
      <w:r>
        <w:rPr>
          <w:rFonts w:ascii="Arial" w:cs="Arial" w:eastAsia="Arial" w:hAnsi="Arial"/>
          <w:sz w:val="16"/>
          <w:szCs w:val="16"/>
          <w:i w:val="1"/>
          <w:iCs w:val="1"/>
          <w:color w:val="auto"/>
        </w:rPr>
        <w:t>hStream Subscriptions</w:t>
      </w:r>
      <w:r>
        <w:rPr>
          <w:rFonts w:ascii="Arial" w:cs="Arial" w:eastAsia="Arial" w:hAnsi="Arial"/>
          <w:sz w:val="16"/>
          <w:szCs w:val="16"/>
          <w:color w:val="auto"/>
        </w:rPr>
        <w:t>. hStream subscriptions are determined as the number of subscriptions under contract for hStream, our Platform-as-a-Service</w:t>
      </w:r>
      <w:r>
        <w:rPr>
          <w:rFonts w:ascii="Arial" w:cs="Arial" w:eastAsia="Arial" w:hAnsi="Arial"/>
          <w:sz w:val="16"/>
          <w:szCs w:val="16"/>
          <w:i w:val="1"/>
          <w:iCs w:val="1"/>
          <w:color w:val="auto"/>
        </w:rPr>
        <w:t xml:space="preserve"> </w:t>
      </w:r>
      <w:r>
        <w:rPr>
          <w:rFonts w:ascii="Arial" w:cs="Arial" w:eastAsia="Arial" w:hAnsi="Arial"/>
          <w:sz w:val="16"/>
          <w:szCs w:val="16"/>
          <w:color w:val="auto"/>
        </w:rPr>
        <w:t>technology that enables healthcare organizations and their respective workforces to easily connect to and gain value from the growing HealthStream ecosystem of applications, tools, and content. Our management utilizes hStream subscriptions in connection with managing our business and believes this metric provides useful information to investors as a measure of our progress in growing the value of our customer base. At June 30, 2020, we had approximately 3.48 million contracted subscriptions to hStream compared to 2.34 million as of June 30, 2019.</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2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Company’s Condensed Consolidated Financial Statements are prepared in accordance with US GAAP. These accounting principles require us to make certain estimates, judgments, and assumptions during the preparation of our Financial Statements. We believe the estimates, judgments, and assumptions upon which we rely are reasonable based upon information available to us at the time they are made. These estimates, judgments, and assumptions can affect the reported amounts of assets and liabilities as of the date of the Financial Statements, as well as the reported amounts of revenues and expenses during the periods presented. To the extent there are material differences between these estimates, judgments, or assumptions and actual results, our Financial Statements will be affected.</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229235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22" w:name="page23"/>
    <w:bookmarkEnd w:id="22"/>
    <w:p>
      <w:pPr>
        <w:ind w:right="20"/>
        <w:spacing w:after="0" w:line="277" w:lineRule="auto"/>
        <w:rPr>
          <w:sz w:val="20"/>
          <w:szCs w:val="20"/>
          <w:color w:val="auto"/>
        </w:rPr>
      </w:pPr>
      <w:r>
        <w:rPr>
          <w:rFonts w:ascii="Arial" w:cs="Arial" w:eastAsia="Arial" w:hAnsi="Arial"/>
          <w:sz w:val="18"/>
          <w:szCs w:val="18"/>
          <w:color w:val="auto"/>
        </w:rPr>
        <w:t>The accounting policies and estimates that we believe are the most critical in fully understanding and evaluating our reported financial results include the following:</w:t>
      </w:r>
    </w:p>
    <w:p>
      <w:pPr>
        <w:sectPr>
          <w:pgSz w:w="11900" w:h="16838" w:orient="portrait"/>
          <w:cols w:equalWidth="0" w:num="1">
            <w:col w:w="11240"/>
          </w:cols>
          <w:pgMar w:left="320" w:top="463" w:right="339" w:bottom="1440" w:gutter="0" w:footer="0" w:header="0"/>
        </w:sectPr>
      </w:pPr>
    </w:p>
    <w:p>
      <w:pPr>
        <w:spacing w:after="0" w:line="1" w:lineRule="exact"/>
        <w:rPr>
          <w:sz w:val="20"/>
          <w:szCs w:val="20"/>
          <w:color w:val="auto"/>
        </w:rPr>
      </w:pPr>
    </w:p>
    <w:p>
      <w:pPr>
        <w:ind w:left="400"/>
        <w:spacing w:after="0"/>
        <w:rPr>
          <w:sz w:val="20"/>
          <w:szCs w:val="20"/>
          <w:color w:val="auto"/>
        </w:rPr>
      </w:pPr>
      <w:r>
        <w:rPr>
          <w:rFonts w:ascii="Arial" w:cs="Arial" w:eastAsia="Arial" w:hAnsi="Arial"/>
          <w:sz w:val="27"/>
          <w:szCs w:val="27"/>
          <w:color w:val="auto"/>
        </w:rPr>
        <w:t>•</w:t>
      </w:r>
    </w:p>
    <w:p>
      <w:pPr>
        <w:ind w:left="400"/>
        <w:spacing w:after="0" w:line="237" w:lineRule="auto"/>
        <w:rPr>
          <w:sz w:val="20"/>
          <w:szCs w:val="20"/>
          <w:color w:val="auto"/>
        </w:rPr>
      </w:pPr>
      <w:r>
        <w:rPr>
          <w:rFonts w:ascii="Arial" w:cs="Arial" w:eastAsia="Arial" w:hAnsi="Arial"/>
          <w:sz w:val="27"/>
          <w:szCs w:val="27"/>
          <w:color w:val="auto"/>
        </w:rPr>
        <w:t>•</w:t>
      </w:r>
    </w:p>
    <w:p>
      <w:pPr>
        <w:ind w:left="400"/>
        <w:spacing w:after="0" w:line="230" w:lineRule="auto"/>
        <w:rPr>
          <w:sz w:val="20"/>
          <w:szCs w:val="20"/>
          <w:color w:val="auto"/>
        </w:rPr>
      </w:pPr>
      <w:r>
        <w:rPr>
          <w:rFonts w:ascii="Arial" w:cs="Arial" w:eastAsia="Arial" w:hAnsi="Arial"/>
          <w:sz w:val="27"/>
          <w:szCs w:val="27"/>
          <w:color w:val="auto"/>
        </w:rPr>
        <w:t>•</w:t>
      </w:r>
    </w:p>
    <w:p>
      <w:pPr>
        <w:ind w:left="400"/>
        <w:spacing w:after="0" w:line="229" w:lineRule="auto"/>
        <w:rPr>
          <w:sz w:val="20"/>
          <w:szCs w:val="20"/>
          <w:color w:val="auto"/>
        </w:rPr>
      </w:pPr>
      <w:r>
        <w:rPr>
          <w:rFonts w:ascii="Arial" w:cs="Arial" w:eastAsia="Arial" w:hAnsi="Arial"/>
          <w:sz w:val="27"/>
          <w:szCs w:val="27"/>
          <w:color w:val="auto"/>
        </w:rPr>
        <w:t>•</w:t>
      </w:r>
    </w:p>
    <w:p>
      <w:pPr>
        <w:spacing w:after="0" w:line="1" w:lineRule="exact"/>
        <w:rPr>
          <w:sz w:val="20"/>
          <w:szCs w:val="20"/>
          <w:color w:val="auto"/>
        </w:rPr>
      </w:pPr>
    </w:p>
    <w:p>
      <w:pPr>
        <w:ind w:left="400"/>
        <w:spacing w:after="0"/>
        <w:rPr>
          <w:sz w:val="20"/>
          <w:szCs w:val="20"/>
          <w:color w:val="auto"/>
        </w:rPr>
      </w:pPr>
      <w:r>
        <w:rPr>
          <w:rFonts w:ascii="Arial" w:cs="Arial" w:eastAsia="Arial" w:hAnsi="Arial"/>
          <w:sz w:val="27"/>
          <w:szCs w:val="27"/>
          <w:color w:val="auto"/>
        </w:rPr>
        <w:t>•</w:t>
      </w:r>
    </w:p>
    <w:p>
      <w:pPr>
        <w:spacing w:after="0" w:line="20" w:lineRule="exact"/>
        <w:rPr>
          <w:sz w:val="20"/>
          <w:szCs w:val="20"/>
          <w:color w:val="auto"/>
        </w:rPr>
      </w:pPr>
      <w:r>
        <w:rPr>
          <w:sz w:val="20"/>
          <w:szCs w:val="20"/>
          <w:color w:val="auto"/>
        </w:rPr>
        <w:br w:type="column"/>
      </w:r>
    </w:p>
    <w:p>
      <w:pPr>
        <w:spacing w:after="0" w:line="29" w:lineRule="exact"/>
        <w:rPr>
          <w:sz w:val="20"/>
          <w:szCs w:val="20"/>
          <w:color w:val="auto"/>
        </w:rPr>
      </w:pPr>
    </w:p>
    <w:p>
      <w:pPr>
        <w:spacing w:after="0"/>
        <w:rPr>
          <w:sz w:val="20"/>
          <w:szCs w:val="20"/>
          <w:color w:val="auto"/>
        </w:rPr>
      </w:pPr>
      <w:r>
        <w:rPr>
          <w:rFonts w:ascii="Arial" w:cs="Arial" w:eastAsia="Arial" w:hAnsi="Arial"/>
          <w:sz w:val="18"/>
          <w:szCs w:val="18"/>
          <w:color w:val="auto"/>
        </w:rPr>
        <w:t>Revenue recognition</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Accounting for income taxes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Software development costs</w:t>
      </w:r>
    </w:p>
    <w:p>
      <w:pPr>
        <w:spacing w:after="0" w:line="90" w:lineRule="exact"/>
        <w:rPr>
          <w:sz w:val="20"/>
          <w:szCs w:val="20"/>
          <w:color w:val="auto"/>
        </w:rPr>
      </w:pPr>
    </w:p>
    <w:p>
      <w:pPr>
        <w:spacing w:after="0"/>
        <w:rPr>
          <w:sz w:val="20"/>
          <w:szCs w:val="20"/>
          <w:color w:val="auto"/>
        </w:rPr>
      </w:pPr>
      <w:r>
        <w:rPr>
          <w:rFonts w:ascii="Arial" w:cs="Arial" w:eastAsia="Arial" w:hAnsi="Arial"/>
          <w:sz w:val="16"/>
          <w:szCs w:val="16"/>
          <w:color w:val="auto"/>
        </w:rPr>
        <w:t>Goodwill, intangibles, and other long-lived assets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color w:val="auto"/>
        </w:rPr>
        <w:t>Allowance for doubtful accounts</w:t>
      </w:r>
    </w:p>
    <w:p>
      <w:pPr>
        <w:spacing w:after="0" w:line="103" w:lineRule="exact"/>
        <w:rPr>
          <w:sz w:val="20"/>
          <w:szCs w:val="20"/>
          <w:color w:val="auto"/>
        </w:rPr>
      </w:pPr>
    </w:p>
    <w:p>
      <w:pPr>
        <w:sectPr>
          <w:pgSz w:w="11900" w:h="16838" w:orient="portrait"/>
          <w:cols w:equalWidth="0" w:num="2">
            <w:col w:w="500" w:space="300"/>
            <w:col w:w="10440"/>
          </w:cols>
          <w:pgMar w:left="320" w:top="463" w:right="339" w:bottom="1440" w:gutter="0" w:footer="0" w:header="0"/>
          <w:type w:val="continuous"/>
        </w:sectPr>
      </w:pPr>
    </w:p>
    <w:p>
      <w:pPr>
        <w:jc w:val="both"/>
        <w:spacing w:after="0" w:line="275" w:lineRule="auto"/>
        <w:rPr>
          <w:sz w:val="20"/>
          <w:szCs w:val="20"/>
          <w:color w:val="auto"/>
        </w:rPr>
      </w:pPr>
      <w:r>
        <w:rPr>
          <w:rFonts w:ascii="Arial" w:cs="Arial" w:eastAsia="Arial" w:hAnsi="Arial"/>
          <w:sz w:val="17"/>
          <w:szCs w:val="17"/>
          <w:color w:val="auto"/>
        </w:rPr>
        <w:t>In many cases, the accounting treatment of a particular transaction is specifically dictated by US GAAP and does not require management’s judgment in its application. There are also areas where management’s judgment in selecting among available alternatives would not produce a materially different result. See Notes to Consolidated Financial Statements in our 2019 Form 10-K and the Notes to the Condensed Consolidated Financial Statements herein, which contain additional information regarding our accounting policies and other disclosures required by US GAAP. There have been no material changes in our critical accounting policies and estimates from those reported in our 2019 Form 10-K.</w:t>
      </w: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229235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63" w:right="339" w:bottom="1440" w:gutter="0" w:footer="0" w:header="0"/>
          <w:type w:val="continuous"/>
        </w:sectPr>
      </w:pPr>
    </w:p>
    <w:bookmarkStart w:id="23" w:name="page24"/>
    <w:bookmarkEnd w:id="23"/>
    <w:p>
      <w:pPr>
        <w:spacing w:after="0"/>
        <w:rPr>
          <w:sz w:val="20"/>
          <w:szCs w:val="20"/>
          <w:color w:val="auto"/>
        </w:rPr>
      </w:pPr>
      <w:r>
        <w:rPr>
          <w:rFonts w:ascii="Arial" w:cs="Arial" w:eastAsia="Arial" w:hAnsi="Arial"/>
          <w:sz w:val="18"/>
          <w:szCs w:val="18"/>
          <w:b w:val="1"/>
          <w:bCs w:val="1"/>
          <w:color w:val="auto"/>
        </w:rPr>
        <w:t>Three Months Ended June 30, 2020 Compared to Three Months Ended June 30, 2019</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Revenues, net. </w:t>
      </w:r>
      <w:r>
        <w:rPr>
          <w:rFonts w:ascii="Arial" w:cs="Arial" w:eastAsia="Arial" w:hAnsi="Arial"/>
          <w:sz w:val="18"/>
          <w:szCs w:val="18"/>
          <w:color w:val="auto"/>
        </w:rPr>
        <w:t>Revenues decreased $3.2 million, or 5%, to $60.6 million for the three months ended June 30, 2020 from $63.8 million for the</w:t>
      </w:r>
      <w:r>
        <w:rPr>
          <w:rFonts w:ascii="Arial" w:cs="Arial" w:eastAsia="Arial" w:hAnsi="Arial"/>
          <w:sz w:val="18"/>
          <w:szCs w:val="18"/>
          <w:i w:val="1"/>
          <w:iCs w:val="1"/>
          <w:color w:val="auto"/>
        </w:rPr>
        <w:t xml:space="preserve"> </w:t>
      </w:r>
      <w:r>
        <w:rPr>
          <w:rFonts w:ascii="Arial" w:cs="Arial" w:eastAsia="Arial" w:hAnsi="Arial"/>
          <w:sz w:val="18"/>
          <w:szCs w:val="18"/>
          <w:color w:val="auto"/>
        </w:rPr>
        <w:t>three months ended June 30, 2019.</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A comparison of revenues by business segment is as follows (in thousands):</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22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980" w:type="dxa"/>
            <w:vAlign w:val="bottom"/>
            <w:tcBorders>
              <w:bottom w:val="single" w:sz="8" w:color="auto"/>
            </w:tcBorders>
            <w:gridSpan w:val="4"/>
          </w:tcPr>
          <w:p>
            <w:pPr>
              <w:ind w:left="60"/>
              <w:spacing w:after="0"/>
              <w:rPr>
                <w:sz w:val="20"/>
                <w:szCs w:val="20"/>
                <w:color w:val="auto"/>
              </w:rPr>
            </w:pPr>
            <w:r>
              <w:rPr>
                <w:rFonts w:ascii="Arial" w:cs="Arial" w:eastAsia="Arial" w:hAnsi="Arial"/>
                <w:sz w:val="14"/>
                <w:szCs w:val="14"/>
                <w:b w:val="1"/>
                <w:bCs w:val="1"/>
                <w:color w:val="auto"/>
                <w:w w:val="95"/>
              </w:rPr>
              <w:t>Three Months Ended June 30,</w:t>
            </w:r>
          </w:p>
        </w:tc>
        <w:tc>
          <w:tcPr>
            <w:tcW w:w="130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4220" w:type="dxa"/>
            <w:vAlign w:val="bottom"/>
            <w:vMerge w:val="restart"/>
          </w:tcPr>
          <w:p>
            <w:pPr>
              <w:spacing w:after="0"/>
              <w:rPr>
                <w:sz w:val="20"/>
                <w:szCs w:val="20"/>
                <w:color w:val="auto"/>
              </w:rPr>
            </w:pPr>
            <w:r>
              <w:rPr>
                <w:rFonts w:ascii="Arial" w:cs="Arial" w:eastAsia="Arial" w:hAnsi="Arial"/>
                <w:sz w:val="14"/>
                <w:szCs w:val="14"/>
                <w:b w:val="1"/>
                <w:bCs w:val="1"/>
                <w:color w:val="auto"/>
              </w:rPr>
              <w:t>Revenues by Business Segment:</w:t>
            </w:r>
          </w:p>
        </w:tc>
        <w:tc>
          <w:tcPr>
            <w:tcW w:w="2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vMerge w:val="restart"/>
          </w:tcPr>
          <w:p>
            <w:pPr>
              <w:jc w:val="right"/>
              <w:ind w:right="435"/>
              <w:spacing w:after="0"/>
              <w:rPr>
                <w:sz w:val="20"/>
                <w:szCs w:val="20"/>
                <w:color w:val="auto"/>
              </w:rPr>
            </w:pPr>
            <w:r>
              <w:rPr>
                <w:rFonts w:ascii="Arial" w:cs="Arial" w:eastAsia="Arial" w:hAnsi="Arial"/>
                <w:sz w:val="14"/>
                <w:szCs w:val="14"/>
                <w:b w:val="1"/>
                <w:bCs w:val="1"/>
                <w:color w:val="auto"/>
              </w:rPr>
              <w:t>2020</w:t>
            </w:r>
          </w:p>
        </w:tc>
        <w:tc>
          <w:tcPr>
            <w:tcW w:w="3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20" w:type="dxa"/>
            <w:vAlign w:val="bottom"/>
            <w:vMerge w:val="restart"/>
          </w:tcPr>
          <w:p>
            <w:pPr>
              <w:jc w:val="right"/>
              <w:ind w:right="435"/>
              <w:spacing w:after="0"/>
              <w:rPr>
                <w:sz w:val="20"/>
                <w:szCs w:val="20"/>
                <w:color w:val="auto"/>
              </w:rPr>
            </w:pPr>
            <w:r>
              <w:rPr>
                <w:rFonts w:ascii="Arial" w:cs="Arial" w:eastAsia="Arial" w:hAnsi="Arial"/>
                <w:sz w:val="14"/>
                <w:szCs w:val="14"/>
                <w:b w:val="1"/>
                <w:bCs w:val="1"/>
                <w:color w:val="auto"/>
              </w:rPr>
              <w:t>2019</w:t>
            </w:r>
          </w:p>
        </w:tc>
        <w:tc>
          <w:tcPr>
            <w:tcW w:w="340" w:type="dxa"/>
            <w:vAlign w:val="bottom"/>
          </w:tcPr>
          <w:p>
            <w:pPr>
              <w:spacing w:after="0"/>
              <w:rPr>
                <w:sz w:val="11"/>
                <w:szCs w:val="11"/>
                <w:color w:val="auto"/>
              </w:rPr>
            </w:pPr>
          </w:p>
        </w:tc>
        <w:tc>
          <w:tcPr>
            <w:tcW w:w="130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0"/>
              </w:rPr>
              <w:t>Percentage</w:t>
            </w: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4220" w:type="dxa"/>
            <w:vAlign w:val="bottom"/>
            <w:tcBorders>
              <w:bottom w:val="single" w:sz="8" w:color="CFF0FC"/>
            </w:tcBorders>
            <w:vMerge w:val="continue"/>
          </w:tcPr>
          <w:p>
            <w:pPr>
              <w:spacing w:after="0"/>
              <w:rPr>
                <w:sz w:val="14"/>
                <w:szCs w:val="14"/>
                <w:color w:val="auto"/>
              </w:rPr>
            </w:pPr>
          </w:p>
        </w:tc>
        <w:tc>
          <w:tcPr>
            <w:tcW w:w="2260" w:type="dxa"/>
            <w:vAlign w:val="bottom"/>
            <w:tcBorders>
              <w:bottom w:val="single" w:sz="8" w:color="CFF0FC"/>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vMerge w:val="continue"/>
          </w:tcPr>
          <w:p>
            <w:pPr>
              <w:spacing w:after="0"/>
              <w:rPr>
                <w:sz w:val="14"/>
                <w:szCs w:val="14"/>
                <w:color w:val="auto"/>
              </w:rPr>
            </w:pPr>
          </w:p>
        </w:tc>
        <w:tc>
          <w:tcPr>
            <w:tcW w:w="320" w:type="dxa"/>
            <w:vAlign w:val="bottom"/>
            <w:tcBorders>
              <w:bottom w:val="single" w:sz="8" w:color="CFF0FC"/>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vMerge w:val="continue"/>
          </w:tcPr>
          <w:p>
            <w:pPr>
              <w:spacing w:after="0"/>
              <w:rPr>
                <w:sz w:val="14"/>
                <w:szCs w:val="14"/>
                <w:color w:val="auto"/>
              </w:rPr>
            </w:pPr>
          </w:p>
        </w:tc>
        <w:tc>
          <w:tcPr>
            <w:tcW w:w="340" w:type="dxa"/>
            <w:vAlign w:val="bottom"/>
            <w:tcBorders>
              <w:bottom w:val="single" w:sz="8" w:color="CFF0FC"/>
            </w:tcBorders>
          </w:tcPr>
          <w:p>
            <w:pPr>
              <w:spacing w:after="0"/>
              <w:rPr>
                <w:sz w:val="14"/>
                <w:szCs w:val="14"/>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Change</w:t>
            </w:r>
          </w:p>
        </w:tc>
        <w:tc>
          <w:tcPr>
            <w:tcW w:w="18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42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Workforce Solutions</w:t>
            </w:r>
          </w:p>
        </w:tc>
        <w:tc>
          <w:tcPr>
            <w:tcW w:w="226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127"/>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48,888</w:t>
            </w:r>
          </w:p>
        </w:tc>
        <w:tc>
          <w:tcPr>
            <w:tcW w:w="32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52,422</w:t>
            </w:r>
          </w:p>
        </w:tc>
        <w:tc>
          <w:tcPr>
            <w:tcW w:w="34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29"/>
        </w:trPr>
        <w:tc>
          <w:tcPr>
            <w:tcW w:w="422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Provider Solutions</w:t>
            </w:r>
          </w:p>
        </w:tc>
        <w:tc>
          <w:tcPr>
            <w:tcW w:w="226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11,665</w:t>
            </w:r>
          </w:p>
        </w:tc>
        <w:tc>
          <w:tcPr>
            <w:tcW w:w="32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11,359</w:t>
            </w:r>
          </w:p>
        </w:tc>
        <w:tc>
          <w:tcPr>
            <w:tcW w:w="340" w:type="dxa"/>
            <w:vAlign w:val="bottom"/>
            <w:tcBorders>
              <w:bottom w:val="single" w:sz="8" w:color="CFF0FC"/>
            </w:tcBorders>
          </w:tcPr>
          <w:p>
            <w:pPr>
              <w:spacing w:after="0"/>
              <w:rPr>
                <w:sz w:val="19"/>
                <w:szCs w:val="19"/>
                <w:color w:val="auto"/>
              </w:rPr>
            </w:pPr>
          </w:p>
        </w:tc>
        <w:tc>
          <w:tcPr>
            <w:tcW w:w="1480" w:type="dxa"/>
            <w:vAlign w:val="bottom"/>
            <w:tcBorders>
              <w:bottom w:val="single" w:sz="8" w:color="CFF0FC"/>
            </w:tcBorders>
            <w:gridSpan w:val="2"/>
          </w:tcPr>
          <w:p>
            <w:pPr>
              <w:jc w:val="right"/>
              <w:ind w:right="2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3"/>
        </w:trPr>
        <w:tc>
          <w:tcPr>
            <w:tcW w:w="4220" w:type="dxa"/>
            <w:vAlign w:val="bottom"/>
            <w:tcBorders>
              <w:bottom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Total revenues, net</w:t>
            </w:r>
          </w:p>
        </w:tc>
        <w:tc>
          <w:tcPr>
            <w:tcW w:w="226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127"/>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60,553</w:t>
            </w:r>
          </w:p>
        </w:tc>
        <w:tc>
          <w:tcPr>
            <w:tcW w:w="32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63,781</w:t>
            </w:r>
          </w:p>
        </w:tc>
        <w:tc>
          <w:tcPr>
            <w:tcW w:w="340" w:type="dxa"/>
            <w:vAlign w:val="bottom"/>
            <w:tcBorders>
              <w:bottom w:val="single" w:sz="8" w:color="CFF0FC"/>
            </w:tcBorders>
            <w:shd w:val="clear" w:color="auto" w:fill="CFF0FC"/>
          </w:tcPr>
          <w:p>
            <w:pPr>
              <w:spacing w:after="0"/>
              <w:rPr>
                <w:sz w:val="19"/>
                <w:szCs w:val="19"/>
                <w:color w:val="auto"/>
              </w:rPr>
            </w:pPr>
          </w:p>
        </w:tc>
        <w:tc>
          <w:tcPr>
            <w:tcW w:w="1480" w:type="dxa"/>
            <w:vAlign w:val="bottom"/>
            <w:tcBorders>
              <w:bottom w:val="single" w:sz="8" w:color="CFF0FC"/>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422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46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4"/>
                <w:szCs w:val="14"/>
                <w:b w:val="1"/>
                <w:bCs w:val="1"/>
                <w:color w:val="auto"/>
              </w:rPr>
              <w:t>% of Revenues</w:t>
            </w:r>
          </w:p>
        </w:tc>
        <w:tc>
          <w:tcPr>
            <w:tcW w:w="3920" w:type="dxa"/>
            <w:vAlign w:val="bottom"/>
            <w:tcBorders>
              <w:bottom w:val="single" w:sz="8" w:color="CFF0FC"/>
            </w:tcBorders>
            <w:shd w:val="clear" w:color="auto" w:fill="CFF0FC"/>
          </w:tcPr>
          <w:p>
            <w:pPr>
              <w:spacing w:after="0"/>
              <w:rPr>
                <w:sz w:val="18"/>
                <w:szCs w:val="18"/>
                <w:color w:val="auto"/>
              </w:rPr>
            </w:pPr>
          </w:p>
        </w:tc>
        <w:tc>
          <w:tcPr>
            <w:tcW w:w="2660" w:type="dxa"/>
            <w:vAlign w:val="bottom"/>
            <w:tcBorders>
              <w:bottom w:val="single" w:sz="8" w:color="CFF0FC"/>
            </w:tcBorders>
            <w:shd w:val="clear" w:color="auto" w:fill="CFF0FC"/>
          </w:tcPr>
          <w:p>
            <w:pPr>
              <w:spacing w:after="0"/>
              <w:rPr>
                <w:sz w:val="18"/>
                <w:szCs w:val="18"/>
                <w:color w:val="auto"/>
              </w:rPr>
            </w:pPr>
          </w:p>
        </w:tc>
      </w:tr>
      <w:tr>
        <w:trPr>
          <w:trHeight w:val="229"/>
        </w:trPr>
        <w:tc>
          <w:tcPr>
            <w:tcW w:w="4660" w:type="dxa"/>
            <w:vAlign w:val="bottom"/>
          </w:tcPr>
          <w:p>
            <w:pPr>
              <w:ind w:left="260"/>
              <w:spacing w:after="0"/>
              <w:rPr>
                <w:sz w:val="20"/>
                <w:szCs w:val="20"/>
                <w:color w:val="auto"/>
              </w:rPr>
            </w:pPr>
            <w:r>
              <w:rPr>
                <w:rFonts w:ascii="Arial" w:cs="Arial" w:eastAsia="Arial" w:hAnsi="Arial"/>
                <w:sz w:val="18"/>
                <w:szCs w:val="18"/>
                <w:color w:val="auto"/>
              </w:rPr>
              <w:t>Workforce Solutions</w:t>
            </w:r>
          </w:p>
        </w:tc>
        <w:tc>
          <w:tcPr>
            <w:tcW w:w="3920" w:type="dxa"/>
            <w:vAlign w:val="bottom"/>
          </w:tcPr>
          <w:p>
            <w:pPr>
              <w:jc w:val="right"/>
              <w:ind w:right="570"/>
              <w:spacing w:after="0"/>
              <w:rPr>
                <w:sz w:val="20"/>
                <w:szCs w:val="20"/>
                <w:color w:val="auto"/>
              </w:rPr>
            </w:pPr>
            <w:r>
              <w:rPr>
                <w:rFonts w:ascii="Arial" w:cs="Arial" w:eastAsia="Arial" w:hAnsi="Arial"/>
                <w:sz w:val="18"/>
                <w:szCs w:val="18"/>
                <w:color w:val="auto"/>
              </w:rPr>
              <w:t>81%</w:t>
            </w:r>
          </w:p>
        </w:tc>
        <w:tc>
          <w:tcPr>
            <w:tcW w:w="2660" w:type="dxa"/>
            <w:vAlign w:val="bottom"/>
          </w:tcPr>
          <w:p>
            <w:pPr>
              <w:jc w:val="right"/>
              <w:ind w:right="1590"/>
              <w:spacing w:after="0"/>
              <w:rPr>
                <w:sz w:val="20"/>
                <w:szCs w:val="20"/>
                <w:color w:val="auto"/>
              </w:rPr>
            </w:pPr>
            <w:r>
              <w:rPr>
                <w:rFonts w:ascii="Arial" w:cs="Arial" w:eastAsia="Arial" w:hAnsi="Arial"/>
                <w:sz w:val="18"/>
                <w:szCs w:val="18"/>
                <w:color w:val="auto"/>
              </w:rPr>
              <w:t>82%</w:t>
            </w:r>
          </w:p>
        </w:tc>
      </w:tr>
      <w:tr>
        <w:trPr>
          <w:trHeight w:val="230"/>
        </w:trPr>
        <w:tc>
          <w:tcPr>
            <w:tcW w:w="46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Provider Solutions</w:t>
            </w:r>
          </w:p>
        </w:tc>
        <w:tc>
          <w:tcPr>
            <w:tcW w:w="3920" w:type="dxa"/>
            <w:vAlign w:val="bottom"/>
            <w:shd w:val="clear" w:color="auto" w:fill="CFF0FC"/>
          </w:tcPr>
          <w:p>
            <w:pPr>
              <w:jc w:val="right"/>
              <w:ind w:right="570"/>
              <w:spacing w:after="0"/>
              <w:rPr>
                <w:sz w:val="20"/>
                <w:szCs w:val="20"/>
                <w:color w:val="auto"/>
              </w:rPr>
            </w:pPr>
            <w:r>
              <w:rPr>
                <w:rFonts w:ascii="Arial" w:cs="Arial" w:eastAsia="Arial" w:hAnsi="Arial"/>
                <w:sz w:val="18"/>
                <w:szCs w:val="18"/>
                <w:color w:val="auto"/>
              </w:rPr>
              <w:t>19%</w:t>
            </w:r>
          </w:p>
        </w:tc>
        <w:tc>
          <w:tcPr>
            <w:tcW w:w="2660" w:type="dxa"/>
            <w:vAlign w:val="bottom"/>
            <w:shd w:val="clear" w:color="auto" w:fill="CFF0FC"/>
          </w:tcPr>
          <w:p>
            <w:pPr>
              <w:jc w:val="right"/>
              <w:ind w:right="1590"/>
              <w:spacing w:after="0"/>
              <w:rPr>
                <w:sz w:val="20"/>
                <w:szCs w:val="20"/>
                <w:color w:val="auto"/>
              </w:rPr>
            </w:pPr>
            <w:r>
              <w:rPr>
                <w:rFonts w:ascii="Arial" w:cs="Arial" w:eastAsia="Arial" w:hAnsi="Arial"/>
                <w:sz w:val="18"/>
                <w:szCs w:val="18"/>
                <w:color w:val="auto"/>
              </w:rPr>
              <w:t>18%</w:t>
            </w:r>
          </w:p>
        </w:tc>
      </w:tr>
    </w:tbl>
    <w:p>
      <w:pPr>
        <w:spacing w:after="0" w:line="32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Revenues for Workforce Solutions decreased $3.5 million, or 7%, to $48.9 million for the three months ended June 30, 2020 from $52.4 million for the three months ended June 30, 2019. Revenues from legacy resuscitation products decreased by $4.8 million, from $10.7 million in the second quarter of 2020 compared to $15.5 million in the second quarter of 2019. Other workforce revenues increased by $1.3 million, representing an increase in platform and content subscriptions of $1.8 million, or 5%, partially offset by a decline in professional services revenues of $0.5 million, or 34%, due to fewer projects than the prior year.</w:t>
      </w:r>
    </w:p>
    <w:p>
      <w:pPr>
        <w:spacing w:after="0" w:line="8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Revenues for Provider Solutions increased $0.3 million, or 3%, to $11.7 million for the three months ended June 30, 2020 from $11.4 million for the three months ended June 30, 2019. Revenue growth of $0.3 million was primarily attributable to $0.4 million in revenues from the CredentialMyDoc acquisition, which was completed in December 2019, partially offset by a decline in professional services $0.1 million.</w:t>
      </w:r>
    </w:p>
    <w:p>
      <w:pPr>
        <w:spacing w:after="0" w:line="7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 xml:space="preserve">Cost of Revenues (excluding depreciation and amortization). </w:t>
      </w:r>
      <w:r>
        <w:rPr>
          <w:rFonts w:ascii="Arial" w:cs="Arial" w:eastAsia="Arial" w:hAnsi="Arial"/>
          <w:sz w:val="18"/>
          <w:szCs w:val="18"/>
          <w:color w:val="auto"/>
        </w:rPr>
        <w:t>Cost of revenues decreased $3.9 million, or 14%, to $22.9 million for the three months ended</w:t>
      </w:r>
      <w:r>
        <w:rPr>
          <w:rFonts w:ascii="Arial" w:cs="Arial" w:eastAsia="Arial" w:hAnsi="Arial"/>
          <w:sz w:val="18"/>
          <w:szCs w:val="18"/>
          <w:i w:val="1"/>
          <w:iCs w:val="1"/>
          <w:color w:val="auto"/>
        </w:rPr>
        <w:t xml:space="preserve"> </w:t>
      </w:r>
      <w:r>
        <w:rPr>
          <w:rFonts w:ascii="Arial" w:cs="Arial" w:eastAsia="Arial" w:hAnsi="Arial"/>
          <w:sz w:val="18"/>
          <w:szCs w:val="18"/>
          <w:color w:val="auto"/>
        </w:rPr>
        <w:t>June 30, 2020 from $26.8 million for the three months ended June 30, 2019. Cost of revenues as a percentage of revenues was 38% and 42% for the three months ended June 30, 2020 and 2019, respectively.</w:t>
      </w:r>
    </w:p>
    <w:p>
      <w:pPr>
        <w:spacing w:after="0" w:line="76"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Cost of revenues for Workforce Solutions decreased $3.8 million to $19.1 million and approximated 39% and 44% of revenues for Workforce Solutions for the three months ended June 30, 2020 and 2019, respectively. The decrease is primarily associated with decreased royalties paid by us resulting from a decline in revenues and lower stock based compensation driven by the impact of the stock awards granted to employees facilitated by our Chief Executive Officer during the three months ended June 30, 2019 as described above. Cost of revenues for Provider Solutions decreased $76,000 to $3.8 million and approximated 33% and 35% of Provider Solutions revenues for the three months ended June 30, 2020 and 2019, respectively. The decrease is primarily associated with lower stock based compensation resulting from the impact of the stock awards granted during the three months ended June 30, 2019 as noted above.</w:t>
      </w:r>
    </w:p>
    <w:p>
      <w:pPr>
        <w:spacing w:after="0" w:line="5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 xml:space="preserve">Product Development. </w:t>
      </w:r>
      <w:r>
        <w:rPr>
          <w:rFonts w:ascii="Arial" w:cs="Arial" w:eastAsia="Arial" w:hAnsi="Arial"/>
          <w:sz w:val="18"/>
          <w:szCs w:val="18"/>
          <w:color w:val="auto"/>
        </w:rPr>
        <w:t>Product development expenses increased $0.2 million, or 2%, to $7.8 million for the three months ended June 30, 2020 from $7.6</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for the three months ended June 30, 2019. Product development expenses as a percentage of revenues were 13% and 12% for the three months ended June 30, 2020 and 2019, respectively.</w:t>
      </w:r>
    </w:p>
    <w:p>
      <w:pPr>
        <w:spacing w:after="0" w:line="76"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Product development expenses for Workforce Solutions decreased $0.2 million to $6.2 million and approximated 13% and 12% of revenues for Workforce Solutions for the three months ended June 30, 2020 and 2019, respectively. The decrease in amount is primarily due to lower stock based compensation as the result of the impact of the stock awards granted during the three months ended June 30, 2019 as noted above. Product development expenses for Provider Solutions increased $0.4 million to $1.6 million and approximated 14% and 11% of revenues for Provider Solutions for the three months ended June 30, 2020 and 2019, respectively. The increase is primarily due to an increase in contract labor and personnel costs.</w:t>
      </w:r>
    </w:p>
    <w:p>
      <w:pPr>
        <w:spacing w:after="0" w:line="5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 xml:space="preserve">Sales and Marketing. </w:t>
      </w:r>
      <w:r>
        <w:rPr>
          <w:rFonts w:ascii="Arial" w:cs="Arial" w:eastAsia="Arial" w:hAnsi="Arial"/>
          <w:sz w:val="18"/>
          <w:szCs w:val="18"/>
          <w:color w:val="auto"/>
        </w:rPr>
        <w:t>Sales and marketing expenses, including personnel costs, decreased $1.6 million, or 16%, to $8.2 million for the three months ended</w:t>
      </w:r>
      <w:r>
        <w:rPr>
          <w:rFonts w:ascii="Arial" w:cs="Arial" w:eastAsia="Arial" w:hAnsi="Arial"/>
          <w:sz w:val="18"/>
          <w:szCs w:val="18"/>
          <w:i w:val="1"/>
          <w:iCs w:val="1"/>
          <w:color w:val="auto"/>
        </w:rPr>
        <w:t xml:space="preserve"> </w:t>
      </w:r>
      <w:r>
        <w:rPr>
          <w:rFonts w:ascii="Arial" w:cs="Arial" w:eastAsia="Arial" w:hAnsi="Arial"/>
          <w:sz w:val="18"/>
          <w:szCs w:val="18"/>
          <w:color w:val="auto"/>
        </w:rPr>
        <w:t>June 30, 2020 from $9.8 million for the three months ended June 30, 2019. Sales and marketing expenses were 14% and 15% of revenues for the three months ended June 30, 2020 and 2019, respectively.</w:t>
      </w:r>
    </w:p>
    <w:p>
      <w:pPr>
        <w:spacing w:after="0" w:line="76"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Sales and marketing expenses for Workforce Solutions decreased $1.6 million to $6.4 million and approximated 13% and 15% of revenues for Workforce Solutions for the three months ended June 30, 2020 and 2019, respectively. The decrease is primarily due lower sales commissions, consistent with the decreases in revenues, decreases in travel and entertainment expenses as well as tradeshow expenses as a result of COVID-19 conditions as set forth above, as well as a lower stock based compensation resulting from the impact of the stock awards granted during the three months ended June 30, 2019 as noted above. Sales and marketing expenses for Provider Solutions decreased $11,000 to $1.5 million and approximated 13% and 14% of revenues for Provider</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229235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59" w:right="339" w:bottom="1440" w:gutter="0" w:footer="0" w:header="0"/>
        </w:sectPr>
      </w:pPr>
    </w:p>
    <w:bookmarkStart w:id="24" w:name="page25"/>
    <w:bookmarkEnd w:id="24"/>
    <w:p>
      <w:pPr>
        <w:jc w:val="both"/>
        <w:spacing w:after="0" w:line="277" w:lineRule="auto"/>
        <w:rPr>
          <w:sz w:val="20"/>
          <w:szCs w:val="20"/>
          <w:color w:val="auto"/>
        </w:rPr>
      </w:pPr>
      <w:r>
        <w:rPr>
          <w:rFonts w:ascii="Arial" w:cs="Arial" w:eastAsia="Arial" w:hAnsi="Arial"/>
          <w:sz w:val="18"/>
          <w:szCs w:val="18"/>
          <w:color w:val="auto"/>
        </w:rPr>
        <w:t>Solutions for the three months ended June 30, 2020 and 2019, respectively. The unallocated portion of sales and marketing expenses increased $45,000 to $0.3 million compared to the prior year period.</w:t>
      </w:r>
    </w:p>
    <w:p>
      <w:pPr>
        <w:spacing w:after="0" w:line="6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 xml:space="preserve">Other General and Administrative Expenses. </w:t>
      </w:r>
      <w:r>
        <w:rPr>
          <w:rFonts w:ascii="Arial" w:cs="Arial" w:eastAsia="Arial" w:hAnsi="Arial"/>
          <w:sz w:val="18"/>
          <w:szCs w:val="18"/>
          <w:color w:val="auto"/>
        </w:rPr>
        <w:t>Other general and administrative expenses decreased $0.2 million, or 2%, to $10.1 million for the</w:t>
      </w:r>
      <w:r>
        <w:rPr>
          <w:rFonts w:ascii="Arial" w:cs="Arial" w:eastAsia="Arial" w:hAnsi="Arial"/>
          <w:sz w:val="18"/>
          <w:szCs w:val="18"/>
          <w:i w:val="1"/>
          <w:iCs w:val="1"/>
          <w:color w:val="auto"/>
        </w:rPr>
        <w:t xml:space="preserve"> </w:t>
      </w:r>
      <w:r>
        <w:rPr>
          <w:rFonts w:ascii="Arial" w:cs="Arial" w:eastAsia="Arial" w:hAnsi="Arial"/>
          <w:sz w:val="18"/>
          <w:szCs w:val="18"/>
          <w:color w:val="auto"/>
        </w:rPr>
        <w:t>three months ended June 30, 2020 from $10.3 million for the three months ended June 30, 2019. Other general and administrative expenses as a percentage of revenues were 17% and 16% of revenues for the three months ended June 30, 2020 and 2019, respectively.</w:t>
      </w:r>
    </w:p>
    <w:p>
      <w:pPr>
        <w:spacing w:after="0" w:line="76"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Other general and administrative expenses for Workforce Solutions increased $0.3 million to $3.9 million and approximated 8% and 7% of Workforce Solutions revenues for the three months ended June 30, 2020 and 2019, respectively. The increase is primarily due to increases in infrastructure expenses and the acquisition of NurseGrid in March 2020. Other general and administrative expenses for Provider Solutions increased $18,000 to $0.8 million and approximated 7% of Provider Solutions revenues for both the three months ended June 30, 2020 and 2019. The unallocated corporate portion of other general and administrative expenses decreased $0.5 million to $5.4 million compared to the prior year period primarily due to decreases to contract labor and stock based compensation resulting from the impact of the stock awards granted during the three months ended June 30, 2019 as noted above.</w:t>
      </w:r>
    </w:p>
    <w:p>
      <w:pPr>
        <w:spacing w:after="0" w:line="56" w:lineRule="exact"/>
        <w:rPr>
          <w:sz w:val="20"/>
          <w:szCs w:val="20"/>
          <w:color w:val="auto"/>
        </w:rPr>
      </w:pPr>
    </w:p>
    <w:p>
      <w:pPr>
        <w:jc w:val="both"/>
        <w:spacing w:after="0" w:line="342" w:lineRule="auto"/>
        <w:rPr>
          <w:sz w:val="20"/>
          <w:szCs w:val="20"/>
          <w:color w:val="auto"/>
        </w:rPr>
      </w:pPr>
      <w:r>
        <w:rPr>
          <w:rFonts w:ascii="Arial" w:cs="Arial" w:eastAsia="Arial" w:hAnsi="Arial"/>
          <w:sz w:val="16"/>
          <w:szCs w:val="16"/>
          <w:i w:val="1"/>
          <w:iCs w:val="1"/>
          <w:color w:val="auto"/>
        </w:rPr>
        <w:t xml:space="preserve">Depreciation and Amortization. </w:t>
      </w:r>
      <w:r>
        <w:rPr>
          <w:rFonts w:ascii="Arial" w:cs="Arial" w:eastAsia="Arial" w:hAnsi="Arial"/>
          <w:sz w:val="16"/>
          <w:szCs w:val="16"/>
          <w:color w:val="auto"/>
        </w:rPr>
        <w:t>Depreciation and amortization increased $0.3 million, or 3%, to $7.2 million for the three months ended June 30, 2020 from</w:t>
      </w:r>
      <w:r>
        <w:rPr>
          <w:rFonts w:ascii="Arial" w:cs="Arial" w:eastAsia="Arial" w:hAnsi="Arial"/>
          <w:sz w:val="16"/>
          <w:szCs w:val="16"/>
          <w:i w:val="1"/>
          <w:iCs w:val="1"/>
          <w:color w:val="auto"/>
        </w:rPr>
        <w:t xml:space="preserve"> </w:t>
      </w:r>
      <w:r>
        <w:rPr>
          <w:rFonts w:ascii="Arial" w:cs="Arial" w:eastAsia="Arial" w:hAnsi="Arial"/>
          <w:sz w:val="16"/>
          <w:szCs w:val="16"/>
          <w:color w:val="auto"/>
        </w:rPr>
        <w:t>$6.9 million for the three months ended June 20, 2019. The increase resulted from an increase in amortization of capitalized software and intangible assets.</w:t>
      </w:r>
    </w:p>
    <w:p>
      <w:pPr>
        <w:spacing w:after="0" w:line="1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Other Income, Net</w:t>
      </w:r>
      <w:r>
        <w:rPr>
          <w:rFonts w:ascii="Arial" w:cs="Arial" w:eastAsia="Arial" w:hAnsi="Arial"/>
          <w:sz w:val="18"/>
          <w:szCs w:val="18"/>
          <w:color w:val="auto"/>
        </w:rPr>
        <w:t>. Other income, net was $0.2 million for the three months ended June 30, 2020 compared to $0.9 million for the three months ended</w:t>
      </w:r>
      <w:r>
        <w:rPr>
          <w:rFonts w:ascii="Arial" w:cs="Arial" w:eastAsia="Arial" w:hAnsi="Arial"/>
          <w:sz w:val="18"/>
          <w:szCs w:val="18"/>
          <w:i w:val="1"/>
          <w:iCs w:val="1"/>
          <w:color w:val="auto"/>
        </w:rPr>
        <w:t xml:space="preserve"> </w:t>
      </w:r>
      <w:r>
        <w:rPr>
          <w:rFonts w:ascii="Arial" w:cs="Arial" w:eastAsia="Arial" w:hAnsi="Arial"/>
          <w:sz w:val="18"/>
          <w:szCs w:val="18"/>
          <w:color w:val="auto"/>
        </w:rPr>
        <w:t>June 30, 2019. The decrease is a result of lower interest income from cash and investments in marketable securities due to reductions in bond yields and bank interest rates.</w:t>
      </w:r>
    </w:p>
    <w:p>
      <w:pPr>
        <w:spacing w:after="0" w:line="7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 xml:space="preserve">Income Tax Provision. </w:t>
      </w:r>
      <w:r>
        <w:rPr>
          <w:rFonts w:ascii="Arial" w:cs="Arial" w:eastAsia="Arial" w:hAnsi="Arial"/>
          <w:sz w:val="18"/>
          <w:szCs w:val="18"/>
          <w:color w:val="auto"/>
        </w:rPr>
        <w:t>The Company recorded a provision for income taxes of $1.1 million for the three months ended June 30, 2020 compared to $0.7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for the three months ended June 30, 2019. The Company’s effective tax rate was 24% and 23% for the three months ended June 30, 2020 and 2019, respectively.</w:t>
      </w:r>
    </w:p>
    <w:p>
      <w:pPr>
        <w:spacing w:after="0" w:line="7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 xml:space="preserve">Net Income. </w:t>
      </w:r>
      <w:r>
        <w:rPr>
          <w:rFonts w:ascii="Arial" w:cs="Arial" w:eastAsia="Arial" w:hAnsi="Arial"/>
          <w:sz w:val="18"/>
          <w:szCs w:val="18"/>
          <w:color w:val="auto"/>
        </w:rPr>
        <w:t>Net income was $3.4 million in the second quarter of 2020, up 43% from $2.4 million in the second quarter of 2019, which increase was driven by</w:t>
      </w:r>
      <w:r>
        <w:rPr>
          <w:rFonts w:ascii="Arial" w:cs="Arial" w:eastAsia="Arial" w:hAnsi="Arial"/>
          <w:sz w:val="18"/>
          <w:szCs w:val="18"/>
          <w:i w:val="1"/>
          <w:iCs w:val="1"/>
          <w:color w:val="auto"/>
        </w:rPr>
        <w:t xml:space="preserve"> </w:t>
      </w:r>
      <w:r>
        <w:rPr>
          <w:rFonts w:ascii="Arial" w:cs="Arial" w:eastAsia="Arial" w:hAnsi="Arial"/>
          <w:sz w:val="18"/>
          <w:szCs w:val="18"/>
          <w:color w:val="auto"/>
        </w:rPr>
        <w:t>the $1.7 million charge, net of tax, associated with the stock grant to employees that occurred in June 2019. Earnings per diluted share were $0.11 and $0.07 per share for the three months ended June 30, 2020 and 2019, respectively.</w:t>
      </w:r>
    </w:p>
    <w:p>
      <w:pPr>
        <w:spacing w:after="0" w:line="7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Adjusted EBITDA (a non-GAAP financial measure which we define as net income before interest, income taxes, stock based compensation, depreciation and amortization, changes in fair value of non-marketable equity investments, and the de-recognition of non-cash royalty expense resulting from our resolution of a mutual disagreement related to various elements of a past partnership which resulted in a reduction to costs of revenues in the first quarter of 2020) increased 2% to $12.0 million for the three months ended June 30, 2020 compared to $11.8 million for the three months ended June 30, 2019. See “Reconciliation of Non-GAAP Financial Measures” below for our reconciliation of Adjusted EBITDA to the most directly comparable measures under US GAAP.</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Six Months Ended June 30, 2020 Compared to Six Months Ended June 30, 2019</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Revenues, net. </w:t>
      </w:r>
      <w:r>
        <w:rPr>
          <w:rFonts w:ascii="Arial" w:cs="Arial" w:eastAsia="Arial" w:hAnsi="Arial"/>
          <w:sz w:val="18"/>
          <w:szCs w:val="18"/>
          <w:color w:val="auto"/>
        </w:rPr>
        <w:t>Revenues decreased $6.8 million, or 5%, to $122.1 million for the six months ended June 30, 2020 from $129.0 million for the six months</w:t>
      </w:r>
      <w:r>
        <w:rPr>
          <w:rFonts w:ascii="Arial" w:cs="Arial" w:eastAsia="Arial" w:hAnsi="Arial"/>
          <w:sz w:val="18"/>
          <w:szCs w:val="18"/>
          <w:i w:val="1"/>
          <w:iCs w:val="1"/>
          <w:color w:val="auto"/>
        </w:rPr>
        <w:t xml:space="preserve"> </w:t>
      </w:r>
      <w:r>
        <w:rPr>
          <w:rFonts w:ascii="Arial" w:cs="Arial" w:eastAsia="Arial" w:hAnsi="Arial"/>
          <w:sz w:val="18"/>
          <w:szCs w:val="18"/>
          <w:color w:val="auto"/>
        </w:rPr>
        <w:t>ended June 30, 2019.</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A comparison of revenues by business segment is as follows (in thousands):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3"/>
              </w:rPr>
              <w:t>Six Months Ended</w:t>
            </w:r>
          </w:p>
        </w:tc>
        <w:tc>
          <w:tcPr>
            <w:tcW w:w="3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646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center"/>
              <w:ind w:right="157"/>
              <w:spacing w:after="0"/>
              <w:rPr>
                <w:sz w:val="20"/>
                <w:szCs w:val="20"/>
                <w:color w:val="auto"/>
              </w:rPr>
            </w:pPr>
            <w:r>
              <w:rPr>
                <w:rFonts w:ascii="Arial" w:cs="Arial" w:eastAsia="Arial" w:hAnsi="Arial"/>
                <w:sz w:val="14"/>
                <w:szCs w:val="14"/>
                <w:b w:val="1"/>
                <w:bCs w:val="1"/>
                <w:color w:val="auto"/>
                <w:w w:val="92"/>
              </w:rPr>
              <w:t>June 30,</w:t>
            </w:r>
          </w:p>
        </w:tc>
        <w:tc>
          <w:tcPr>
            <w:tcW w:w="34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6460" w:type="dxa"/>
            <w:vAlign w:val="bottom"/>
            <w:vMerge w:val="restart"/>
          </w:tcPr>
          <w:p>
            <w:pPr>
              <w:spacing w:after="0"/>
              <w:rPr>
                <w:sz w:val="20"/>
                <w:szCs w:val="20"/>
                <w:color w:val="auto"/>
              </w:rPr>
            </w:pPr>
            <w:r>
              <w:rPr>
                <w:rFonts w:ascii="Arial" w:cs="Arial" w:eastAsia="Arial" w:hAnsi="Arial"/>
                <w:sz w:val="14"/>
                <w:szCs w:val="14"/>
                <w:b w:val="1"/>
                <w:bCs w:val="1"/>
                <w:color w:val="auto"/>
              </w:rPr>
              <w:t>Revenues by Business Segment:</w:t>
            </w:r>
          </w:p>
        </w:tc>
        <w:tc>
          <w:tcPr>
            <w:tcW w:w="300" w:type="dxa"/>
            <w:vAlign w:val="bottom"/>
          </w:tcPr>
          <w:p>
            <w:pPr>
              <w:spacing w:after="0"/>
              <w:rPr>
                <w:sz w:val="11"/>
                <w:szCs w:val="11"/>
                <w:color w:val="auto"/>
              </w:rPr>
            </w:pPr>
          </w:p>
        </w:tc>
        <w:tc>
          <w:tcPr>
            <w:tcW w:w="1020" w:type="dxa"/>
            <w:vAlign w:val="bottom"/>
            <w:vMerge w:val="restart"/>
          </w:tcPr>
          <w:p>
            <w:pPr>
              <w:jc w:val="right"/>
              <w:ind w:right="435"/>
              <w:spacing w:after="0"/>
              <w:rPr>
                <w:sz w:val="20"/>
                <w:szCs w:val="20"/>
                <w:color w:val="auto"/>
              </w:rPr>
            </w:pPr>
            <w:r>
              <w:rPr>
                <w:rFonts w:ascii="Arial" w:cs="Arial" w:eastAsia="Arial" w:hAnsi="Arial"/>
                <w:sz w:val="14"/>
                <w:szCs w:val="14"/>
                <w:b w:val="1"/>
                <w:bCs w:val="1"/>
                <w:color w:val="auto"/>
              </w:rPr>
              <w:t>2020</w:t>
            </w:r>
          </w:p>
        </w:tc>
        <w:tc>
          <w:tcPr>
            <w:tcW w:w="3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80" w:type="dxa"/>
            <w:vAlign w:val="bottom"/>
            <w:vMerge w:val="restart"/>
          </w:tcPr>
          <w:p>
            <w:pPr>
              <w:jc w:val="center"/>
              <w:ind w:right="157"/>
              <w:spacing w:after="0"/>
              <w:rPr>
                <w:sz w:val="20"/>
                <w:szCs w:val="20"/>
                <w:color w:val="auto"/>
              </w:rPr>
            </w:pPr>
            <w:r>
              <w:rPr>
                <w:rFonts w:ascii="Arial" w:cs="Arial" w:eastAsia="Arial" w:hAnsi="Arial"/>
                <w:sz w:val="14"/>
                <w:szCs w:val="14"/>
                <w:b w:val="1"/>
                <w:bCs w:val="1"/>
                <w:color w:val="auto"/>
                <w:w w:val="89"/>
              </w:rPr>
              <w:t>2019</w:t>
            </w:r>
          </w:p>
        </w:tc>
        <w:tc>
          <w:tcPr>
            <w:tcW w:w="340" w:type="dxa"/>
            <w:vAlign w:val="bottom"/>
          </w:tcPr>
          <w:p>
            <w:pPr>
              <w:spacing w:after="0"/>
              <w:rPr>
                <w:sz w:val="11"/>
                <w:szCs w:val="11"/>
                <w:color w:val="auto"/>
              </w:rPr>
            </w:pPr>
          </w:p>
        </w:tc>
        <w:tc>
          <w:tcPr>
            <w:tcW w:w="130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0"/>
              </w:rPr>
              <w:t>Percentage</w:t>
            </w: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6460" w:type="dxa"/>
            <w:vAlign w:val="bottom"/>
            <w:tcBorders>
              <w:bottom w:val="single" w:sz="8" w:color="CFF0FC"/>
            </w:tcBorders>
            <w:vMerge w:val="continue"/>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vMerge w:val="continue"/>
          </w:tcPr>
          <w:p>
            <w:pPr>
              <w:spacing w:after="0"/>
              <w:rPr>
                <w:sz w:val="14"/>
                <w:szCs w:val="14"/>
                <w:color w:val="auto"/>
              </w:rPr>
            </w:pPr>
          </w:p>
        </w:tc>
        <w:tc>
          <w:tcPr>
            <w:tcW w:w="320" w:type="dxa"/>
            <w:vAlign w:val="bottom"/>
            <w:tcBorders>
              <w:bottom w:val="single" w:sz="8" w:color="CFF0FC"/>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vMerge w:val="continue"/>
          </w:tcPr>
          <w:p>
            <w:pPr>
              <w:spacing w:after="0"/>
              <w:rPr>
                <w:sz w:val="14"/>
                <w:szCs w:val="14"/>
                <w:color w:val="auto"/>
              </w:rPr>
            </w:pPr>
          </w:p>
        </w:tc>
        <w:tc>
          <w:tcPr>
            <w:tcW w:w="340" w:type="dxa"/>
            <w:vAlign w:val="bottom"/>
            <w:tcBorders>
              <w:bottom w:val="single" w:sz="8" w:color="CFF0FC"/>
            </w:tcBorders>
          </w:tcPr>
          <w:p>
            <w:pPr>
              <w:spacing w:after="0"/>
              <w:rPr>
                <w:sz w:val="14"/>
                <w:szCs w:val="14"/>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Change</w:t>
            </w:r>
          </w:p>
        </w:tc>
        <w:tc>
          <w:tcPr>
            <w:tcW w:w="18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64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Workforce Solutions</w:t>
            </w: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98,712</w:t>
            </w:r>
          </w:p>
        </w:tc>
        <w:tc>
          <w:tcPr>
            <w:tcW w:w="32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6"/>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106,716</w:t>
            </w:r>
          </w:p>
        </w:tc>
        <w:tc>
          <w:tcPr>
            <w:tcW w:w="34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30"/>
        </w:trPr>
        <w:tc>
          <w:tcPr>
            <w:tcW w:w="646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Provider Solutions</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23,413</w:t>
            </w:r>
          </w:p>
        </w:tc>
        <w:tc>
          <w:tcPr>
            <w:tcW w:w="32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22,251</w:t>
            </w:r>
          </w:p>
        </w:tc>
        <w:tc>
          <w:tcPr>
            <w:tcW w:w="1820" w:type="dxa"/>
            <w:vAlign w:val="bottom"/>
            <w:tcBorders>
              <w:bottom w:val="single" w:sz="8" w:color="CFF0FC"/>
            </w:tcBorders>
            <w:gridSpan w:val="3"/>
          </w:tcPr>
          <w:p>
            <w:pPr>
              <w:jc w:val="right"/>
              <w:ind w:right="2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23"/>
        </w:trPr>
        <w:tc>
          <w:tcPr>
            <w:tcW w:w="6460" w:type="dxa"/>
            <w:vAlign w:val="bottom"/>
            <w:tcBorders>
              <w:bottom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Total revenues, net</w:t>
            </w: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122,125</w:t>
            </w:r>
          </w:p>
        </w:tc>
        <w:tc>
          <w:tcPr>
            <w:tcW w:w="32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56"/>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128,967</w:t>
            </w:r>
          </w:p>
        </w:tc>
        <w:tc>
          <w:tcPr>
            <w:tcW w:w="1820" w:type="dxa"/>
            <w:vAlign w:val="bottom"/>
            <w:tcBorders>
              <w:bottom w:val="single" w:sz="8" w:color="CFF0FC"/>
            </w:tcBorders>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64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46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4"/>
                <w:szCs w:val="14"/>
                <w:b w:val="1"/>
                <w:bCs w:val="1"/>
                <w:color w:val="auto"/>
              </w:rPr>
              <w:t>% of Revenues</w:t>
            </w:r>
          </w:p>
        </w:tc>
        <w:tc>
          <w:tcPr>
            <w:tcW w:w="3920" w:type="dxa"/>
            <w:vAlign w:val="bottom"/>
            <w:tcBorders>
              <w:bottom w:val="single" w:sz="8" w:color="CFF0FC"/>
            </w:tcBorders>
            <w:shd w:val="clear" w:color="auto" w:fill="CFF0FC"/>
          </w:tcPr>
          <w:p>
            <w:pPr>
              <w:spacing w:after="0"/>
              <w:rPr>
                <w:sz w:val="18"/>
                <w:szCs w:val="18"/>
                <w:color w:val="auto"/>
              </w:rPr>
            </w:pPr>
          </w:p>
        </w:tc>
        <w:tc>
          <w:tcPr>
            <w:tcW w:w="2660" w:type="dxa"/>
            <w:vAlign w:val="bottom"/>
            <w:tcBorders>
              <w:bottom w:val="single" w:sz="8" w:color="CFF0FC"/>
            </w:tcBorders>
            <w:shd w:val="clear" w:color="auto" w:fill="CFF0FC"/>
          </w:tcPr>
          <w:p>
            <w:pPr>
              <w:spacing w:after="0"/>
              <w:rPr>
                <w:sz w:val="18"/>
                <w:szCs w:val="18"/>
                <w:color w:val="auto"/>
              </w:rPr>
            </w:pPr>
          </w:p>
        </w:tc>
      </w:tr>
      <w:tr>
        <w:trPr>
          <w:trHeight w:val="230"/>
        </w:trPr>
        <w:tc>
          <w:tcPr>
            <w:tcW w:w="4660" w:type="dxa"/>
            <w:vAlign w:val="bottom"/>
          </w:tcPr>
          <w:p>
            <w:pPr>
              <w:ind w:left="260"/>
              <w:spacing w:after="0"/>
              <w:rPr>
                <w:sz w:val="20"/>
                <w:szCs w:val="20"/>
                <w:color w:val="auto"/>
              </w:rPr>
            </w:pPr>
            <w:r>
              <w:rPr>
                <w:rFonts w:ascii="Arial" w:cs="Arial" w:eastAsia="Arial" w:hAnsi="Arial"/>
                <w:sz w:val="18"/>
                <w:szCs w:val="18"/>
                <w:color w:val="auto"/>
              </w:rPr>
              <w:t>Workforce Solutions</w:t>
            </w:r>
          </w:p>
        </w:tc>
        <w:tc>
          <w:tcPr>
            <w:tcW w:w="3920" w:type="dxa"/>
            <w:vAlign w:val="bottom"/>
          </w:tcPr>
          <w:p>
            <w:pPr>
              <w:jc w:val="right"/>
              <w:ind w:right="570"/>
              <w:spacing w:after="0"/>
              <w:rPr>
                <w:sz w:val="20"/>
                <w:szCs w:val="20"/>
                <w:color w:val="auto"/>
              </w:rPr>
            </w:pPr>
            <w:r>
              <w:rPr>
                <w:rFonts w:ascii="Arial" w:cs="Arial" w:eastAsia="Arial" w:hAnsi="Arial"/>
                <w:sz w:val="18"/>
                <w:szCs w:val="18"/>
                <w:color w:val="auto"/>
              </w:rPr>
              <w:t>81%</w:t>
            </w:r>
          </w:p>
        </w:tc>
        <w:tc>
          <w:tcPr>
            <w:tcW w:w="2660" w:type="dxa"/>
            <w:vAlign w:val="bottom"/>
          </w:tcPr>
          <w:p>
            <w:pPr>
              <w:jc w:val="right"/>
              <w:ind w:right="1590"/>
              <w:spacing w:after="0"/>
              <w:rPr>
                <w:sz w:val="20"/>
                <w:szCs w:val="20"/>
                <w:color w:val="auto"/>
              </w:rPr>
            </w:pPr>
            <w:r>
              <w:rPr>
                <w:rFonts w:ascii="Arial" w:cs="Arial" w:eastAsia="Arial" w:hAnsi="Arial"/>
                <w:sz w:val="18"/>
                <w:szCs w:val="18"/>
                <w:color w:val="auto"/>
              </w:rPr>
              <w:t>83%</w:t>
            </w:r>
          </w:p>
        </w:tc>
      </w:tr>
      <w:tr>
        <w:trPr>
          <w:trHeight w:val="230"/>
        </w:trPr>
        <w:tc>
          <w:tcPr>
            <w:tcW w:w="46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Provider Solutions</w:t>
            </w:r>
          </w:p>
        </w:tc>
        <w:tc>
          <w:tcPr>
            <w:tcW w:w="3920" w:type="dxa"/>
            <w:vAlign w:val="bottom"/>
            <w:shd w:val="clear" w:color="auto" w:fill="CFF0FC"/>
          </w:tcPr>
          <w:p>
            <w:pPr>
              <w:jc w:val="right"/>
              <w:ind w:right="570"/>
              <w:spacing w:after="0"/>
              <w:rPr>
                <w:sz w:val="20"/>
                <w:szCs w:val="20"/>
                <w:color w:val="auto"/>
              </w:rPr>
            </w:pPr>
            <w:r>
              <w:rPr>
                <w:rFonts w:ascii="Arial" w:cs="Arial" w:eastAsia="Arial" w:hAnsi="Arial"/>
                <w:sz w:val="18"/>
                <w:szCs w:val="18"/>
                <w:color w:val="auto"/>
              </w:rPr>
              <w:t>19%</w:t>
            </w:r>
          </w:p>
        </w:tc>
        <w:tc>
          <w:tcPr>
            <w:tcW w:w="2660" w:type="dxa"/>
            <w:vAlign w:val="bottom"/>
            <w:shd w:val="clear" w:color="auto" w:fill="CFF0FC"/>
          </w:tcPr>
          <w:p>
            <w:pPr>
              <w:jc w:val="right"/>
              <w:ind w:right="1590"/>
              <w:spacing w:after="0"/>
              <w:rPr>
                <w:sz w:val="20"/>
                <w:szCs w:val="20"/>
                <w:color w:val="auto"/>
              </w:rPr>
            </w:pPr>
            <w:r>
              <w:rPr>
                <w:rFonts w:ascii="Arial" w:cs="Arial" w:eastAsia="Arial" w:hAnsi="Arial"/>
                <w:sz w:val="18"/>
                <w:szCs w:val="18"/>
                <w:color w:val="auto"/>
              </w:rPr>
              <w:t>17%</w:t>
            </w:r>
          </w:p>
        </w:tc>
      </w:tr>
    </w:tbl>
    <w:p>
      <w:pPr>
        <w:spacing w:after="0" w:line="9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Revenues for Workforce Solutions decreased $8.0 million, or 8%, over the first six months of 2019. Revenue from our legacy resuscitation products declined by $10.9 million, which were $21.9 million in the first six months of 2020 compared to $32.8 million in the first six months of 2019. Other workforce revenues increased by $2.9 million, representing an increase in platform</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229235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63"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color w:val="auto"/>
        </w:rPr>
        <w:t>and content subscriptions of $3.5 million, or 5%, partially offset by a decline in professional services revenues of $0.6 million, or 23%.</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Revenues for Provider Solutions increased $1.2 million, or 5%, over the first six months of 2019. Revenue growth was primarily attributable to the CredentialMyDoc acquisition, which was completed in December 2019, contributing $0.8 million in revenues, along with new VerityStream platform subscriptions and professional services for implementation of new customers.</w:t>
      </w:r>
    </w:p>
    <w:p>
      <w:pPr>
        <w:spacing w:after="0" w:line="7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 xml:space="preserve">Cost of Revenues (excluding depreciation and amortization). </w:t>
      </w:r>
      <w:r>
        <w:rPr>
          <w:rFonts w:ascii="Arial" w:cs="Arial" w:eastAsia="Arial" w:hAnsi="Arial"/>
          <w:sz w:val="18"/>
          <w:szCs w:val="18"/>
          <w:color w:val="auto"/>
        </w:rPr>
        <w:t>Cost of revenues decreased $10.4 million, or 19%, to $43.3 million for the six months ended</w:t>
      </w:r>
      <w:r>
        <w:rPr>
          <w:rFonts w:ascii="Arial" w:cs="Arial" w:eastAsia="Arial" w:hAnsi="Arial"/>
          <w:sz w:val="18"/>
          <w:szCs w:val="18"/>
          <w:i w:val="1"/>
          <w:iCs w:val="1"/>
          <w:color w:val="auto"/>
        </w:rPr>
        <w:t xml:space="preserve"> </w:t>
      </w:r>
      <w:r>
        <w:rPr>
          <w:rFonts w:ascii="Arial" w:cs="Arial" w:eastAsia="Arial" w:hAnsi="Arial"/>
          <w:sz w:val="18"/>
          <w:szCs w:val="18"/>
          <w:color w:val="auto"/>
        </w:rPr>
        <w:t>June 30, 2020 from $53.7 million for the six months ended June 30, 2019. Cost of revenues as a percentage of revenues was 35% and 42% for the six months ended June 30, 2020 and 2019, respectively.</w:t>
      </w:r>
    </w:p>
    <w:p>
      <w:pPr>
        <w:spacing w:after="0" w:line="76"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Cost of revenues for Workforce Solutions decreased $10.6 million to $35.5 million and approximated 36% and 43% of revenues for Workforce Solutions for the six months ended June 30, 2020 and 2019, respectively. The decrease is primarily associated with the favorable $3.4 million contractual adjustment that resulted in a decrease to royalty expense upon the resolution of a mutual disagreement relating to various elements of a past partnership recorded in the first quarter of 2020. In addition, cost of revenues for Workforce Solutions benefited from lower royalty expense associated with the decline in the legacy resuscitation revenues and lower stock based compensation resulting from the impact of the stock awards granted to employees facilitated by our Chief Executive Officer during the six months ended June 30, 2019 as noted above. Cost of revenues for Provider Solutions increased $0.2 million to $7.8 million and approximated 33% and 34% of Provider Solutions revenues for the six months ended June 30, 2020 and 2019, respectively. The increase in amount is primarily due to increased personnel over the prior year period.</w:t>
      </w:r>
    </w:p>
    <w:p>
      <w:pPr>
        <w:spacing w:after="0" w:line="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 xml:space="preserve">Product Development. </w:t>
      </w:r>
      <w:r>
        <w:rPr>
          <w:rFonts w:ascii="Arial" w:cs="Arial" w:eastAsia="Arial" w:hAnsi="Arial"/>
          <w:sz w:val="18"/>
          <w:szCs w:val="18"/>
          <w:color w:val="auto"/>
        </w:rPr>
        <w:t>Product development expenses increased $0.7 million, or 5%, to $15.3 million for the six months ended June 30, 2020 from $14.6</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for the six months ended June 30, 2019. Product development expenses as a percentage of revenues were 13% and 11% of revenues for the six months ended June 30, 2020 and 2019, respectively.</w:t>
      </w:r>
    </w:p>
    <w:p>
      <w:pPr>
        <w:spacing w:after="0" w:line="76"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Product development expenses for Workforce Solutions decreased $0.1 million to $12.1 million and approximated 12% and 11% of revenues for Workforce Solutions for the six months ended June 30, 2020 and 2019, respectively. The decrease in amount is primarily due to lower stock based compensation as the result of the impact of the stock awards granted during the three months ended June 30, 2019 as noted above. Product development expenses for Provider Solutions increased $0.8 million to $3.2 million and approximated 14% and 11% of revenues for HealthStream Solutions for the six months ended June 30, 2020 and 2019, respectively. The increase is primarily due to increased personnel and contract labor over the prior year period.</w:t>
      </w:r>
    </w:p>
    <w:p>
      <w:pPr>
        <w:spacing w:after="0" w:line="5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 xml:space="preserve">Sales and Marketing. </w:t>
      </w:r>
      <w:r>
        <w:rPr>
          <w:rFonts w:ascii="Arial" w:cs="Arial" w:eastAsia="Arial" w:hAnsi="Arial"/>
          <w:sz w:val="18"/>
          <w:szCs w:val="18"/>
          <w:color w:val="auto"/>
        </w:rPr>
        <w:t>Sales and marketing expenses, including personnel costs, decreased $1.9 million, or 10%, to $17.4 million for the six months ended</w:t>
      </w:r>
      <w:r>
        <w:rPr>
          <w:rFonts w:ascii="Arial" w:cs="Arial" w:eastAsia="Arial" w:hAnsi="Arial"/>
          <w:sz w:val="18"/>
          <w:szCs w:val="18"/>
          <w:i w:val="1"/>
          <w:iCs w:val="1"/>
          <w:color w:val="auto"/>
        </w:rPr>
        <w:t xml:space="preserve"> </w:t>
      </w:r>
      <w:r>
        <w:rPr>
          <w:rFonts w:ascii="Arial" w:cs="Arial" w:eastAsia="Arial" w:hAnsi="Arial"/>
          <w:sz w:val="18"/>
          <w:szCs w:val="18"/>
          <w:color w:val="auto"/>
        </w:rPr>
        <w:t>June 30, 2020 from $19.3 million for the six months ended June 30, 2019. Sales and marketing expenses were 14% and 15% of revenues for the six months ended June 30, 2020 and 2019, respectively.</w:t>
      </w:r>
    </w:p>
    <w:p>
      <w:pPr>
        <w:spacing w:after="0" w:line="7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Sales and marketing expenses for Workforce Solutions decreased $2.1 million to $13.7 million and approximated 14% and 15% of revenues for Workforce Solutions for the six months ended June 30, 2020 and 2019, respectively. The decrease is primarily due to lower sales commissions, consistent with the decreases in revenues, decreases in travel and entertainment expenses as well as tradeshow expenses as a result of COVID-19 conditions as set forth above, and declines in general marketing expenses. Sales and marketing expenses for Provider Solutions increased $0.1 million to $3.1 million and approximated 13% of revenues for Provider Solutions for both the six months ended June 30, 2020 and 2019. The increase in amount is primarily due to higher sales commissions, consistent with the increases in revenues. The unallocated portion of sales and marketing expenses increased $29,000 to $0.6 million compared to the prior year period.</w:t>
      </w:r>
    </w:p>
    <w:p>
      <w:pPr>
        <w:spacing w:after="0" w:line="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 xml:space="preserve">Other General and Administrative Expenses. </w:t>
      </w:r>
      <w:r>
        <w:rPr>
          <w:rFonts w:ascii="Arial" w:cs="Arial" w:eastAsia="Arial" w:hAnsi="Arial"/>
          <w:sz w:val="18"/>
          <w:szCs w:val="18"/>
          <w:color w:val="auto"/>
        </w:rPr>
        <w:t>Other general and administrative expenses decreased $0.3 million, or 2%, to $20.0 million for the six months</w:t>
      </w:r>
      <w:r>
        <w:rPr>
          <w:rFonts w:ascii="Arial" w:cs="Arial" w:eastAsia="Arial" w:hAnsi="Arial"/>
          <w:sz w:val="18"/>
          <w:szCs w:val="18"/>
          <w:i w:val="1"/>
          <w:iCs w:val="1"/>
          <w:color w:val="auto"/>
        </w:rPr>
        <w:t xml:space="preserve"> </w:t>
      </w:r>
      <w:r>
        <w:rPr>
          <w:rFonts w:ascii="Arial" w:cs="Arial" w:eastAsia="Arial" w:hAnsi="Arial"/>
          <w:sz w:val="18"/>
          <w:szCs w:val="18"/>
          <w:color w:val="auto"/>
        </w:rPr>
        <w:t>ended June 30, 2020 from $20.3 million for the six months ended June 30, 2019. Other general and administrative expenses as a percentage of revenues were 16% of revenues for both the six months ended June 30, 2020 and 2019.</w:t>
      </w:r>
    </w:p>
    <w:p>
      <w:pPr>
        <w:spacing w:after="0" w:line="76"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Other general and administrative expenses for Workforce Solutions increased $0.9 million to $7.8 million and approximated 8% and 6% of revenues for Workforce Solutions for the six months ended June 30, 2020 and 2019, respectively. The increase is primarily due to increases in infrastructure expenses and the acquisition of NurseGrid in March 2020. Other general and administrative expenses for Provider Solutions decreased $0.1 million to $1.6 million and approximated 7% and 8% of revenues for Provider Solutions for the six months ended June 30, 2020 and 2019, respectively. The decrease is primarily associated with lower professional services expenses compared to the prior year period. The unallocated corporate portion of other general and administrative expenses decreased $1.1 million to $10.6 million compared to the first six months of 2019 primarily due to lower stock based compensation resulting from the impact of the stock awards granted during the three months ended June 30, 2019 as noted above, and decreases in contract labor over the prior year period.</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229235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63" w:right="339" w:bottom="1440" w:gutter="0" w:footer="0" w:header="0"/>
        </w:sectPr>
      </w:pPr>
    </w:p>
    <w:bookmarkStart w:id="26" w:name="page27"/>
    <w:bookmarkEnd w:id="26"/>
    <w:p>
      <w:pPr>
        <w:jc w:val="both"/>
        <w:spacing w:after="0" w:line="263" w:lineRule="auto"/>
        <w:rPr>
          <w:sz w:val="20"/>
          <w:szCs w:val="20"/>
          <w:color w:val="auto"/>
        </w:rPr>
      </w:pPr>
      <w:r>
        <w:rPr>
          <w:rFonts w:ascii="Arial" w:cs="Arial" w:eastAsia="Arial" w:hAnsi="Arial"/>
          <w:sz w:val="18"/>
          <w:szCs w:val="18"/>
          <w:i w:val="1"/>
          <w:iCs w:val="1"/>
          <w:color w:val="auto"/>
        </w:rPr>
        <w:t xml:space="preserve">Depreciation and Amortization. </w:t>
      </w:r>
      <w:r>
        <w:rPr>
          <w:rFonts w:ascii="Arial" w:cs="Arial" w:eastAsia="Arial" w:hAnsi="Arial"/>
          <w:sz w:val="18"/>
          <w:szCs w:val="18"/>
          <w:color w:val="auto"/>
        </w:rPr>
        <w:t>Depreciation and amortization increased $1.1 million, or 8%, to $14.6 million for the six months ended June 30, 2020 from</w:t>
      </w:r>
      <w:r>
        <w:rPr>
          <w:rFonts w:ascii="Arial" w:cs="Arial" w:eastAsia="Arial" w:hAnsi="Arial"/>
          <w:sz w:val="18"/>
          <w:szCs w:val="18"/>
          <w:i w:val="1"/>
          <w:iCs w:val="1"/>
          <w:color w:val="auto"/>
        </w:rPr>
        <w:t xml:space="preserve"> </w:t>
      </w:r>
      <w:r>
        <w:rPr>
          <w:rFonts w:ascii="Arial" w:cs="Arial" w:eastAsia="Arial" w:hAnsi="Arial"/>
          <w:sz w:val="18"/>
          <w:szCs w:val="18"/>
          <w:color w:val="auto"/>
        </w:rPr>
        <w:t>$13.5 million for the six months ended June 30, 2019. The increase resulted from an increase in amortization of capitalized software and intangible assets as well as additional depreciation of property and equipment.</w:t>
      </w:r>
    </w:p>
    <w:p>
      <w:pPr>
        <w:spacing w:after="0" w:line="76" w:lineRule="exact"/>
        <w:rPr>
          <w:sz w:val="20"/>
          <w:szCs w:val="20"/>
          <w:color w:val="auto"/>
        </w:rPr>
      </w:pPr>
    </w:p>
    <w:p>
      <w:pPr>
        <w:jc w:val="both"/>
        <w:spacing w:after="0" w:line="311" w:lineRule="auto"/>
        <w:rPr>
          <w:sz w:val="20"/>
          <w:szCs w:val="20"/>
          <w:color w:val="auto"/>
        </w:rPr>
      </w:pPr>
      <w:r>
        <w:rPr>
          <w:rFonts w:ascii="Arial" w:cs="Arial" w:eastAsia="Arial" w:hAnsi="Arial"/>
          <w:sz w:val="16"/>
          <w:szCs w:val="16"/>
          <w:i w:val="1"/>
          <w:iCs w:val="1"/>
          <w:color w:val="auto"/>
        </w:rPr>
        <w:t>Other Income, Net</w:t>
      </w:r>
      <w:r>
        <w:rPr>
          <w:rFonts w:ascii="Arial" w:cs="Arial" w:eastAsia="Arial" w:hAnsi="Arial"/>
          <w:sz w:val="16"/>
          <w:szCs w:val="16"/>
          <w:color w:val="auto"/>
        </w:rPr>
        <w:t>. Other income, net was $1.9 million for the six months ended June 30, 2020 compared to $1.7 million for the six months ended</w:t>
      </w:r>
      <w:r>
        <w:rPr>
          <w:rFonts w:ascii="Arial" w:cs="Arial" w:eastAsia="Arial" w:hAnsi="Arial"/>
          <w:sz w:val="16"/>
          <w:szCs w:val="16"/>
          <w:i w:val="1"/>
          <w:iCs w:val="1"/>
          <w:color w:val="auto"/>
        </w:rPr>
        <w:t xml:space="preserve"> </w:t>
      </w:r>
      <w:r>
        <w:rPr>
          <w:rFonts w:ascii="Arial" w:cs="Arial" w:eastAsia="Arial" w:hAnsi="Arial"/>
          <w:sz w:val="16"/>
          <w:szCs w:val="16"/>
          <w:color w:val="auto"/>
        </w:rPr>
        <w:t>June 30, 2019. This increase is a related to the $1.2 million gain associated with the change in fair value of the non-marketable equity investment in NurseGrid prior to the acquisition of NurseGrid on March 9, 2020, offset by lower interest income due to reductions in bond yields and bank interest rates.</w:t>
      </w:r>
    </w:p>
    <w:p>
      <w:pPr>
        <w:spacing w:after="0" w:line="41" w:lineRule="exact"/>
        <w:rPr>
          <w:sz w:val="20"/>
          <w:szCs w:val="20"/>
          <w:color w:val="auto"/>
        </w:rPr>
      </w:pPr>
    </w:p>
    <w:p>
      <w:pPr>
        <w:jc w:val="both"/>
        <w:spacing w:after="0" w:line="301" w:lineRule="auto"/>
        <w:rPr>
          <w:sz w:val="20"/>
          <w:szCs w:val="20"/>
          <w:color w:val="auto"/>
        </w:rPr>
      </w:pPr>
      <w:r>
        <w:rPr>
          <w:rFonts w:ascii="Arial" w:cs="Arial" w:eastAsia="Arial" w:hAnsi="Arial"/>
          <w:sz w:val="16"/>
          <w:szCs w:val="16"/>
          <w:i w:val="1"/>
          <w:iCs w:val="1"/>
          <w:color w:val="auto"/>
        </w:rPr>
        <w:t xml:space="preserve">Income Tax Provision. </w:t>
      </w:r>
      <w:r>
        <w:rPr>
          <w:rFonts w:ascii="Arial" w:cs="Arial" w:eastAsia="Arial" w:hAnsi="Arial"/>
          <w:sz w:val="16"/>
          <w:szCs w:val="16"/>
          <w:color w:val="auto"/>
        </w:rPr>
        <w:t>The Company recorded a provision for income taxes of $2.9 million and $2.1 million for the six months ended June 30, 2020 and 2019,</w:t>
      </w:r>
      <w:r>
        <w:rPr>
          <w:rFonts w:ascii="Arial" w:cs="Arial" w:eastAsia="Arial" w:hAnsi="Arial"/>
          <w:sz w:val="16"/>
          <w:szCs w:val="16"/>
          <w:i w:val="1"/>
          <w:iCs w:val="1"/>
          <w:color w:val="auto"/>
        </w:rPr>
        <w:t xml:space="preserve"> </w:t>
      </w:r>
      <w:r>
        <w:rPr>
          <w:rFonts w:ascii="Arial" w:cs="Arial" w:eastAsia="Arial" w:hAnsi="Arial"/>
          <w:sz w:val="16"/>
          <w:szCs w:val="16"/>
          <w:color w:val="auto"/>
        </w:rPr>
        <w:t>respectively. The Company’s effective tax rate was 22% for the six months ended June 30, 2020 compared to 23% for the six months ended June 30, 2019. The Company recorded additional income tax expense associated with tax deficiencies of $26,000 during the six months ended June 30, 2020 and recorded a reduction to income tax expense for excess tax benefits of $123,000 during the six months ended June 30, 2019.</w:t>
      </w:r>
    </w:p>
    <w:p>
      <w:pPr>
        <w:spacing w:after="0" w:line="4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 xml:space="preserve">Income from Continuing Operations. </w:t>
      </w:r>
      <w:r>
        <w:rPr>
          <w:rFonts w:ascii="Arial" w:cs="Arial" w:eastAsia="Arial" w:hAnsi="Arial"/>
          <w:sz w:val="18"/>
          <w:szCs w:val="18"/>
          <w:color w:val="auto"/>
        </w:rPr>
        <w:t>Income from continuing operations was $10.5 million for the six months ended June 30, 2020, up 46% compared to $7.2</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for the six months ended June 30, 2019. Earnings per diluted share from continuing operations were $0.33 and $0.22 per share for the six months ended June 30, 2020 and 2019, respectively.</w:t>
      </w:r>
    </w:p>
    <w:p>
      <w:pPr>
        <w:spacing w:after="0" w:line="76" w:lineRule="exact"/>
        <w:rPr>
          <w:sz w:val="20"/>
          <w:szCs w:val="20"/>
          <w:color w:val="auto"/>
        </w:rPr>
      </w:pPr>
    </w:p>
    <w:p>
      <w:pPr>
        <w:jc w:val="both"/>
        <w:spacing w:after="0" w:line="311" w:lineRule="auto"/>
        <w:rPr>
          <w:sz w:val="20"/>
          <w:szCs w:val="20"/>
          <w:color w:val="auto"/>
        </w:rPr>
      </w:pPr>
      <w:r>
        <w:rPr>
          <w:rFonts w:ascii="Arial" w:cs="Arial" w:eastAsia="Arial" w:hAnsi="Arial"/>
          <w:sz w:val="16"/>
          <w:szCs w:val="16"/>
          <w:i w:val="1"/>
          <w:iCs w:val="1"/>
          <w:color w:val="auto"/>
        </w:rPr>
        <w:t xml:space="preserve">Income from Discontinued Operations. </w:t>
      </w:r>
      <w:r>
        <w:rPr>
          <w:rFonts w:ascii="Arial" w:cs="Arial" w:eastAsia="Arial" w:hAnsi="Arial"/>
          <w:sz w:val="16"/>
          <w:szCs w:val="16"/>
          <w:color w:val="auto"/>
        </w:rPr>
        <w:t>Income from discontinued operations was zero for the six months ended June 30, 2020 compared to $1.2 million for the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six months ended June 30, 2019. </w:t>
      </w:r>
      <w:r>
        <w:rPr>
          <w:rFonts w:ascii="Arial" w:cs="Arial" w:eastAsia="Arial" w:hAnsi="Arial"/>
          <w:sz w:val="16"/>
          <w:szCs w:val="16"/>
          <w:color w:val="212529"/>
        </w:rPr>
        <w:t>The $1.2 million gain, net of tax, recorded during the six months ended June 30, 2019 was the result of a release of escrow</w:t>
      </w:r>
      <w:r>
        <w:rPr>
          <w:rFonts w:ascii="Arial" w:cs="Arial" w:eastAsia="Arial" w:hAnsi="Arial"/>
          <w:sz w:val="16"/>
          <w:szCs w:val="16"/>
          <w:color w:val="auto"/>
        </w:rPr>
        <w:t xml:space="preserve"> </w:t>
      </w:r>
      <w:r>
        <w:rPr>
          <w:rFonts w:ascii="Arial" w:cs="Arial" w:eastAsia="Arial" w:hAnsi="Arial"/>
          <w:sz w:val="16"/>
          <w:szCs w:val="16"/>
          <w:color w:val="212529"/>
        </w:rPr>
        <w:t>funds to us in connection with the PX disposition. Refer to Note 10 in the Notes to the Condensed Consolidated Financial Statements for further information.</w:t>
      </w:r>
    </w:p>
    <w:p>
      <w:pPr>
        <w:spacing w:after="0" w:line="4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Net Income. </w:t>
      </w:r>
      <w:r>
        <w:rPr>
          <w:rFonts w:ascii="Arial" w:cs="Arial" w:eastAsia="Arial" w:hAnsi="Arial"/>
          <w:sz w:val="18"/>
          <w:szCs w:val="18"/>
          <w:color w:val="auto"/>
        </w:rPr>
        <w:t>Net income was $10.5 million for the six months ended June 30, 2020 compared to $8.4 million for the six months ended June 30, 2019. Earnings</w:t>
      </w:r>
      <w:r>
        <w:rPr>
          <w:rFonts w:ascii="Arial" w:cs="Arial" w:eastAsia="Arial" w:hAnsi="Arial"/>
          <w:sz w:val="18"/>
          <w:szCs w:val="18"/>
          <w:i w:val="1"/>
          <w:iCs w:val="1"/>
          <w:color w:val="auto"/>
        </w:rPr>
        <w:t xml:space="preserve"> </w:t>
      </w:r>
      <w:r>
        <w:rPr>
          <w:rFonts w:ascii="Arial" w:cs="Arial" w:eastAsia="Arial" w:hAnsi="Arial"/>
          <w:sz w:val="18"/>
          <w:szCs w:val="18"/>
          <w:color w:val="auto"/>
        </w:rPr>
        <w:t>per diluted share were $0.33 and $0.26 per share for the six months ended June 30, 2020 and 2019, respectively.</w:t>
      </w:r>
    </w:p>
    <w:p>
      <w:pPr>
        <w:spacing w:after="0" w:line="6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Adjusted EBITDA from continuing operations increased 2% to $23.8 million for the six months ended June 30, 2020 compared to $24.2 million for the six months ended June 30, 2019.</w:t>
      </w:r>
    </w:p>
    <w:p>
      <w:pPr>
        <w:spacing w:after="0" w:line="6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Adjusted EBITDA (from continuing and discontinued operations) decreased $2.1 million to $23.8 million for the six months ended June 30, 2020 compared to $25.9 million for the six months ended June 30, 2019. This decrease resulted from the factors mentioned above. See “Reconciliation of Non-GAAP Financial Measures” below for our reconciliation of Adjusted EBITDA and Adjusted EBITDA from continuing operations to the most directly comparable measures under US GAAP.</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Discontinued Operations</w:t>
      </w:r>
    </w:p>
    <w:p>
      <w:pPr>
        <w:spacing w:after="0" w:line="12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February 12, 2018, the Company divested its PX business to Press Ganey for $65.2 million in cash (after giving effect to the post-closing working capital adjustment). This sale of the PX business resulted in the divestiture of our patient experience solutions business segment. We recorded a gain on sale, net of tax, of $20.5 million, of which $19.0 million was recorded during the year ended December 31, 2018 and $1.5 million was recorded during the year ended December 31, 2019. With the proceeds of this sale, our Board of Directors declared a $1.00 per common share special cash dividend, which was paid on April 3, 2018 to shareholders of record on March 6, 2018.</w:t>
      </w:r>
    </w:p>
    <w:p>
      <w:pPr>
        <w:spacing w:after="0" w:line="80"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We have classified the gain on sale of our PX business segment as discontinued operations in our Condensed Consolidated Statements of Income for all applicable periods. See Note 10 to our Condensed Consolidated Financial Statements included in this report for additional information.</w:t>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Developments</w:t>
      </w:r>
    </w:p>
    <w:p>
      <w:pPr>
        <w:spacing w:after="0" w:line="121"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Our legacy agreements with Laerdal (the “Legacy Agreements”) for the HeartCode and Resuscitation Quality Improvement (“RQI”) products expired pursuant to their terms on December 31, 2018. Revenues associated with sales of HeartCode and RQI products pursuant to the Legacy Agreements have been significant in recent years, although margins on such products have been lower than HealthStream’s average margin. Revenue generated by HeartCode and RQI products pursuant to the Legacy Agreements was $58.9 million and $54.6 million in 2019 and 2018, respectively. During the six months ended June 30, 2020, as noted above, we recorded revenue of $21.9 million related to HeartCode and RQI products under the Legacy Agreements compared to $32.8 million for the six months ended June 30, 2019. During the three months ended June 30, 2020, we recorded revenue of $10.7 million related to HeartCode and RQI products under the Legacy Agreements compared to $15.5 million for the three months ended June 30, 2019. For the remainder of 2020, we expect quarterly revenue from these products generated pursuant to the Legacy Agreements to continue to decline sequentially each quarter, approximating $8.5 million in the third quarter and $6.0 million in the fourth quarter. We also continue to expect revenue from HeartCode and RQI products sold pursuant to the Legacy Agreements to be zero in the first quarter of 2021.</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229235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63" w:right="339" w:bottom="1440" w:gutter="0" w:footer="0" w:header="0"/>
        </w:sectPr>
      </w:pPr>
    </w:p>
    <w:bookmarkStart w:id="27" w:name="page28"/>
    <w:bookmarkEnd w:id="27"/>
    <w:p>
      <w:pPr>
        <w:jc w:val="both"/>
        <w:spacing w:after="0" w:line="254" w:lineRule="auto"/>
        <w:rPr>
          <w:sz w:val="20"/>
          <w:szCs w:val="20"/>
          <w:color w:val="auto"/>
        </w:rPr>
      </w:pPr>
      <w:r>
        <w:rPr>
          <w:rFonts w:ascii="Arial" w:cs="Arial" w:eastAsia="Arial" w:hAnsi="Arial"/>
          <w:sz w:val="18"/>
          <w:szCs w:val="18"/>
          <w:color w:val="auto"/>
        </w:rPr>
        <w:t>On December 6, 2018, we announced a new agreement with RQI Partners, a joint venture between Laerdal and the American Heart Association. This agreement with RQI Partners was not an extension or renewal of the expired Legacy Agreements with Laerdal and should not be construed as such. Under our agreement with RQI Partners, HealthStream will neither market nor sell HeartCode or RQI. Our RQI Partners agreement provides for continuity of service for customers that desire to purchase HeartCode or RQI from RQI Partners after December 31, 2018 and receive it via the HealthStream Learning Center. RQI Partners will remit a fee to us when new sales of HeartCode and RQI are delivered via the HealthStream Learning Center. This fee will not be sufficient to supplant the revenue runout associated with the Legacy Agreements, and no material revenues have been recognized under this agreement through June 30, 2020.</w:t>
      </w:r>
    </w:p>
    <w:p>
      <w:pPr>
        <w:spacing w:after="0" w:line="87"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We remain actively engaged in efforts to broaden the scope and utilization of our simulation-related offerings to include a range of clinical competencies that extend beyond resuscitation, and we intend to bring to market a broadened scope of simulation-based offerings, including resuscitation programs. On January 17, 2019, as part of a seven-year collaboration agreement with the American Red Cross, which spans to 2026, we announced the launch of the American Red Cross Resuscitation Suite. We are actively engaged in efforts to market, sell, and deliver our new resuscitation offering, which includes the American Red Cross Resuscitation Suite and validation of skills through a technology enabled Innosonian manikin. A growing number of customers have been implemented on our new resuscitation offering and we believe that the solution is gaining acceptance in the market. We believe our efforts to market, sell, and deliver the American Red Cross Resuscitation Suite, along with efforts to bring additional simulation-related offerings to market, have the potential to give rise to additional and higher margin opportunities than those that existed under the Legacy Agreements. However, there is no assurance that we will be successful in these efforts, and to the extent that new simulation-based or other solutions do not generate revenue and/or earnings in a manner that supplants the impact of the Legacy Agreements, our revenue and results of operations may be adversely affected.</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Reconciliation of Non-GAAP Financial Measures</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This report presents adjusted EBITDA from continuing operations and adjusted EBITDA, both of which are non-GAAP financial measures used by management in analyzing our financial results and ongoing operational performance.</w:t>
      </w:r>
    </w:p>
    <w:p>
      <w:pPr>
        <w:spacing w:after="0" w:line="62"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In order to better assess the Company’s financial results, management believes that net income before interest, income taxes, stock based compensation, depreciation and amortization, changes in fair value of non-marketable equity investments, and the de-recognition of non-cash royalty expense resulting from our resolution of a mutual disagreement related to various elements of a past partnership which resulted in a reduction to costs of revenues in the first quarter of 2020 (“adjusted EBITDA”) is a useful measure for evaluating the operating performance of the Company because adjusted EBITDA reflects net income adjusted for certain non-cash and non-operating items. Management also believes that adjusted EBITDA from continuing operations is a useful measure for evaluating the operating performance of the Company because such measure excludes the gain on sale in connection with the sale of the PX business in February 2018 and thus reflects the Company’s ongoing business operations and assists in comparing the Company’s results of operations between periods. We also believe that adjusted EBITDA and adjusted EBITDA from continuing operations are useful to many investors to assess the Company’s ongoing results from current operations. Adjusted EBITDA and adjusted EBITDA from continuing operations are non-GAAP financial measures and should not be considered as measures of financial performance under GAAP. Because adjusted EBITDA and adjusted EBITDA from continuing operations are not measurements determined in accordance with GAAP, such non-GAAP financial measures are susceptible to varying calculations. Accordingly, adjusted EBITDA and adjusted EBITDA from continuing operations, as presented, may not be comparable to other similarly titled measures of other companies.</w:t>
      </w:r>
    </w:p>
    <w:p>
      <w:pPr>
        <w:spacing w:after="0" w:line="78"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These non-GAAP financial measures should not be considered as a substitute for, or superior to, measures of financial performance which are prepared in accordance with US GAAP and may be different from non-GAAP financial measures used by other companies and have limitations as analytical tools.</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229235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63" w:right="339" w:bottom="1440" w:gutter="0" w:footer="0" w:header="0"/>
        </w:sectPr>
      </w:pPr>
    </w:p>
    <w:bookmarkStart w:id="28" w:name="page29"/>
    <w:bookmarkEnd w:id="28"/>
    <w:p>
      <w:pPr>
        <w:jc w:val="both"/>
        <w:spacing w:after="0" w:line="277" w:lineRule="auto"/>
        <w:rPr>
          <w:sz w:val="20"/>
          <w:szCs w:val="20"/>
          <w:color w:val="auto"/>
        </w:rPr>
      </w:pPr>
      <w:r>
        <w:rPr>
          <w:rFonts w:ascii="Arial" w:cs="Arial" w:eastAsia="Arial" w:hAnsi="Arial"/>
          <w:sz w:val="18"/>
          <w:szCs w:val="18"/>
          <w:color w:val="auto"/>
        </w:rPr>
        <w:t>A reconciliation of adjusted EBITDA and adjusted EBITDA from continuing operations to the most directly comparable GAAP measures is set forth below (in thousands).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380" w:type="dxa"/>
            <w:vAlign w:val="bottom"/>
            <w:gridSpan w:val="5"/>
          </w:tcPr>
          <w:p>
            <w:pPr>
              <w:jc w:val="right"/>
              <w:ind w:right="720"/>
              <w:spacing w:after="0"/>
              <w:rPr>
                <w:sz w:val="20"/>
                <w:szCs w:val="20"/>
                <w:color w:val="auto"/>
              </w:rPr>
            </w:pPr>
            <w:r>
              <w:rPr>
                <w:rFonts w:ascii="Arial" w:cs="Arial" w:eastAsia="Arial" w:hAnsi="Arial"/>
                <w:sz w:val="14"/>
                <w:szCs w:val="14"/>
                <w:b w:val="1"/>
                <w:bCs w:val="1"/>
                <w:color w:val="auto"/>
              </w:rPr>
              <w:t>Three Months Ended</w:t>
            </w:r>
          </w:p>
        </w:tc>
        <w:tc>
          <w:tcPr>
            <w:tcW w:w="400" w:type="dxa"/>
            <w:vAlign w:val="bottom"/>
          </w:tcPr>
          <w:p>
            <w:pPr>
              <w:spacing w:after="0"/>
              <w:rPr>
                <w:sz w:val="14"/>
                <w:szCs w:val="14"/>
                <w:color w:val="auto"/>
              </w:rPr>
            </w:pPr>
          </w:p>
        </w:tc>
        <w:tc>
          <w:tcPr>
            <w:tcW w:w="2380" w:type="dxa"/>
            <w:vAlign w:val="bottom"/>
            <w:gridSpan w:val="5"/>
          </w:tcPr>
          <w:p>
            <w:pPr>
              <w:jc w:val="right"/>
              <w:ind w:right="820"/>
              <w:spacing w:after="0"/>
              <w:rPr>
                <w:sz w:val="20"/>
                <w:szCs w:val="20"/>
                <w:color w:val="auto"/>
              </w:rPr>
            </w:pPr>
            <w:r>
              <w:rPr>
                <w:rFonts w:ascii="Arial" w:cs="Arial" w:eastAsia="Arial" w:hAnsi="Arial"/>
                <w:sz w:val="14"/>
                <w:szCs w:val="14"/>
                <w:b w:val="1"/>
                <w:bCs w:val="1"/>
                <w:color w:val="auto"/>
              </w:rPr>
              <w:t>Six Months Ended</w:t>
            </w:r>
          </w:p>
        </w:tc>
      </w:tr>
      <w:tr>
        <w:trPr>
          <w:trHeight w:val="171"/>
        </w:trPr>
        <w:tc>
          <w:tcPr>
            <w:tcW w:w="50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June 30,</w:t>
            </w:r>
          </w:p>
        </w:tc>
        <w:tc>
          <w:tcPr>
            <w:tcW w:w="8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June 30,</w:t>
            </w:r>
          </w:p>
        </w:tc>
        <w:tc>
          <w:tcPr>
            <w:tcW w:w="8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6"/>
        </w:trPr>
        <w:tc>
          <w:tcPr>
            <w:tcW w:w="5040" w:type="dxa"/>
            <w:vAlign w:val="bottom"/>
            <w:tcBorders>
              <w:bottom w:val="single" w:sz="8" w:color="CFF0FC"/>
            </w:tcBorders>
          </w:tcPr>
          <w:p>
            <w:pPr>
              <w:spacing w:after="0"/>
              <w:rPr>
                <w:sz w:val="13"/>
                <w:szCs w:val="13"/>
                <w:color w:val="auto"/>
              </w:rPr>
            </w:pPr>
          </w:p>
        </w:tc>
        <w:tc>
          <w:tcPr>
            <w:tcW w:w="78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33"/>
              <w:spacing w:after="0" w:line="155" w:lineRule="exact"/>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FF0FC"/>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51"/>
              <w:spacing w:after="0" w:line="155" w:lineRule="exact"/>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FF0FC"/>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53"/>
              <w:spacing w:after="0" w:line="155" w:lineRule="exact"/>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FF0FC"/>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51"/>
              <w:spacing w:after="0" w:line="155" w:lineRule="exact"/>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FF0FC"/>
            </w:tcBorders>
          </w:tcPr>
          <w:p>
            <w:pPr>
              <w:spacing w:after="0"/>
              <w:rPr>
                <w:sz w:val="13"/>
                <w:szCs w:val="13"/>
                <w:color w:val="auto"/>
              </w:rPr>
            </w:pPr>
          </w:p>
        </w:tc>
      </w:tr>
      <w:tr>
        <w:trPr>
          <w:trHeight w:val="223"/>
        </w:trPr>
        <w:tc>
          <w:tcPr>
            <w:tcW w:w="5040" w:type="dxa"/>
            <w:vAlign w:val="bottom"/>
            <w:shd w:val="clear" w:color="auto" w:fill="CFF0FC"/>
          </w:tcPr>
          <w:p>
            <w:pPr>
              <w:spacing w:after="0"/>
              <w:rPr>
                <w:sz w:val="20"/>
                <w:szCs w:val="20"/>
                <w:color w:val="auto"/>
              </w:rPr>
            </w:pPr>
            <w:r>
              <w:rPr>
                <w:rFonts w:ascii="Arial" w:cs="Arial" w:eastAsia="Arial" w:hAnsi="Arial"/>
                <w:sz w:val="18"/>
                <w:szCs w:val="18"/>
                <w:color w:val="auto"/>
              </w:rPr>
              <w:t>GAAP income from continuing operations</w:t>
            </w:r>
          </w:p>
        </w:tc>
        <w:tc>
          <w:tcPr>
            <w:tcW w:w="78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3,442</w:t>
            </w:r>
          </w:p>
        </w:tc>
        <w:tc>
          <w:tcPr>
            <w:tcW w:w="100" w:type="dxa"/>
            <w:vAlign w:val="bottom"/>
            <w:shd w:val="clear" w:color="auto" w:fill="CFF0FC"/>
          </w:tcPr>
          <w:p>
            <w:pPr>
              <w:spacing w:after="0"/>
              <w:rPr>
                <w:sz w:val="19"/>
                <w:szCs w:val="19"/>
                <w:color w:val="auto"/>
              </w:rPr>
            </w:pPr>
          </w:p>
        </w:tc>
        <w:tc>
          <w:tcPr>
            <w:tcW w:w="42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2,401</w:t>
            </w:r>
          </w:p>
        </w:tc>
        <w:tc>
          <w:tcPr>
            <w:tcW w:w="100" w:type="dxa"/>
            <w:vAlign w:val="bottom"/>
            <w:shd w:val="clear" w:color="auto" w:fill="CFF0FC"/>
          </w:tcPr>
          <w:p>
            <w:pPr>
              <w:spacing w:after="0"/>
              <w:rPr>
                <w:sz w:val="19"/>
                <w:szCs w:val="19"/>
                <w:color w:val="auto"/>
              </w:rPr>
            </w:pPr>
          </w:p>
        </w:tc>
        <w:tc>
          <w:tcPr>
            <w:tcW w:w="40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10,533</w:t>
            </w:r>
          </w:p>
        </w:tc>
        <w:tc>
          <w:tcPr>
            <w:tcW w:w="100" w:type="dxa"/>
            <w:vAlign w:val="bottom"/>
            <w:shd w:val="clear" w:color="auto" w:fill="CFF0FC"/>
          </w:tcPr>
          <w:p>
            <w:pPr>
              <w:spacing w:after="0"/>
              <w:rPr>
                <w:sz w:val="19"/>
                <w:szCs w:val="19"/>
                <w:color w:val="auto"/>
              </w:rPr>
            </w:pPr>
          </w:p>
        </w:tc>
        <w:tc>
          <w:tcPr>
            <w:tcW w:w="42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7,181</w:t>
            </w:r>
          </w:p>
        </w:tc>
        <w:tc>
          <w:tcPr>
            <w:tcW w:w="100" w:type="dxa"/>
            <w:vAlign w:val="bottom"/>
            <w:shd w:val="clear" w:color="auto" w:fill="CFF0FC"/>
          </w:tcPr>
          <w:p>
            <w:pPr>
              <w:spacing w:after="0"/>
              <w:rPr>
                <w:sz w:val="19"/>
                <w:szCs w:val="19"/>
                <w:color w:val="auto"/>
              </w:rPr>
            </w:pPr>
          </w:p>
        </w:tc>
      </w:tr>
      <w:tr>
        <w:trPr>
          <w:trHeight w:val="230"/>
        </w:trPr>
        <w:tc>
          <w:tcPr>
            <w:tcW w:w="5040" w:type="dxa"/>
            <w:vAlign w:val="bottom"/>
          </w:tcPr>
          <w:p>
            <w:pPr>
              <w:spacing w:after="0"/>
              <w:rPr>
                <w:sz w:val="20"/>
                <w:szCs w:val="20"/>
                <w:color w:val="auto"/>
              </w:rPr>
            </w:pPr>
            <w:r>
              <w:rPr>
                <w:rFonts w:ascii="Arial" w:cs="Arial" w:eastAsia="Arial" w:hAnsi="Arial"/>
                <w:sz w:val="18"/>
                <w:szCs w:val="18"/>
                <w:color w:val="auto"/>
              </w:rPr>
              <w:t>Interest income</w:t>
            </w:r>
          </w:p>
        </w:tc>
        <w:tc>
          <w:tcPr>
            <w:tcW w:w="7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(237)</w:t>
            </w:r>
          </w:p>
        </w:tc>
        <w:tc>
          <w:tcPr>
            <w:tcW w:w="42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(884)</w:t>
            </w:r>
          </w:p>
        </w:tc>
        <w:tc>
          <w:tcPr>
            <w:tcW w:w="40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(831)</w:t>
            </w:r>
          </w:p>
        </w:tc>
        <w:tc>
          <w:tcPr>
            <w:tcW w:w="42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(1,674)</w:t>
            </w:r>
          </w:p>
        </w:tc>
      </w:tr>
      <w:tr>
        <w:trPr>
          <w:trHeight w:val="229"/>
        </w:trPr>
        <w:tc>
          <w:tcPr>
            <w:tcW w:w="5040" w:type="dxa"/>
            <w:vAlign w:val="bottom"/>
            <w:shd w:val="clear" w:color="auto" w:fill="CFF0FC"/>
          </w:tcPr>
          <w:p>
            <w:pPr>
              <w:spacing w:after="0"/>
              <w:rPr>
                <w:sz w:val="20"/>
                <w:szCs w:val="20"/>
                <w:color w:val="auto"/>
              </w:rPr>
            </w:pPr>
            <w:r>
              <w:rPr>
                <w:rFonts w:ascii="Arial" w:cs="Arial" w:eastAsia="Arial" w:hAnsi="Arial"/>
                <w:sz w:val="18"/>
                <w:szCs w:val="18"/>
                <w:color w:val="auto"/>
              </w:rPr>
              <w:t>Interest expense</w:t>
            </w:r>
          </w:p>
        </w:tc>
        <w:tc>
          <w:tcPr>
            <w:tcW w:w="7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w:t>
            </w:r>
          </w:p>
        </w:tc>
        <w:tc>
          <w:tcPr>
            <w:tcW w:w="10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w:t>
            </w:r>
          </w:p>
        </w:tc>
        <w:tc>
          <w:tcPr>
            <w:tcW w:w="10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w:t>
            </w:r>
          </w:p>
        </w:tc>
        <w:tc>
          <w:tcPr>
            <w:tcW w:w="10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w:t>
            </w:r>
          </w:p>
        </w:tc>
        <w:tc>
          <w:tcPr>
            <w:tcW w:w="100" w:type="dxa"/>
            <w:vAlign w:val="bottom"/>
            <w:shd w:val="clear" w:color="auto" w:fill="CFF0FC"/>
          </w:tcPr>
          <w:p>
            <w:pPr>
              <w:spacing w:after="0"/>
              <w:rPr>
                <w:sz w:val="19"/>
                <w:szCs w:val="19"/>
                <w:color w:val="auto"/>
              </w:rPr>
            </w:pPr>
          </w:p>
        </w:tc>
      </w:tr>
      <w:tr>
        <w:trPr>
          <w:trHeight w:val="229"/>
        </w:trPr>
        <w:tc>
          <w:tcPr>
            <w:tcW w:w="5040" w:type="dxa"/>
            <w:vAlign w:val="bottom"/>
          </w:tcPr>
          <w:p>
            <w:pPr>
              <w:spacing w:after="0"/>
              <w:rPr>
                <w:sz w:val="20"/>
                <w:szCs w:val="20"/>
                <w:color w:val="auto"/>
              </w:rPr>
            </w:pPr>
            <w:r>
              <w:rPr>
                <w:rFonts w:ascii="Arial" w:cs="Arial" w:eastAsia="Arial" w:hAnsi="Arial"/>
                <w:sz w:val="18"/>
                <w:szCs w:val="18"/>
                <w:color w:val="auto"/>
              </w:rPr>
              <w:t>Income tax provision</w:t>
            </w:r>
          </w:p>
        </w:tc>
        <w:tc>
          <w:tcPr>
            <w:tcW w:w="7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1,061</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719</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2,920</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2,130</w:t>
            </w:r>
          </w:p>
        </w:tc>
        <w:tc>
          <w:tcPr>
            <w:tcW w:w="100" w:type="dxa"/>
            <w:vAlign w:val="bottom"/>
          </w:tcPr>
          <w:p>
            <w:pPr>
              <w:spacing w:after="0"/>
              <w:rPr>
                <w:sz w:val="19"/>
                <w:szCs w:val="19"/>
                <w:color w:val="auto"/>
              </w:rPr>
            </w:pPr>
          </w:p>
        </w:tc>
      </w:tr>
      <w:tr>
        <w:trPr>
          <w:trHeight w:val="230"/>
        </w:trPr>
        <w:tc>
          <w:tcPr>
            <w:tcW w:w="5040" w:type="dxa"/>
            <w:vAlign w:val="bottom"/>
            <w:shd w:val="clear" w:color="auto" w:fill="CFF0FC"/>
          </w:tcPr>
          <w:p>
            <w:pPr>
              <w:spacing w:after="0"/>
              <w:rPr>
                <w:sz w:val="20"/>
                <w:szCs w:val="20"/>
                <w:color w:val="auto"/>
              </w:rPr>
            </w:pPr>
            <w:r>
              <w:rPr>
                <w:rFonts w:ascii="Arial" w:cs="Arial" w:eastAsia="Arial" w:hAnsi="Arial"/>
                <w:sz w:val="18"/>
                <w:szCs w:val="18"/>
                <w:color w:val="auto"/>
              </w:rPr>
              <w:t>Stock based compensation expense</w:t>
            </w:r>
          </w:p>
        </w:tc>
        <w:tc>
          <w:tcPr>
            <w:tcW w:w="7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557</w:t>
            </w:r>
          </w:p>
        </w:tc>
        <w:tc>
          <w:tcPr>
            <w:tcW w:w="10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2,558</w:t>
            </w:r>
          </w:p>
        </w:tc>
        <w:tc>
          <w:tcPr>
            <w:tcW w:w="10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1,107</w:t>
            </w:r>
          </w:p>
        </w:tc>
        <w:tc>
          <w:tcPr>
            <w:tcW w:w="10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3,074</w:t>
            </w:r>
          </w:p>
        </w:tc>
        <w:tc>
          <w:tcPr>
            <w:tcW w:w="100" w:type="dxa"/>
            <w:vAlign w:val="bottom"/>
            <w:shd w:val="clear" w:color="auto" w:fill="CFF0FC"/>
          </w:tcPr>
          <w:p>
            <w:pPr>
              <w:spacing w:after="0"/>
              <w:rPr>
                <w:sz w:val="19"/>
                <w:szCs w:val="19"/>
                <w:color w:val="auto"/>
              </w:rPr>
            </w:pPr>
          </w:p>
        </w:tc>
      </w:tr>
      <w:tr>
        <w:trPr>
          <w:trHeight w:val="229"/>
        </w:trPr>
        <w:tc>
          <w:tcPr>
            <w:tcW w:w="504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7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7,150</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6,942</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14,599</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13,480</w:t>
            </w:r>
          </w:p>
        </w:tc>
        <w:tc>
          <w:tcPr>
            <w:tcW w:w="100" w:type="dxa"/>
            <w:vAlign w:val="bottom"/>
          </w:tcPr>
          <w:p>
            <w:pPr>
              <w:spacing w:after="0"/>
              <w:rPr>
                <w:sz w:val="19"/>
                <w:szCs w:val="19"/>
                <w:color w:val="auto"/>
              </w:rPr>
            </w:pPr>
          </w:p>
        </w:tc>
      </w:tr>
      <w:tr>
        <w:trPr>
          <w:trHeight w:val="229"/>
        </w:trPr>
        <w:tc>
          <w:tcPr>
            <w:tcW w:w="5040" w:type="dxa"/>
            <w:vAlign w:val="bottom"/>
            <w:shd w:val="clear" w:color="auto" w:fill="CFF0FC"/>
          </w:tcPr>
          <w:p>
            <w:pPr>
              <w:spacing w:after="0"/>
              <w:rPr>
                <w:sz w:val="20"/>
                <w:szCs w:val="20"/>
                <w:color w:val="auto"/>
              </w:rPr>
            </w:pPr>
            <w:r>
              <w:rPr>
                <w:rFonts w:ascii="Arial" w:cs="Arial" w:eastAsia="Arial" w:hAnsi="Arial"/>
                <w:sz w:val="18"/>
                <w:szCs w:val="18"/>
                <w:color w:val="auto"/>
              </w:rPr>
              <w:t>Change in fair value of non-marketable equity investments</w:t>
            </w:r>
          </w:p>
        </w:tc>
        <w:tc>
          <w:tcPr>
            <w:tcW w:w="7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(29)</w:t>
            </w:r>
          </w:p>
        </w:tc>
        <w:tc>
          <w:tcPr>
            <w:tcW w:w="42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(1,181)</w:t>
            </w:r>
          </w:p>
        </w:tc>
        <w:tc>
          <w:tcPr>
            <w:tcW w:w="42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30"/>
        </w:trPr>
        <w:tc>
          <w:tcPr>
            <w:tcW w:w="5040" w:type="dxa"/>
            <w:vAlign w:val="bottom"/>
          </w:tcPr>
          <w:p>
            <w:pPr>
              <w:spacing w:after="0"/>
              <w:rPr>
                <w:sz w:val="20"/>
                <w:szCs w:val="20"/>
                <w:color w:val="auto"/>
              </w:rPr>
            </w:pPr>
            <w:r>
              <w:rPr>
                <w:rFonts w:ascii="Arial" w:cs="Arial" w:eastAsia="Arial" w:hAnsi="Arial"/>
                <w:sz w:val="18"/>
                <w:szCs w:val="18"/>
                <w:color w:val="auto"/>
              </w:rPr>
              <w:t>Non-cash royalty expense</w:t>
            </w:r>
          </w:p>
        </w:tc>
        <w:tc>
          <w:tcPr>
            <w:tcW w:w="7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(3,440)</w:t>
            </w:r>
          </w:p>
        </w:tc>
        <w:tc>
          <w:tcPr>
            <w:tcW w:w="420" w:type="dxa"/>
            <w:vAlign w:val="bottom"/>
          </w:tcPr>
          <w:p>
            <w:pPr>
              <w:spacing w:after="0"/>
              <w:rPr>
                <w:sz w:val="19"/>
                <w:szCs w:val="19"/>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23"/>
        </w:trPr>
        <w:tc>
          <w:tcPr>
            <w:tcW w:w="50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Adjusted EBITDA from continuing operations</w:t>
            </w:r>
          </w:p>
        </w:tc>
        <w:tc>
          <w:tcPr>
            <w:tcW w:w="78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11,969</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420" w:type="dxa"/>
            <w:vAlign w:val="bottom"/>
            <w:tcBorders>
              <w:top w:val="single" w:sz="8" w:color="auto"/>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11,766</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400" w:type="dxa"/>
            <w:vAlign w:val="bottom"/>
            <w:tcBorders>
              <w:top w:val="single" w:sz="8" w:color="auto"/>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23,757</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420" w:type="dxa"/>
            <w:vAlign w:val="bottom"/>
            <w:tcBorders>
              <w:top w:val="single" w:sz="8" w:color="auto"/>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24,242</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50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50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5040" w:type="dxa"/>
            <w:vAlign w:val="bottom"/>
            <w:shd w:val="clear" w:color="auto" w:fill="CFF0FC"/>
          </w:tcPr>
          <w:p>
            <w:pPr>
              <w:spacing w:after="0"/>
              <w:rPr>
                <w:sz w:val="20"/>
                <w:szCs w:val="20"/>
                <w:color w:val="auto"/>
              </w:rPr>
            </w:pPr>
            <w:r>
              <w:rPr>
                <w:rFonts w:ascii="Arial" w:cs="Arial" w:eastAsia="Arial" w:hAnsi="Arial"/>
                <w:sz w:val="18"/>
                <w:szCs w:val="18"/>
                <w:color w:val="auto"/>
              </w:rPr>
              <w:t>GAAP net income</w:t>
            </w:r>
          </w:p>
        </w:tc>
        <w:tc>
          <w:tcPr>
            <w:tcW w:w="104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3,442</w:t>
            </w:r>
          </w:p>
        </w:tc>
        <w:tc>
          <w:tcPr>
            <w:tcW w:w="100" w:type="dxa"/>
            <w:vAlign w:val="bottom"/>
            <w:shd w:val="clear" w:color="auto" w:fill="CFF0FC"/>
          </w:tcPr>
          <w:p>
            <w:pPr>
              <w:spacing w:after="0"/>
              <w:rPr>
                <w:sz w:val="19"/>
                <w:szCs w:val="19"/>
                <w:color w:val="auto"/>
              </w:rPr>
            </w:pPr>
          </w:p>
        </w:tc>
        <w:tc>
          <w:tcPr>
            <w:tcW w:w="42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2,401</w:t>
            </w:r>
          </w:p>
        </w:tc>
        <w:tc>
          <w:tcPr>
            <w:tcW w:w="100" w:type="dxa"/>
            <w:vAlign w:val="bottom"/>
            <w:shd w:val="clear" w:color="auto" w:fill="CFF0FC"/>
          </w:tcPr>
          <w:p>
            <w:pPr>
              <w:spacing w:after="0"/>
              <w:rPr>
                <w:sz w:val="19"/>
                <w:szCs w:val="19"/>
                <w:color w:val="auto"/>
              </w:rPr>
            </w:pPr>
          </w:p>
        </w:tc>
        <w:tc>
          <w:tcPr>
            <w:tcW w:w="40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10,533</w:t>
            </w:r>
          </w:p>
        </w:tc>
        <w:tc>
          <w:tcPr>
            <w:tcW w:w="100" w:type="dxa"/>
            <w:vAlign w:val="bottom"/>
            <w:shd w:val="clear" w:color="auto" w:fill="CFF0FC"/>
          </w:tcPr>
          <w:p>
            <w:pPr>
              <w:spacing w:after="0"/>
              <w:rPr>
                <w:sz w:val="19"/>
                <w:szCs w:val="19"/>
                <w:color w:val="auto"/>
              </w:rPr>
            </w:pPr>
          </w:p>
        </w:tc>
        <w:tc>
          <w:tcPr>
            <w:tcW w:w="42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8,375</w:t>
            </w:r>
          </w:p>
        </w:tc>
        <w:tc>
          <w:tcPr>
            <w:tcW w:w="100" w:type="dxa"/>
            <w:vAlign w:val="bottom"/>
            <w:shd w:val="clear" w:color="auto" w:fill="CFF0FC"/>
          </w:tcPr>
          <w:p>
            <w:pPr>
              <w:spacing w:after="0"/>
              <w:rPr>
                <w:sz w:val="19"/>
                <w:szCs w:val="19"/>
                <w:color w:val="auto"/>
              </w:rPr>
            </w:pPr>
          </w:p>
        </w:tc>
      </w:tr>
      <w:tr>
        <w:trPr>
          <w:trHeight w:val="229"/>
        </w:trPr>
        <w:tc>
          <w:tcPr>
            <w:tcW w:w="5040" w:type="dxa"/>
            <w:vAlign w:val="bottom"/>
          </w:tcPr>
          <w:p>
            <w:pPr>
              <w:spacing w:after="0"/>
              <w:rPr>
                <w:sz w:val="20"/>
                <w:szCs w:val="20"/>
                <w:color w:val="auto"/>
              </w:rPr>
            </w:pPr>
            <w:r>
              <w:rPr>
                <w:rFonts w:ascii="Arial" w:cs="Arial" w:eastAsia="Arial" w:hAnsi="Arial"/>
                <w:sz w:val="18"/>
                <w:szCs w:val="18"/>
                <w:color w:val="auto"/>
              </w:rPr>
              <w:t>Interest income</w:t>
            </w:r>
          </w:p>
        </w:tc>
        <w:tc>
          <w:tcPr>
            <w:tcW w:w="7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(237)</w:t>
            </w:r>
          </w:p>
        </w:tc>
        <w:tc>
          <w:tcPr>
            <w:tcW w:w="42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(884)</w:t>
            </w:r>
          </w:p>
        </w:tc>
        <w:tc>
          <w:tcPr>
            <w:tcW w:w="40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(831)</w:t>
            </w:r>
          </w:p>
        </w:tc>
        <w:tc>
          <w:tcPr>
            <w:tcW w:w="42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(1,674)</w:t>
            </w:r>
          </w:p>
        </w:tc>
      </w:tr>
      <w:tr>
        <w:trPr>
          <w:trHeight w:val="230"/>
        </w:trPr>
        <w:tc>
          <w:tcPr>
            <w:tcW w:w="5040" w:type="dxa"/>
            <w:vAlign w:val="bottom"/>
            <w:shd w:val="clear" w:color="auto" w:fill="CFF0FC"/>
          </w:tcPr>
          <w:p>
            <w:pPr>
              <w:spacing w:after="0"/>
              <w:rPr>
                <w:sz w:val="20"/>
                <w:szCs w:val="20"/>
                <w:color w:val="auto"/>
              </w:rPr>
            </w:pPr>
            <w:r>
              <w:rPr>
                <w:rFonts w:ascii="Arial" w:cs="Arial" w:eastAsia="Arial" w:hAnsi="Arial"/>
                <w:sz w:val="18"/>
                <w:szCs w:val="18"/>
                <w:color w:val="auto"/>
              </w:rPr>
              <w:t>Interest expense</w:t>
            </w:r>
          </w:p>
        </w:tc>
        <w:tc>
          <w:tcPr>
            <w:tcW w:w="7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w:t>
            </w:r>
          </w:p>
        </w:tc>
        <w:tc>
          <w:tcPr>
            <w:tcW w:w="10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w:t>
            </w:r>
          </w:p>
        </w:tc>
        <w:tc>
          <w:tcPr>
            <w:tcW w:w="10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w:t>
            </w:r>
          </w:p>
        </w:tc>
        <w:tc>
          <w:tcPr>
            <w:tcW w:w="10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w:t>
            </w:r>
          </w:p>
        </w:tc>
        <w:tc>
          <w:tcPr>
            <w:tcW w:w="100" w:type="dxa"/>
            <w:vAlign w:val="bottom"/>
            <w:shd w:val="clear" w:color="auto" w:fill="CFF0FC"/>
          </w:tcPr>
          <w:p>
            <w:pPr>
              <w:spacing w:after="0"/>
              <w:rPr>
                <w:sz w:val="19"/>
                <w:szCs w:val="19"/>
                <w:color w:val="auto"/>
              </w:rPr>
            </w:pPr>
          </w:p>
        </w:tc>
      </w:tr>
      <w:tr>
        <w:trPr>
          <w:trHeight w:val="229"/>
        </w:trPr>
        <w:tc>
          <w:tcPr>
            <w:tcW w:w="5040" w:type="dxa"/>
            <w:vAlign w:val="bottom"/>
          </w:tcPr>
          <w:p>
            <w:pPr>
              <w:spacing w:after="0"/>
              <w:rPr>
                <w:sz w:val="20"/>
                <w:szCs w:val="20"/>
                <w:color w:val="auto"/>
              </w:rPr>
            </w:pPr>
            <w:r>
              <w:rPr>
                <w:rFonts w:ascii="Arial" w:cs="Arial" w:eastAsia="Arial" w:hAnsi="Arial"/>
                <w:sz w:val="18"/>
                <w:szCs w:val="18"/>
                <w:color w:val="auto"/>
              </w:rPr>
              <w:t>Income tax provision</w:t>
            </w:r>
          </w:p>
        </w:tc>
        <w:tc>
          <w:tcPr>
            <w:tcW w:w="7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1,061</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719</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2,920</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2,556</w:t>
            </w:r>
          </w:p>
        </w:tc>
        <w:tc>
          <w:tcPr>
            <w:tcW w:w="100" w:type="dxa"/>
            <w:vAlign w:val="bottom"/>
          </w:tcPr>
          <w:p>
            <w:pPr>
              <w:spacing w:after="0"/>
              <w:rPr>
                <w:sz w:val="19"/>
                <w:szCs w:val="19"/>
                <w:color w:val="auto"/>
              </w:rPr>
            </w:pPr>
          </w:p>
        </w:tc>
      </w:tr>
      <w:tr>
        <w:trPr>
          <w:trHeight w:val="229"/>
        </w:trPr>
        <w:tc>
          <w:tcPr>
            <w:tcW w:w="5040" w:type="dxa"/>
            <w:vAlign w:val="bottom"/>
            <w:shd w:val="clear" w:color="auto" w:fill="CFF0FC"/>
          </w:tcPr>
          <w:p>
            <w:pPr>
              <w:spacing w:after="0"/>
              <w:rPr>
                <w:sz w:val="20"/>
                <w:szCs w:val="20"/>
                <w:color w:val="auto"/>
              </w:rPr>
            </w:pPr>
            <w:r>
              <w:rPr>
                <w:rFonts w:ascii="Arial" w:cs="Arial" w:eastAsia="Arial" w:hAnsi="Arial"/>
                <w:sz w:val="18"/>
                <w:szCs w:val="18"/>
                <w:color w:val="auto"/>
              </w:rPr>
              <w:t>Stock based compensation expense</w:t>
            </w:r>
          </w:p>
        </w:tc>
        <w:tc>
          <w:tcPr>
            <w:tcW w:w="7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557</w:t>
            </w:r>
          </w:p>
        </w:tc>
        <w:tc>
          <w:tcPr>
            <w:tcW w:w="10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2,558</w:t>
            </w:r>
          </w:p>
        </w:tc>
        <w:tc>
          <w:tcPr>
            <w:tcW w:w="10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1,107</w:t>
            </w:r>
          </w:p>
        </w:tc>
        <w:tc>
          <w:tcPr>
            <w:tcW w:w="10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3,074</w:t>
            </w:r>
          </w:p>
        </w:tc>
        <w:tc>
          <w:tcPr>
            <w:tcW w:w="100" w:type="dxa"/>
            <w:vAlign w:val="bottom"/>
            <w:shd w:val="clear" w:color="auto" w:fill="CFF0FC"/>
          </w:tcPr>
          <w:p>
            <w:pPr>
              <w:spacing w:after="0"/>
              <w:rPr>
                <w:sz w:val="19"/>
                <w:szCs w:val="19"/>
                <w:color w:val="auto"/>
              </w:rPr>
            </w:pPr>
          </w:p>
        </w:tc>
      </w:tr>
      <w:tr>
        <w:trPr>
          <w:trHeight w:val="230"/>
        </w:trPr>
        <w:tc>
          <w:tcPr>
            <w:tcW w:w="504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7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7,150</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6,942</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14,599</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13,480</w:t>
            </w:r>
          </w:p>
        </w:tc>
        <w:tc>
          <w:tcPr>
            <w:tcW w:w="100" w:type="dxa"/>
            <w:vAlign w:val="bottom"/>
          </w:tcPr>
          <w:p>
            <w:pPr>
              <w:spacing w:after="0"/>
              <w:rPr>
                <w:sz w:val="19"/>
                <w:szCs w:val="19"/>
                <w:color w:val="auto"/>
              </w:rPr>
            </w:pPr>
          </w:p>
        </w:tc>
      </w:tr>
      <w:tr>
        <w:trPr>
          <w:trHeight w:val="229"/>
        </w:trPr>
        <w:tc>
          <w:tcPr>
            <w:tcW w:w="5040" w:type="dxa"/>
            <w:vAlign w:val="bottom"/>
            <w:shd w:val="clear" w:color="auto" w:fill="CFF0FC"/>
          </w:tcPr>
          <w:p>
            <w:pPr>
              <w:spacing w:after="0"/>
              <w:rPr>
                <w:sz w:val="20"/>
                <w:szCs w:val="20"/>
                <w:color w:val="auto"/>
              </w:rPr>
            </w:pPr>
            <w:r>
              <w:rPr>
                <w:rFonts w:ascii="Arial" w:cs="Arial" w:eastAsia="Arial" w:hAnsi="Arial"/>
                <w:sz w:val="18"/>
                <w:szCs w:val="18"/>
                <w:color w:val="auto"/>
              </w:rPr>
              <w:t>Change in fair value of non-marketable equity investments</w:t>
            </w:r>
          </w:p>
        </w:tc>
        <w:tc>
          <w:tcPr>
            <w:tcW w:w="7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(29)</w:t>
            </w:r>
          </w:p>
        </w:tc>
        <w:tc>
          <w:tcPr>
            <w:tcW w:w="42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(1,181)</w:t>
            </w:r>
          </w:p>
        </w:tc>
        <w:tc>
          <w:tcPr>
            <w:tcW w:w="42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29"/>
        </w:trPr>
        <w:tc>
          <w:tcPr>
            <w:tcW w:w="5040" w:type="dxa"/>
            <w:vAlign w:val="bottom"/>
          </w:tcPr>
          <w:p>
            <w:pPr>
              <w:spacing w:after="0"/>
              <w:rPr>
                <w:sz w:val="20"/>
                <w:szCs w:val="20"/>
                <w:color w:val="auto"/>
              </w:rPr>
            </w:pPr>
            <w:r>
              <w:rPr>
                <w:rFonts w:ascii="Arial" w:cs="Arial" w:eastAsia="Arial" w:hAnsi="Arial"/>
                <w:sz w:val="18"/>
                <w:szCs w:val="18"/>
                <w:color w:val="auto"/>
              </w:rPr>
              <w:t>Non-cash royalty expense</w:t>
            </w:r>
          </w:p>
        </w:tc>
        <w:tc>
          <w:tcPr>
            <w:tcW w:w="7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(3,440)</w:t>
            </w:r>
          </w:p>
        </w:tc>
        <w:tc>
          <w:tcPr>
            <w:tcW w:w="420" w:type="dxa"/>
            <w:vAlign w:val="bottom"/>
          </w:tcPr>
          <w:p>
            <w:pPr>
              <w:spacing w:after="0"/>
              <w:rPr>
                <w:sz w:val="19"/>
                <w:szCs w:val="19"/>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23"/>
        </w:trPr>
        <w:tc>
          <w:tcPr>
            <w:tcW w:w="50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Adjusted EBITDA</w:t>
            </w:r>
          </w:p>
        </w:tc>
        <w:tc>
          <w:tcPr>
            <w:tcW w:w="78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11,969</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420" w:type="dxa"/>
            <w:vAlign w:val="bottom"/>
            <w:tcBorders>
              <w:top w:val="single" w:sz="8" w:color="auto"/>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11,766</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400" w:type="dxa"/>
            <w:vAlign w:val="bottom"/>
            <w:tcBorders>
              <w:top w:val="single" w:sz="8" w:color="auto"/>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23,757</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420" w:type="dxa"/>
            <w:vAlign w:val="bottom"/>
            <w:tcBorders>
              <w:top w:val="single" w:sz="8" w:color="auto"/>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25,862</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50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Net cash provided by operating activities decreased by $23.1 million to $13.5 million during the six months ended June 30, 2020 from $36.6 million during the six months ended June 30, 2019. Such decrease was primarily driven by a decline in legacy resuscitation sales and the impact of COVID-19. Our DSO was 47 days for the second quarter of 2020, 44 days for the first quarter of 2020, and 47 days for the second quarter of 2019. The Company calculates DSO by dividing the average accounts receivable balance for the quarter by average daily revenues for the quarter. We believe that developments related to the COVID-19 pandemic have contributed to higher DSO in the second quarter of 2020 compared to the first quarter, the reduction in cash receipts, and lower bookings of new contracts in the first six months of 2020 compared to the same period in 2019, and this trend may continue if negative economic conditions arising from the pandemic persist or continue to deteriorate. The Company’s primary sources of cash were receipts generated from the sales of our products and services. The primary uses of cash to fund operations included personnel expenses, sales commissions, royalty payments, payments for contract labor and other direct expenses associated with delivery of our products and services, and general corporate expenses.</w:t>
      </w:r>
    </w:p>
    <w:p>
      <w:pPr>
        <w:spacing w:after="0" w:line="58"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 xml:space="preserve">Net cash used in investing activities was $22.1 million for the six months ended June 30, 2020 compared to $49.2 million for the six months ended June 30, 2019. During the six months ended June 30, 2020, </w:t>
      </w:r>
      <w:r>
        <w:rPr>
          <w:rFonts w:ascii="Arial" w:cs="Arial" w:eastAsia="Arial" w:hAnsi="Arial"/>
          <w:sz w:val="16"/>
          <w:szCs w:val="16"/>
          <w:color w:val="212529"/>
        </w:rPr>
        <w:t>the Company spent $21.4 million on business combinations, including the acquisition of NurseGrid</w:t>
      </w:r>
      <w:r>
        <w:rPr>
          <w:rFonts w:ascii="Arial" w:cs="Arial" w:eastAsia="Arial" w:hAnsi="Arial"/>
          <w:sz w:val="16"/>
          <w:szCs w:val="16"/>
          <w:color w:val="auto"/>
        </w:rPr>
        <w:t xml:space="preserve"> </w:t>
      </w:r>
      <w:r>
        <w:rPr>
          <w:rFonts w:ascii="Arial" w:cs="Arial" w:eastAsia="Arial" w:hAnsi="Arial"/>
          <w:sz w:val="16"/>
          <w:szCs w:val="16"/>
          <w:color w:val="212529"/>
        </w:rPr>
        <w:t xml:space="preserve">and the impact of the working capital adjustment for CredentialMyDoc, invested in marketable securities of $36.9 million, made payments for capitalized software development of $7.6 million, purchased property and equipment of $1.3 million, and invested $1.0 million in </w:t>
      </w:r>
      <w:r>
        <w:rPr>
          <w:rFonts w:ascii="Arial" w:cs="Arial" w:eastAsia="Arial" w:hAnsi="Arial"/>
          <w:sz w:val="16"/>
          <w:szCs w:val="16"/>
          <w:color w:val="000000"/>
        </w:rPr>
        <w:t>non-marketable equity investments</w:t>
      </w:r>
      <w:r>
        <w:rPr>
          <w:rFonts w:ascii="Arial" w:cs="Arial" w:eastAsia="Arial" w:hAnsi="Arial"/>
          <w:sz w:val="16"/>
          <w:szCs w:val="16"/>
          <w:color w:val="212529"/>
        </w:rPr>
        <w:t xml:space="preserve">. These uses of cash were partially offset by $46.2 million in maturities of marketable securities. </w:t>
      </w:r>
      <w:r>
        <w:rPr>
          <w:rFonts w:ascii="Arial" w:cs="Arial" w:eastAsia="Arial" w:hAnsi="Arial"/>
          <w:sz w:val="16"/>
          <w:szCs w:val="16"/>
          <w:color w:val="000000"/>
        </w:rPr>
        <w:t>During the six months ended June 30, 2019, the Company</w:t>
      </w:r>
      <w:r>
        <w:rPr>
          <w:rFonts w:ascii="Arial" w:cs="Arial" w:eastAsia="Arial" w:hAnsi="Arial"/>
          <w:sz w:val="16"/>
          <w:szCs w:val="16"/>
          <w:color w:val="212529"/>
        </w:rPr>
        <w:t xml:space="preserve"> </w:t>
      </w:r>
      <w:r>
        <w:rPr>
          <w:rFonts w:ascii="Arial" w:cs="Arial" w:eastAsia="Arial" w:hAnsi="Arial"/>
          <w:sz w:val="16"/>
          <w:szCs w:val="16"/>
          <w:color w:val="000000"/>
        </w:rPr>
        <w:t>acquired Providigm for $18.0 million, invested in marketable securities of $44.2 million, purchased property and equipment of $19.6 million, made payments for capitalized software development of $8.4 million, and invested $3.3 million in non-marketable equity investments. These uses of cash were partially offset by $38.0 million in maturities of marketable securities and $6.2 million in proceeds from the sale of its PX business segment.</w:t>
      </w:r>
    </w:p>
    <w:p>
      <w:pPr>
        <w:spacing w:after="0" w:line="5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 xml:space="preserve">Net cash used in financing activities from continuing operations was $10.4 million for the six months ended June 30, 2020 compared to $0.9 million for the six months ended June 30, 2019. </w:t>
      </w:r>
      <w:r>
        <w:rPr>
          <w:rFonts w:ascii="Arial" w:cs="Arial" w:eastAsia="Arial" w:hAnsi="Arial"/>
          <w:sz w:val="17"/>
          <w:szCs w:val="17"/>
          <w:color w:val="212529"/>
        </w:rPr>
        <w:t>The uses of cash for the six months ended June 30, 2020 primarily included $10.0 million for common stock repurchases, $0.4</w:t>
      </w:r>
      <w:r>
        <w:rPr>
          <w:rFonts w:ascii="Arial" w:cs="Arial" w:eastAsia="Arial" w:hAnsi="Arial"/>
          <w:sz w:val="17"/>
          <w:szCs w:val="17"/>
          <w:color w:val="auto"/>
        </w:rPr>
        <w:t xml:space="preserve"> </w:t>
      </w:r>
      <w:r>
        <w:rPr>
          <w:rFonts w:ascii="Arial" w:cs="Arial" w:eastAsia="Arial" w:hAnsi="Arial"/>
          <w:sz w:val="17"/>
          <w:szCs w:val="17"/>
          <w:color w:val="212529"/>
        </w:rPr>
        <w:t>million for the payment of employee payroll taxes in relation to the vesting of restricted share units, and $31,000 of cash dividend payments. The uses of cash for the six months ended June 30, 2019 included $1.0 million for the payment of employee payroll taxes in relation to the vesting of restricted share units, $52,000 of cash dividends payments, and $37,000 of earn-out payments related to prior acquisitions. The source of cash from financing activities for the six months ended June 30, 2019 was $0.2 million from the exercise of stock options.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229235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63" w:right="339" w:bottom="1440" w:gutter="0" w:footer="0" w:header="0"/>
        </w:sectPr>
      </w:pPr>
    </w:p>
    <w:bookmarkStart w:id="29" w:name="page30"/>
    <w:bookmarkEnd w:id="29"/>
    <w:p>
      <w:pPr>
        <w:jc w:val="both"/>
        <w:spacing w:after="0" w:line="257" w:lineRule="auto"/>
        <w:rPr>
          <w:sz w:val="20"/>
          <w:szCs w:val="20"/>
          <w:color w:val="auto"/>
        </w:rPr>
      </w:pPr>
      <w:r>
        <w:rPr>
          <w:rFonts w:ascii="Arial" w:cs="Arial" w:eastAsia="Arial" w:hAnsi="Arial"/>
          <w:sz w:val="18"/>
          <w:szCs w:val="18"/>
          <w:color w:val="auto"/>
        </w:rPr>
        <w:t>Our balance sheet reflects positive working capital of $106.2 million at June 30, 2020 compared to $119.4 million at December 31, 2019. The decrease in working capital is primarily a result of the reduction in cash to fund the acquisition of NurseGrid and share repurchases. The Company’s primary source of liquidity as of June 30, 2020 was $112.5 million of cash and cash equivalents and $32.0 million of marketable securities. The Company also has a $50.0 million revolving credit facility, all of which was available for additional borrowing at June 30, 2020. The revolving credit facility expires on November 24, 2020, unless earlier renewed or amended.</w:t>
      </w:r>
    </w:p>
    <w:p>
      <w:pPr>
        <w:spacing w:after="0" w:line="80"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On March 13, 2020, we announced a share repurchase program authorized by our Board of Directors under which we may purchase up to $30.0 million of our common stock. Pursuant to this authorization, repurchases have been made, and may continue to be made from time to time, in the open market through privately negotiated transactions or otherwise, including under a Rule 10b5-1 plan, which permits shares to be repurchased when the Company might otherwise be precluded from doing so under insider trading laws in accordance with specific prearranged terms related to timing, price, and volume (among others), without further direction from the Company. Under this program, during the first six months of 2020, we repurchased 443,941 shares at an aggregate fair value of $10.0 million, reflecting an average price per share of $22.53 (excluding the cost of broker commissions). We may continue to make repurchases under this share repurchase program based on prevailing market conditions, liquidity, and cash flow considerations, applicable securities laws requirements (including under Rule 10b-18 and Rule 10b5-1 of the Securities Exchange Act of 1934, as applicable), and other factors. The share repurchase program will terminate on the earlier of March 12, 2021 or when the maximum dollar amount has been expended.</w:t>
      </w:r>
    </w:p>
    <w:p>
      <w:pPr>
        <w:spacing w:after="0" w:line="58"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We believe that our existing cash and cash equivalents, marketable securities, cash generated from operations, and available borrowings under our revolving credit facility will be sufficient to meet anticipated working capital needs, new product development, any additional repurchases under our share repurchase program, and capital expenditures for at least the next 12 months. If the impact of COVID-19 persists longer than expected or causes economic conditions to further deteriorate, we are prepared to curtail or discontinue new product development and/or repurchases under the share repurchase authorization as we deem in the best interest of shareholders and the Company.</w:t>
      </w:r>
    </w:p>
    <w:p>
      <w:pPr>
        <w:spacing w:after="0" w:line="68"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In addition, the Company’s growth strategy includes acquiring businesses or making strategic investments in businesses that complement or enhance our business. It is anticipated that future acquisitions or strategic investments, if any, would be effected through cash consideration, stock consideration, or a combination of both. The issuance of our stock as consideration for an acquisition or to raise additional capital could have a dilutive effect on earnings per share and could adversely affect our stock price. Our revolving credit facility contains financial covenants and availability calculations designed to set a maximum leverage ratio of outstanding debt to adjusted EBITDA and an interest coverage ratio of adjusted EBITDA to interest expense. Therefore, the maximum borrowings against our revolving credit facility would be dependent on the covenant calculations at the time of borrowing. As of June 30, 2020, we were in compliance with all covenants. There can be no assurance that amounts available for borrowing under our revolving credit facility will be sufficient to consummate any possible acquisitions, and we cannot assure you that if we need additional financing that it will be available on terms favorable to us, or at all. Failure to generate sufficient cash flow from operations or raise additional capital when required in sufficient amounts and on terms acceptable to us could harm our business, financial condition, and results of operations. Moreover, the COVID-19 pandemic has resulted in, and may continue to result in, significant disruptions of financial and capital markets, which could impair our ability to access additional capital if needed.</w:t>
      </w:r>
    </w:p>
    <w:p>
      <w:pPr>
        <w:spacing w:after="0" w:line="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i w:val="1"/>
          <w:iCs w:val="1"/>
          <w:color w:val="auto"/>
        </w:rPr>
        <w:t>Quantitative and Qualitative Disclosures about Market Risk</w:t>
      </w:r>
    </w:p>
    <w:p>
      <w:pPr>
        <w:spacing w:after="0" w:line="121"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Company is exposed to market risk from changes in interest rates. We do not have any material foreign currency exchange rate risk or commodity price risk. As of June 30, 2020 and during the six months then ended, the Company had no outstanding debt. We may become subject to interest rate market risk associated with any future borrowings under our revolving credit facility. The interest rate under the revolving credit facility varies depending on the interest rate option selected by the Company plus a margin determined in accordance with a pricing grid. We are also exposed to market risk with respect to our cash and investment balances, which approximated $144.5 million at June 30, 2020. Assuming a hypothetical 10% decrease in interest rates for invested balances, interest income from cash and investments would decrease on an annualized basis by $110,000.</w:t>
      </w:r>
    </w:p>
    <w:p>
      <w:pPr>
        <w:spacing w:after="0" w:line="56"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Company’s investment policy and strategy is focused on investing in highly rated securities, with the objective of minimizing the potential risk of principal loss. The Company’s policy limits the amount of credit exposure to any single issuer and sets limits on the average portfolio maturity.</w:t>
      </w:r>
    </w:p>
    <w:p>
      <w:pPr>
        <w:spacing w:after="0" w:line="38" w:lineRule="exact"/>
        <w:rPr>
          <w:sz w:val="20"/>
          <w:szCs w:val="20"/>
          <w:color w:val="auto"/>
        </w:rPr>
      </w:pPr>
    </w:p>
    <w:p>
      <w:pPr>
        <w:jc w:val="both"/>
        <w:ind w:right="20"/>
        <w:spacing w:after="0" w:line="224" w:lineRule="exact"/>
        <w:rPr>
          <w:sz w:val="20"/>
          <w:szCs w:val="20"/>
          <w:color w:val="auto"/>
        </w:rPr>
      </w:pPr>
      <w:r>
        <w:rPr>
          <w:rFonts w:ascii="Arial" w:cs="Arial" w:eastAsia="Arial" w:hAnsi="Arial"/>
          <w:sz w:val="16"/>
          <w:szCs w:val="16"/>
          <w:color w:val="auto"/>
        </w:rPr>
        <w:t>The above market risk discussion and the estimated amounts presented are forward</w:t>
      </w:r>
      <w:r>
        <w:rPr>
          <w:rFonts w:ascii="MS PGothic" w:cs="MS PGothic" w:eastAsia="MS PGothic" w:hAnsi="MS PGothic"/>
          <w:sz w:val="16"/>
          <w:szCs w:val="16"/>
          <w:color w:val="auto"/>
        </w:rPr>
        <w:t>‑</w:t>
      </w:r>
      <w:r>
        <w:rPr>
          <w:rFonts w:ascii="Arial" w:cs="Arial" w:eastAsia="Arial" w:hAnsi="Arial"/>
          <w:sz w:val="16"/>
          <w:szCs w:val="16"/>
          <w:color w:val="auto"/>
        </w:rPr>
        <w:t>looking statements of market risk assuming the occurrence of certain adverse market conditions. Actual results in the future may differ materially from those projected as a result of actual developments in the market.</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229235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63"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i w:val="1"/>
          <w:iCs w:val="1"/>
          <w:color w:val="auto"/>
        </w:rPr>
        <w:t>Controls and Procedures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Controls and Procedures</w:t>
      </w:r>
    </w:p>
    <w:p>
      <w:pPr>
        <w:spacing w:after="0" w:line="121"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HealthStream’s chief executive officer and principal financial officer have reviewed and evaluated the effectiveness of the Company’s disclosure controls and procedures (as defined in Rules 13a-15(e) and 15d-15(e) promulgated under the Securities Exchange Act of 1934 (the “Exchange Act”)) as of the end of the period covered by this Quarterly Report. Based on that evaluation, the chief executive officer and principal financial officer have concluded that HealthStream’s disclosure controls and procedures were effective to ensure that the information required to be disclosed by the Company in the reports the Company files or submits under the Exchange Act is recorded, processed, summarized and reported within the time periods specified in the SEC’s rules and forms, and the information required to be disclosed in the reports the Company files or submits under the Exchange Act was accumulated and communicated to the Company’s management, including its chief executive officer and principal financial officer, or persons performing similar functions, as appropriate to allow timely decisions regarding required disclosure.</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There was no change in HealthStream’s internal control over financial reporting that occurred during the second quarter of 2020 that has materially affected, or that is reasonably likely to materially affect, HealthStream’s internal control over financial reporting.</w:t>
      </w:r>
    </w:p>
    <w:p>
      <w:pPr>
        <w:spacing w:after="0" w:line="58" w:lineRule="exact"/>
        <w:rPr>
          <w:sz w:val="20"/>
          <w:szCs w:val="20"/>
          <w:color w:val="auto"/>
        </w:rPr>
      </w:pPr>
    </w:p>
    <w:p>
      <w:pPr>
        <w:spacing w:after="0" w:line="207" w:lineRule="exact"/>
        <w:rPr>
          <w:sz w:val="20"/>
          <w:szCs w:val="20"/>
          <w:color w:val="auto"/>
        </w:rPr>
      </w:pPr>
      <w:r>
        <w:rPr>
          <w:rFonts w:ascii="Arial" w:cs="Arial" w:eastAsia="Arial" w:hAnsi="Arial"/>
          <w:sz w:val="18"/>
          <w:szCs w:val="18"/>
          <w:b w:val="1"/>
          <w:bCs w:val="1"/>
          <w:color w:val="auto"/>
        </w:rPr>
        <w:t xml:space="preserve">PART II </w:t>
      </w:r>
      <w:r>
        <w:rPr>
          <w:rFonts w:ascii="MS PGothic" w:cs="MS PGothic" w:eastAsia="MS PGothic" w:hAnsi="MS PGothic"/>
          <w:sz w:val="18"/>
          <w:szCs w:val="18"/>
          <w:b w:val="1"/>
          <w:bCs w:val="1"/>
          <w:color w:val="auto"/>
        </w:rPr>
        <w:t>‑</w:t>
      </w:r>
      <w:r>
        <w:rPr>
          <w:rFonts w:ascii="Arial" w:cs="Arial" w:eastAsia="Arial" w:hAnsi="Arial"/>
          <w:sz w:val="18"/>
          <w:szCs w:val="18"/>
          <w:b w:val="1"/>
          <w:bCs w:val="1"/>
          <w:color w:val="auto"/>
        </w:rPr>
        <w:t xml:space="preserve"> OTHER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following risk factor updates the risk factor included in Part II, Item 1A. Risk Factors in the Company’s Quarterly Report on Form 10-Q for the three months ended March 31, 2020, filed by the Company on April 30, 2020. Except as set forth below, there have been no material changes with regard to the risk factors previously disclosed in the 2019 Form 10-K.</w:t>
      </w:r>
    </w:p>
    <w:p>
      <w:pPr>
        <w:spacing w:after="0" w:line="7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The coronavirus pandemic has adversely impacted our business, and may have material adverse impacts on our business, financial condition, results of operations, and/or cash flows.</w:t>
      </w:r>
    </w:p>
    <w:p>
      <w:pPr>
        <w:spacing w:after="0" w:line="62"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COVID-19 pandemic has resulted in authorities throughout the United States and the world implementing widespread measures attempting to contain the spread and impact of COVID-19, such as travel bans and restrictions, quarantines, shelter-in-place orders, the promotion of social distancing, and limitations on business activity. These measures and the pandemic have caused a significant economic downturn in the United States and globally, resulted in increased unemployment and underemployment levels, and adversely impacted consumer confidence and spending. This pandemic has also led to significant disruption and volatility in financial and capital markets. Amid these efforts and occurrences, diagnosed cases of COVID-19 have continued to grow, particularly in the United States, which has caused some governmental authorities to reinstate previously relaxed restrictions on business and other activities.</w:t>
      </w:r>
    </w:p>
    <w:p>
      <w:pPr>
        <w:spacing w:after="0" w:line="56"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Our business is focused on providing workforce and provider solutions to healthcare organizations. Many healthcare organizations have been, and will likely continue to be, substantially adversely impacted by the COVID-19 pandemic, which has resulted in a substantial reduction in the number of elective surgeries, physician office visits, and other healthcare procedures due to restrictive measures, including quarantines and shelter-in-place orders, as well as general concerns related to the risk of contracting COVID-19 from interacting with the healthcare system. Moreover, some healthcare organizations, such as ambulatory surgery centers, have been forced to reduce or temporarily close their operations due to the impact of the pandemic. Additionally, adverse conditions related to the pandemic have caused, and could continue to cause, certain of our customers to be unable to pay for our products and services in a timely and fulsome manner, or unable to pay at all, which has had, and will likely continue to have, an adverse impact on our financial results. For example, we experienced a decrease in cash receipts from customers in the second quarter of 2020 compared to the same period of the previous year and an increase in DSO from the first quarter of 2020 to the second quarter. To the extent these trends continue, or our customers are unable to pay due to bankruptcy or the deterioration of their business as the result of COVID-19, our bad debt may continue to increase and future revenue generating opportunities with those customers may be limited.</w:t>
      </w:r>
    </w:p>
    <w:p>
      <w:pPr>
        <w:spacing w:after="0" w:line="74"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Conditions related to the pandemic may also adversely impact the ability or willingness of our customers to renew their contracts with us (or to renew contracts on comparable terms) and have adversely impacted the willingness of some customers to expand the quantity and type of solutions they purchase from us. For example, renewing customers that have reduced or expect to reduce the number of their staff due to COVID-19 may not have a need to renew their contracts for as many user subscriptions as purchased under their previous contracts. The COVID-19 pandemic has adversely impacted, and will likely continue to adversely impact, our ability to enter into contracts with new potential customers. Customers may also be unwilling or unable to pay the same prices for our products and solutions than they have paid in the past, which could negatively impact our results and growth. Many of our customers are not currently allowing vendors, including ourselves, on their premises, which has reduced, and will likely continue to reduce, the ability of our sales team to make sales they otherwise would likely make but for the impact of COVID-19. Our sales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229235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59" w:right="339" w:bottom="1440" w:gutter="0" w:footer="0" w:header="0"/>
        </w:sectPr>
      </w:pPr>
    </w:p>
    <w:bookmarkStart w:id="31" w:name="page32"/>
    <w:bookmarkEnd w:id="31"/>
    <w:p>
      <w:pPr>
        <w:jc w:val="both"/>
        <w:spacing w:after="0" w:line="275" w:lineRule="auto"/>
        <w:rPr>
          <w:sz w:val="20"/>
          <w:szCs w:val="20"/>
          <w:color w:val="auto"/>
        </w:rPr>
      </w:pPr>
      <w:r>
        <w:rPr>
          <w:rFonts w:ascii="Arial" w:cs="Arial" w:eastAsia="Arial" w:hAnsi="Arial"/>
          <w:sz w:val="17"/>
          <w:szCs w:val="17"/>
          <w:color w:val="auto"/>
        </w:rPr>
        <w:t>opportunities generated from in-person marketing initiatives, such as tradeshows, have also been negatively impacted due to the cancellation of such in-person events, and this has led to, and will likely continue leading to, lost or delayed sales opportunities. Additionally, we do not recognize revenue until a software product is implemented and “live” for a customer to use. In this regard, to the extent our customers delay or fail to implement products they have previously purchased, as we have experienced with certain customers in recent months, or to the extent we are unable to fulfill our own implementation backlogs due to COVID-19, our financial results will likely suffer, as may our future prospects.</w:t>
      </w:r>
    </w:p>
    <w:p>
      <w:pPr>
        <w:spacing w:after="0" w:line="6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Our business also relies on a network of partners whose solutions we resell or whose solutions are sold and delivered over our platform. At least one of our partners has declared bankruptcy since the pandemic began, though such partner continues operations. To the extent COVID-19 results in business disruption or adverse impacts to our partners, such disruptions and adverse impacts could adversely impact our business as well.</w:t>
      </w:r>
    </w:p>
    <w:p>
      <w:pPr>
        <w:spacing w:after="0" w:line="5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At the time of filing, due to COVID-19 our entire workforce is continuing to work remotely from home, even if and to the extent that phased re-opening orders provided by local and state governments would allow for a limited return to office work. While we have not observed a negative disruption to productivity to date, operating on a prolonged basis as a remote workforce could result in decreases in productivity, increased security risks, impair our ability to manage our business, and harm our ability to attract, retain, and onboard employees.</w:t>
      </w:r>
    </w:p>
    <w:p>
      <w:pPr>
        <w:spacing w:after="0" w:line="7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There continue to be significant uncertainties associated with the COVID-19 pandemic, including with respect to the severity and duration of the pandemic, the timing and availability of medical treatments and vaccines with respect to COVID-19, actions that may be taken by governmental authorities and private businesses to mitigate against the impact of the pandemic, and the ongoing impact of COVID-19 on economic activity and unemployment and underemployment levels. Moreover, COVID-19 developments continue to evolve quickly, and additional developments may occur which we are unable to predict.</w:t>
      </w:r>
    </w:p>
    <w:p>
      <w:pPr>
        <w:spacing w:after="0" w:line="8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Developments related to COVID-19 have adversely impacted our business, and could have a material adverse effect on our business, financial condition, results of operations, and/or cash flows, particularly if negative conditions impacting healthcare organizations persist for a significant period of time or continue to deteriorate. In addition, the impact of COVID-19 may exacerbate other risks discussed in Part I, Item 1A. Risk Factors in our Annual Report on Form 10-K, any of which could have a material effect on us.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Unregistered Sales of Equity Securities and Use of Proceeds</w:t>
      </w:r>
    </w:p>
    <w:p>
      <w:pPr>
        <w:spacing w:after="0" w:line="121" w:lineRule="exact"/>
        <w:rPr>
          <w:sz w:val="20"/>
          <w:szCs w:val="20"/>
          <w:color w:val="auto"/>
        </w:rPr>
      </w:pPr>
    </w:p>
    <w:p>
      <w:pPr>
        <w:jc w:val="both"/>
        <w:spacing w:after="0" w:line="283" w:lineRule="auto"/>
        <w:rPr>
          <w:sz w:val="20"/>
          <w:szCs w:val="20"/>
          <w:color w:val="auto"/>
        </w:rPr>
      </w:pPr>
      <w:r>
        <w:rPr>
          <w:rFonts w:ascii="Arial" w:cs="Arial" w:eastAsia="Arial" w:hAnsi="Arial"/>
          <w:sz w:val="16"/>
          <w:szCs w:val="16"/>
          <w:color w:val="auto"/>
        </w:rPr>
        <w:t>On March 13, 2020, the Company announced a share repurchase program authorized by the Company’s Board of Directors under which the Company may purchase up to $30.0 million of its common stock. Pursuant to this authorization, repurchases have been made, and may continue to be made from time to time, in the open market through privately negotiated transactions or otherwise, including under a Rule 105b-1 plan, which permits shares to be repurchased when the Company might otherwise be precluded from doing so under insider trading laws in accordance with specific prearranged terms related to timing, price, and volume (among others), without further direction from the Company. Under this program, during the first six months of 2020 the Company repurchased 443,941 shares at an aggregate fair value of $10.0 million, reflecting an average price per share of $22.53 (excluding the cost of broker commissions). In addition, any future repurchases under the authorization will be subject to prevailing market conditions, liquidity and cash flow considerations, applicable securities laws requirements (including under Rule 10b-18 and Rule 10b5-1 of the Securities Exchange Act of 1934, as applicable), and other factors. The share repurchase program will terminate on the earlier of March 12, 2021 or when the maximum dollar amount has been expended. The table below sets forth activity under the stock repurchase plan for the three months ended June 30, 2020.</w:t>
      </w:r>
    </w:p>
    <w:tbl>
      <w:tblPr>
        <w:tblLayout w:type="fixed"/>
        <w:tblInd w:w="0" w:type="dxa"/>
        <w:tblCellMar>
          <w:top w:w="0" w:type="dxa"/>
          <w:left w:w="0" w:type="dxa"/>
          <w:bottom w:w="0" w:type="dxa"/>
          <w:right w:w="0" w:type="dxa"/>
        </w:tblCellMar>
      </w:tblPr>
      <w:tr>
        <w:trPr>
          <w:trHeight w:val="144"/>
        </w:trPr>
        <w:tc>
          <w:tcPr>
            <w:tcW w:w="396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5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(c)</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20" w:type="dxa"/>
            <w:vAlign w:val="bottom"/>
            <w:gridSpan w:val="2"/>
          </w:tcPr>
          <w:p>
            <w:pPr>
              <w:jc w:val="center"/>
              <w:ind w:right="240"/>
              <w:spacing w:after="0" w:line="144" w:lineRule="exact"/>
              <w:rPr>
                <w:sz w:val="20"/>
                <w:szCs w:val="20"/>
                <w:color w:val="auto"/>
              </w:rPr>
            </w:pPr>
            <w:r>
              <w:rPr>
                <w:rFonts w:ascii="Arial" w:cs="Arial" w:eastAsia="Arial" w:hAnsi="Arial"/>
                <w:sz w:val="14"/>
                <w:szCs w:val="14"/>
                <w:b w:val="1"/>
                <w:bCs w:val="1"/>
                <w:color w:val="auto"/>
              </w:rPr>
              <w:t>(d)</w:t>
            </w:r>
          </w:p>
        </w:tc>
        <w:tc>
          <w:tcPr>
            <w:tcW w:w="0" w:type="dxa"/>
            <w:vAlign w:val="bottom"/>
          </w:tcPr>
          <w:p>
            <w:pPr>
              <w:spacing w:after="0"/>
              <w:rPr>
                <w:sz w:val="1"/>
                <w:szCs w:val="1"/>
                <w:color w:val="auto"/>
              </w:rPr>
            </w:pPr>
          </w:p>
        </w:tc>
      </w:tr>
      <w:tr>
        <w:trPr>
          <w:trHeight w:val="149"/>
        </w:trPr>
        <w:tc>
          <w:tcPr>
            <w:tcW w:w="396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58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6"/>
              </w:rPr>
              <w:t>Maximum number (or</w:t>
            </w:r>
          </w:p>
        </w:tc>
        <w:tc>
          <w:tcPr>
            <w:tcW w:w="0" w:type="dxa"/>
            <w:vAlign w:val="bottom"/>
          </w:tcPr>
          <w:p>
            <w:pPr>
              <w:spacing w:after="0"/>
              <w:rPr>
                <w:sz w:val="1"/>
                <w:szCs w:val="1"/>
                <w:color w:val="auto"/>
              </w:rPr>
            </w:pPr>
          </w:p>
        </w:tc>
      </w:tr>
      <w:tr>
        <w:trPr>
          <w:trHeight w:val="148"/>
        </w:trPr>
        <w:tc>
          <w:tcPr>
            <w:tcW w:w="396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Total number of shares</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4"/>
              </w:rPr>
              <w:t>approximate dollar</w:t>
            </w:r>
          </w:p>
        </w:tc>
        <w:tc>
          <w:tcPr>
            <w:tcW w:w="0" w:type="dxa"/>
            <w:vAlign w:val="bottom"/>
          </w:tcPr>
          <w:p>
            <w:pPr>
              <w:spacing w:after="0"/>
              <w:rPr>
                <w:sz w:val="1"/>
                <w:szCs w:val="1"/>
                <w:color w:val="auto"/>
              </w:rPr>
            </w:pPr>
          </w:p>
        </w:tc>
      </w:tr>
      <w:tr>
        <w:trPr>
          <w:trHeight w:val="148"/>
        </w:trPr>
        <w:tc>
          <w:tcPr>
            <w:tcW w:w="3960" w:type="dxa"/>
            <w:vAlign w:val="bottom"/>
          </w:tcPr>
          <w:p>
            <w:pPr>
              <w:spacing w:after="0"/>
              <w:rPr>
                <w:sz w:val="12"/>
                <w:szCs w:val="12"/>
                <w:color w:val="auto"/>
              </w:rPr>
            </w:pPr>
          </w:p>
        </w:tc>
        <w:tc>
          <w:tcPr>
            <w:tcW w:w="186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3"/>
              </w:rPr>
              <w:t>(a)</w:t>
            </w:r>
          </w:p>
        </w:tc>
        <w:tc>
          <w:tcPr>
            <w:tcW w:w="160" w:type="dxa"/>
            <w:vAlign w:val="bottom"/>
          </w:tcPr>
          <w:p>
            <w:pPr>
              <w:spacing w:after="0"/>
              <w:rPr>
                <w:sz w:val="12"/>
                <w:szCs w:val="12"/>
                <w:color w:val="auto"/>
              </w:rPr>
            </w:pPr>
          </w:p>
        </w:tc>
        <w:tc>
          <w:tcPr>
            <w:tcW w:w="1680" w:type="dxa"/>
            <w:vAlign w:val="bottom"/>
            <w:gridSpan w:val="2"/>
            <w:vMerge w:val="restart"/>
          </w:tcPr>
          <w:p>
            <w:pPr>
              <w:jc w:val="center"/>
              <w:ind w:right="460"/>
              <w:spacing w:after="0"/>
              <w:rPr>
                <w:sz w:val="20"/>
                <w:szCs w:val="20"/>
                <w:color w:val="auto"/>
              </w:rPr>
            </w:pPr>
            <w:r>
              <w:rPr>
                <w:rFonts w:ascii="Arial" w:cs="Arial" w:eastAsia="Arial" w:hAnsi="Arial"/>
                <w:sz w:val="14"/>
                <w:szCs w:val="14"/>
                <w:b w:val="1"/>
                <w:bCs w:val="1"/>
                <w:color w:val="auto"/>
              </w:rPr>
              <w:t>(b)</w:t>
            </w:r>
          </w:p>
        </w:tc>
        <w:tc>
          <w:tcPr>
            <w:tcW w:w="1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(or units) purchased as</w:t>
            </w:r>
          </w:p>
        </w:tc>
        <w:tc>
          <w:tcPr>
            <w:tcW w:w="280" w:type="dxa"/>
            <w:vAlign w:val="bottom"/>
          </w:tcPr>
          <w:p>
            <w:pPr>
              <w:spacing w:after="0"/>
              <w:rPr>
                <w:sz w:val="12"/>
                <w:szCs w:val="12"/>
                <w:color w:val="auto"/>
              </w:rPr>
            </w:pPr>
          </w:p>
        </w:tc>
        <w:tc>
          <w:tcPr>
            <w:tcW w:w="172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1"/>
              </w:rPr>
              <w:t>value) of shares (or units)</w:t>
            </w:r>
          </w:p>
        </w:tc>
        <w:tc>
          <w:tcPr>
            <w:tcW w:w="0" w:type="dxa"/>
            <w:vAlign w:val="bottom"/>
          </w:tcPr>
          <w:p>
            <w:pPr>
              <w:spacing w:after="0"/>
              <w:rPr>
                <w:sz w:val="1"/>
                <w:szCs w:val="1"/>
                <w:color w:val="auto"/>
              </w:rPr>
            </w:pPr>
          </w:p>
        </w:tc>
      </w:tr>
      <w:tr>
        <w:trPr>
          <w:trHeight w:val="149"/>
        </w:trPr>
        <w:tc>
          <w:tcPr>
            <w:tcW w:w="3960" w:type="dxa"/>
            <w:vAlign w:val="bottom"/>
          </w:tcPr>
          <w:p>
            <w:pPr>
              <w:spacing w:after="0"/>
              <w:rPr>
                <w:sz w:val="12"/>
                <w:szCs w:val="12"/>
                <w:color w:val="auto"/>
              </w:rPr>
            </w:pPr>
          </w:p>
        </w:tc>
        <w:tc>
          <w:tcPr>
            <w:tcW w:w="18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680" w:type="dxa"/>
            <w:vAlign w:val="bottom"/>
            <w:gridSpan w:val="2"/>
            <w:vMerge w:val="continue"/>
          </w:tcPr>
          <w:p>
            <w:pPr>
              <w:spacing w:after="0"/>
              <w:rPr>
                <w:sz w:val="12"/>
                <w:szCs w:val="12"/>
                <w:color w:val="auto"/>
              </w:rPr>
            </w:pPr>
          </w:p>
        </w:tc>
        <w:tc>
          <w:tcPr>
            <w:tcW w:w="1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part of publicly</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2"/>
              </w:rPr>
              <w:t>that may yet be</w:t>
            </w:r>
          </w:p>
        </w:tc>
        <w:tc>
          <w:tcPr>
            <w:tcW w:w="0" w:type="dxa"/>
            <w:vAlign w:val="bottom"/>
          </w:tcPr>
          <w:p>
            <w:pPr>
              <w:spacing w:after="0"/>
              <w:rPr>
                <w:sz w:val="1"/>
                <w:szCs w:val="1"/>
                <w:color w:val="auto"/>
              </w:rPr>
            </w:pPr>
          </w:p>
        </w:tc>
      </w:tr>
      <w:tr>
        <w:trPr>
          <w:trHeight w:val="148"/>
        </w:trPr>
        <w:tc>
          <w:tcPr>
            <w:tcW w:w="3960" w:type="dxa"/>
            <w:vAlign w:val="bottom"/>
            <w:vMerge w:val="restart"/>
          </w:tcPr>
          <w:p>
            <w:pPr>
              <w:ind w:left="1680"/>
              <w:spacing w:after="0"/>
              <w:rPr>
                <w:sz w:val="20"/>
                <w:szCs w:val="20"/>
                <w:color w:val="auto"/>
              </w:rPr>
            </w:pPr>
            <w:r>
              <w:rPr>
                <w:rFonts w:ascii="Arial" w:cs="Arial" w:eastAsia="Arial" w:hAnsi="Arial"/>
                <w:sz w:val="14"/>
                <w:szCs w:val="14"/>
                <w:b w:val="1"/>
                <w:bCs w:val="1"/>
                <w:color w:val="auto"/>
              </w:rPr>
              <w:t>Period</w:t>
            </w:r>
          </w:p>
        </w:tc>
        <w:tc>
          <w:tcPr>
            <w:tcW w:w="18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0"/>
              </w:rPr>
              <w:t>Total number of shares</w:t>
            </w:r>
          </w:p>
        </w:tc>
        <w:tc>
          <w:tcPr>
            <w:tcW w:w="1840" w:type="dxa"/>
            <w:vAlign w:val="bottom"/>
            <w:gridSpan w:val="3"/>
          </w:tcPr>
          <w:p>
            <w:pPr>
              <w:jc w:val="center"/>
              <w:ind w:right="320"/>
              <w:spacing w:after="0" w:line="149" w:lineRule="exact"/>
              <w:rPr>
                <w:sz w:val="20"/>
                <w:szCs w:val="20"/>
                <w:color w:val="auto"/>
              </w:rPr>
            </w:pPr>
            <w:r>
              <w:rPr>
                <w:rFonts w:ascii="Arial" w:cs="Arial" w:eastAsia="Arial" w:hAnsi="Arial"/>
                <w:sz w:val="14"/>
                <w:szCs w:val="14"/>
                <w:b w:val="1"/>
                <w:bCs w:val="1"/>
                <w:color w:val="auto"/>
                <w:w w:val="92"/>
              </w:rPr>
              <w:t>Average price paid per</w:t>
            </w:r>
          </w:p>
        </w:tc>
        <w:tc>
          <w:tcPr>
            <w:tcW w:w="1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announced plans or</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purchased under the</w:t>
            </w:r>
          </w:p>
        </w:tc>
        <w:tc>
          <w:tcPr>
            <w:tcW w:w="0" w:type="dxa"/>
            <w:vAlign w:val="bottom"/>
          </w:tcPr>
          <w:p>
            <w:pPr>
              <w:spacing w:after="0"/>
              <w:rPr>
                <w:sz w:val="1"/>
                <w:szCs w:val="1"/>
                <w:color w:val="auto"/>
              </w:rPr>
            </w:pPr>
          </w:p>
        </w:tc>
      </w:tr>
      <w:tr>
        <w:trPr>
          <w:trHeight w:val="171"/>
        </w:trPr>
        <w:tc>
          <w:tcPr>
            <w:tcW w:w="3960" w:type="dxa"/>
            <w:vAlign w:val="bottom"/>
            <w:vMerge w:val="continue"/>
          </w:tcPr>
          <w:p>
            <w:pPr>
              <w:spacing w:after="0"/>
              <w:rPr>
                <w:sz w:val="14"/>
                <w:szCs w:val="14"/>
                <w:color w:val="auto"/>
              </w:rPr>
            </w:pPr>
          </w:p>
        </w:tc>
        <w:tc>
          <w:tcPr>
            <w:tcW w:w="18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(or units) purchased</w:t>
            </w:r>
          </w:p>
        </w:tc>
        <w:tc>
          <w:tcPr>
            <w:tcW w:w="160" w:type="dxa"/>
            <w:vAlign w:val="bottom"/>
          </w:tcPr>
          <w:p>
            <w:pPr>
              <w:spacing w:after="0"/>
              <w:rPr>
                <w:sz w:val="14"/>
                <w:szCs w:val="14"/>
                <w:color w:val="auto"/>
              </w:rPr>
            </w:pPr>
          </w:p>
        </w:tc>
        <w:tc>
          <w:tcPr>
            <w:tcW w:w="168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3"/>
              </w:rPr>
              <w:t>share (or unit)</w:t>
            </w:r>
            <w:r>
              <w:rPr>
                <w:rFonts w:ascii="Arial" w:cs="Arial" w:eastAsia="Arial" w:hAnsi="Arial"/>
                <w:sz w:val="12"/>
                <w:szCs w:val="12"/>
                <w:b w:val="1"/>
                <w:bCs w:val="1"/>
                <w:color w:val="auto"/>
                <w:w w:val="93"/>
              </w:rPr>
              <w:t>(1)</w:t>
            </w:r>
          </w:p>
        </w:tc>
        <w:tc>
          <w:tcPr>
            <w:tcW w:w="1580" w:type="dxa"/>
            <w:vAlign w:val="bottom"/>
          </w:tcPr>
          <w:p>
            <w:pPr>
              <w:jc w:val="center"/>
              <w:spacing w:after="0"/>
              <w:rPr>
                <w:sz w:val="20"/>
                <w:szCs w:val="20"/>
                <w:color w:val="auto"/>
              </w:rPr>
            </w:pPr>
            <w:r>
              <w:rPr>
                <w:rFonts w:ascii="Arial" w:cs="Arial" w:eastAsia="Arial" w:hAnsi="Arial"/>
                <w:sz w:val="14"/>
                <w:szCs w:val="14"/>
                <w:b w:val="1"/>
                <w:bCs w:val="1"/>
                <w:color w:val="auto"/>
                <w:w w:val="92"/>
              </w:rPr>
              <w:t>programs</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plans or programs</w:t>
            </w:r>
          </w:p>
        </w:tc>
        <w:tc>
          <w:tcPr>
            <w:tcW w:w="0" w:type="dxa"/>
            <w:vAlign w:val="bottom"/>
          </w:tcPr>
          <w:p>
            <w:pPr>
              <w:spacing w:after="0"/>
              <w:rPr>
                <w:sz w:val="1"/>
                <w:szCs w:val="1"/>
                <w:color w:val="auto"/>
              </w:rPr>
            </w:pPr>
          </w:p>
        </w:tc>
      </w:tr>
      <w:tr>
        <w:trPr>
          <w:trHeight w:val="223"/>
        </w:trPr>
        <w:tc>
          <w:tcPr>
            <w:tcW w:w="3960" w:type="dxa"/>
            <w:vAlign w:val="bottom"/>
          </w:tcPr>
          <w:p>
            <w:pPr>
              <w:spacing w:after="0"/>
              <w:rPr>
                <w:sz w:val="20"/>
                <w:szCs w:val="20"/>
                <w:color w:val="auto"/>
              </w:rPr>
            </w:pPr>
            <w:r>
              <w:rPr>
                <w:rFonts w:ascii="Arial" w:cs="Arial" w:eastAsia="Arial" w:hAnsi="Arial"/>
                <w:sz w:val="18"/>
                <w:szCs w:val="18"/>
                <w:color w:val="auto"/>
              </w:rPr>
              <w:t>Month #1 (April 1 - April 30)</w:t>
            </w:r>
          </w:p>
        </w:tc>
        <w:tc>
          <w:tcPr>
            <w:tcW w:w="1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5,799</w:t>
            </w:r>
          </w:p>
        </w:tc>
        <w:tc>
          <w:tcPr>
            <w:tcW w:w="3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22.87</w:t>
            </w:r>
          </w:p>
        </w:tc>
        <w:tc>
          <w:tcPr>
            <w:tcW w:w="280" w:type="dxa"/>
            <w:vAlign w:val="bottom"/>
          </w:tcPr>
          <w:p>
            <w:pPr>
              <w:spacing w:after="0"/>
              <w:rPr>
                <w:sz w:val="19"/>
                <w:szCs w:val="19"/>
                <w:color w:val="auto"/>
              </w:rPr>
            </w:pPr>
          </w:p>
        </w:tc>
        <w:tc>
          <w:tcPr>
            <w:tcW w:w="1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5,799</w:t>
            </w:r>
          </w:p>
        </w:tc>
        <w:tc>
          <w:tcPr>
            <w:tcW w:w="2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20,000,027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60" w:type="dxa"/>
            <w:vAlign w:val="bottom"/>
            <w:shd w:val="clear" w:color="auto" w:fill="CFF0FC"/>
          </w:tcPr>
          <w:p>
            <w:pPr>
              <w:spacing w:after="0"/>
              <w:rPr>
                <w:sz w:val="20"/>
                <w:szCs w:val="20"/>
                <w:color w:val="auto"/>
              </w:rPr>
            </w:pPr>
            <w:r>
              <w:rPr>
                <w:rFonts w:ascii="Arial" w:cs="Arial" w:eastAsia="Arial" w:hAnsi="Arial"/>
                <w:sz w:val="18"/>
                <w:szCs w:val="18"/>
                <w:color w:val="auto"/>
              </w:rPr>
              <w:t>Month #2 (May 1 - May 31)</w:t>
            </w:r>
          </w:p>
        </w:tc>
        <w:tc>
          <w:tcPr>
            <w:tcW w:w="186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168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1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960" w:type="dxa"/>
            <w:vAlign w:val="bottom"/>
          </w:tcPr>
          <w:p>
            <w:pPr>
              <w:spacing w:after="0"/>
              <w:rPr>
                <w:sz w:val="20"/>
                <w:szCs w:val="20"/>
                <w:color w:val="auto"/>
              </w:rPr>
            </w:pPr>
            <w:r>
              <w:rPr>
                <w:rFonts w:ascii="Arial" w:cs="Arial" w:eastAsia="Arial" w:hAnsi="Arial"/>
                <w:sz w:val="18"/>
                <w:szCs w:val="18"/>
                <w:color w:val="auto"/>
              </w:rPr>
              <w:t>Month #3 (June 1 - June 30)</w:t>
            </w:r>
          </w:p>
        </w:tc>
        <w:tc>
          <w:tcPr>
            <w:tcW w:w="18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6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58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39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15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5,799</w:t>
            </w:r>
          </w:p>
        </w:tc>
        <w:tc>
          <w:tcPr>
            <w:tcW w:w="30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14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22.87</w:t>
            </w: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1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5,799</w:t>
            </w: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20,000,027</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96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380"/>
        <w:spacing w:after="0"/>
        <w:rPr>
          <w:sz w:val="20"/>
          <w:szCs w:val="20"/>
          <w:color w:val="auto"/>
        </w:rPr>
      </w:pPr>
      <w:r>
        <w:rPr>
          <w:rFonts w:ascii="Arial" w:cs="Arial" w:eastAsia="Arial" w:hAnsi="Arial"/>
          <w:sz w:val="14"/>
          <w:szCs w:val="14"/>
          <w:color w:val="auto"/>
        </w:rPr>
        <w:t>(1) The weighted average price paid per share of common stock does not include the cost of broker commissions.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229235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63" w:right="33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color w:val="auto"/>
        </w:rPr>
        <w:t xml:space="preserve">Item 6. </w:t>
      </w:r>
      <w:r>
        <w:rPr>
          <w:rFonts w:ascii="Arial" w:cs="Arial" w:eastAsia="Arial" w:hAnsi="Arial"/>
          <w:sz w:val="18"/>
          <w:szCs w:val="18"/>
          <w:b w:val="1"/>
          <w:bCs w:val="1"/>
          <w:i w:val="1"/>
          <w:iCs w:val="1"/>
          <w:color w:val="auto"/>
        </w:rPr>
        <w:t>Exhibits</w:t>
      </w:r>
    </w:p>
    <w:p>
      <w:pPr>
        <w:spacing w:after="0" w:line="121" w:lineRule="exact"/>
        <w:rPr>
          <w:sz w:val="20"/>
          <w:szCs w:val="20"/>
          <w:color w:val="auto"/>
        </w:rPr>
      </w:pPr>
    </w:p>
    <w:p>
      <w:pPr>
        <w:ind w:left="800" w:hanging="401"/>
        <w:spacing w:after="0"/>
        <w:tabs>
          <w:tab w:leader="none" w:pos="8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Exhibits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960" w:type="dxa"/>
            <w:vAlign w:val="bottom"/>
          </w:tcPr>
          <w:p>
            <w:pPr>
              <w:spacing w:after="0"/>
              <w:rPr>
                <w:sz w:val="20"/>
                <w:szCs w:val="20"/>
                <w:color w:val="auto"/>
              </w:rPr>
            </w:pPr>
            <w:r>
              <w:rPr>
                <w:rFonts w:ascii="Arial" w:cs="Arial" w:eastAsia="Arial" w:hAnsi="Arial"/>
                <w:sz w:val="16"/>
                <w:szCs w:val="16"/>
                <w:color w:val="auto"/>
              </w:rPr>
              <w:t>31.1</w:t>
            </w:r>
          </w:p>
        </w:tc>
        <w:tc>
          <w:tcPr>
            <w:tcW w:w="10260" w:type="dxa"/>
            <w:vAlign w:val="bottom"/>
          </w:tcPr>
          <w:p>
            <w:pPr>
              <w:ind w:left="180"/>
              <w:spacing w:after="0"/>
              <w:rPr>
                <w:rFonts w:ascii="Arial" w:cs="Arial" w:eastAsia="Arial" w:hAnsi="Arial"/>
                <w:sz w:val="16"/>
                <w:szCs w:val="16"/>
                <w:u w:val="single" w:color="auto"/>
                <w:color w:val="0000EE"/>
              </w:rPr>
            </w:pPr>
            <w:hyperlink w:anchor="page35">
              <w:r>
                <w:rPr>
                  <w:rFonts w:ascii="Arial" w:cs="Arial" w:eastAsia="Arial" w:hAnsi="Arial"/>
                  <w:sz w:val="16"/>
                  <w:szCs w:val="16"/>
                  <w:u w:val="single" w:color="auto"/>
                  <w:color w:val="0000EE"/>
                </w:rPr>
                <w:t>Certification of the Chief Executive Officer Pursuant to Section 302 of the Sarbanes-Oxley Act of 2002</w:t>
              </w:r>
            </w:hyperlink>
          </w:p>
        </w:tc>
      </w:tr>
      <w:tr>
        <w:trPr>
          <w:trHeight w:val="338"/>
        </w:trPr>
        <w:tc>
          <w:tcPr>
            <w:tcW w:w="960" w:type="dxa"/>
            <w:vAlign w:val="bottom"/>
          </w:tcPr>
          <w:p>
            <w:pPr>
              <w:spacing w:after="0"/>
              <w:rPr>
                <w:sz w:val="20"/>
                <w:szCs w:val="20"/>
                <w:color w:val="auto"/>
              </w:rPr>
            </w:pPr>
            <w:r>
              <w:rPr>
                <w:rFonts w:ascii="Arial" w:cs="Arial" w:eastAsia="Arial" w:hAnsi="Arial"/>
                <w:sz w:val="16"/>
                <w:szCs w:val="16"/>
                <w:color w:val="auto"/>
              </w:rPr>
              <w:t>31.2</w:t>
            </w:r>
          </w:p>
        </w:tc>
        <w:tc>
          <w:tcPr>
            <w:tcW w:w="10260" w:type="dxa"/>
            <w:vAlign w:val="bottom"/>
          </w:tcPr>
          <w:p>
            <w:pPr>
              <w:ind w:left="180"/>
              <w:spacing w:after="0"/>
              <w:rPr>
                <w:rFonts w:ascii="Arial" w:cs="Arial" w:eastAsia="Arial" w:hAnsi="Arial"/>
                <w:sz w:val="16"/>
                <w:szCs w:val="16"/>
                <w:u w:val="single" w:color="auto"/>
                <w:color w:val="0000EE"/>
              </w:rPr>
            </w:pPr>
            <w:hyperlink w:anchor="page36">
              <w:r>
                <w:rPr>
                  <w:rFonts w:ascii="Arial" w:cs="Arial" w:eastAsia="Arial" w:hAnsi="Arial"/>
                  <w:sz w:val="16"/>
                  <w:szCs w:val="16"/>
                  <w:u w:val="single" w:color="auto"/>
                  <w:color w:val="0000EE"/>
                </w:rPr>
                <w:t>Certification of the Principal Financial Officer Pursuant to Section 302 of the Sarbanes-Oxley Act of 2002</w:t>
              </w:r>
            </w:hyperlink>
          </w:p>
        </w:tc>
      </w:tr>
      <w:tr>
        <w:trPr>
          <w:trHeight w:val="338"/>
        </w:trPr>
        <w:tc>
          <w:tcPr>
            <w:tcW w:w="960" w:type="dxa"/>
            <w:vAlign w:val="bottom"/>
          </w:tcPr>
          <w:p>
            <w:pPr>
              <w:spacing w:after="0"/>
              <w:rPr>
                <w:sz w:val="20"/>
                <w:szCs w:val="20"/>
                <w:color w:val="auto"/>
              </w:rPr>
            </w:pPr>
            <w:r>
              <w:rPr>
                <w:rFonts w:ascii="Arial" w:cs="Arial" w:eastAsia="Arial" w:hAnsi="Arial"/>
                <w:sz w:val="16"/>
                <w:szCs w:val="16"/>
                <w:color w:val="auto"/>
              </w:rPr>
              <w:t>32.1</w:t>
            </w:r>
          </w:p>
        </w:tc>
        <w:tc>
          <w:tcPr>
            <w:tcW w:w="10260" w:type="dxa"/>
            <w:vAlign w:val="bottom"/>
          </w:tcPr>
          <w:p>
            <w:pPr>
              <w:ind w:left="180"/>
              <w:spacing w:after="0"/>
              <w:rPr>
                <w:rFonts w:ascii="Arial" w:cs="Arial" w:eastAsia="Arial" w:hAnsi="Arial"/>
                <w:sz w:val="16"/>
                <w:szCs w:val="16"/>
                <w:u w:val="single" w:color="auto"/>
                <w:color w:val="0000EE"/>
              </w:rPr>
            </w:pPr>
            <w:hyperlink w:anchor="page37">
              <w:r>
                <w:rPr>
                  <w:rFonts w:ascii="Arial" w:cs="Arial" w:eastAsia="Arial" w:hAnsi="Arial"/>
                  <w:sz w:val="16"/>
                  <w:szCs w:val="16"/>
                  <w:u w:val="single" w:color="auto"/>
                  <w:color w:val="0000EE"/>
                </w:rPr>
                <w:t>Certification Pursuant to 18 U.S.C. Section 1350, as Adopted Pursuant to Section 906 of the Sarbanes-Oxley Act of 2002</w:t>
              </w:r>
            </w:hyperlink>
          </w:p>
        </w:tc>
      </w:tr>
      <w:tr>
        <w:trPr>
          <w:trHeight w:val="338"/>
        </w:trPr>
        <w:tc>
          <w:tcPr>
            <w:tcW w:w="960" w:type="dxa"/>
            <w:vAlign w:val="bottom"/>
          </w:tcPr>
          <w:p>
            <w:pPr>
              <w:spacing w:after="0"/>
              <w:rPr>
                <w:sz w:val="20"/>
                <w:szCs w:val="20"/>
                <w:color w:val="auto"/>
              </w:rPr>
            </w:pPr>
            <w:r>
              <w:rPr>
                <w:rFonts w:ascii="Arial" w:cs="Arial" w:eastAsia="Arial" w:hAnsi="Arial"/>
                <w:sz w:val="16"/>
                <w:szCs w:val="16"/>
                <w:color w:val="auto"/>
              </w:rPr>
              <w:t>32.2</w:t>
            </w:r>
          </w:p>
        </w:tc>
        <w:tc>
          <w:tcPr>
            <w:tcW w:w="10260" w:type="dxa"/>
            <w:vAlign w:val="bottom"/>
          </w:tcPr>
          <w:p>
            <w:pPr>
              <w:ind w:left="180"/>
              <w:spacing w:after="0"/>
              <w:rPr>
                <w:rFonts w:ascii="Arial" w:cs="Arial" w:eastAsia="Arial" w:hAnsi="Arial"/>
                <w:sz w:val="16"/>
                <w:szCs w:val="16"/>
                <w:u w:val="single" w:color="auto"/>
                <w:color w:val="0000EE"/>
              </w:rPr>
            </w:pPr>
            <w:hyperlink w:anchor="page38">
              <w:r>
                <w:rPr>
                  <w:rFonts w:ascii="Arial" w:cs="Arial" w:eastAsia="Arial" w:hAnsi="Arial"/>
                  <w:sz w:val="16"/>
                  <w:szCs w:val="16"/>
                  <w:u w:val="single" w:color="auto"/>
                  <w:color w:val="0000EE"/>
                </w:rPr>
                <w:t>Certification Pursuant to 18 U.S.C. Section 1350, as Adopted Pursuant to Section 906 of the Sarbanes-Oxley Act of 2002</w:t>
              </w:r>
            </w:hyperlink>
          </w:p>
        </w:tc>
      </w:tr>
      <w:tr>
        <w:trPr>
          <w:trHeight w:val="334"/>
        </w:trPr>
        <w:tc>
          <w:tcPr>
            <w:tcW w:w="960" w:type="dxa"/>
            <w:vAlign w:val="bottom"/>
          </w:tcPr>
          <w:p>
            <w:pPr>
              <w:spacing w:after="0"/>
              <w:rPr>
                <w:sz w:val="20"/>
                <w:szCs w:val="20"/>
                <w:color w:val="auto"/>
              </w:rPr>
            </w:pPr>
            <w:r>
              <w:rPr>
                <w:rFonts w:ascii="Arial" w:cs="Arial" w:eastAsia="Arial" w:hAnsi="Arial"/>
                <w:sz w:val="16"/>
                <w:szCs w:val="16"/>
                <w:color w:val="auto"/>
              </w:rPr>
              <w:t>101.1 INS</w:t>
            </w:r>
          </w:p>
        </w:tc>
        <w:tc>
          <w:tcPr>
            <w:tcW w:w="10260" w:type="dxa"/>
            <w:vAlign w:val="bottom"/>
          </w:tcPr>
          <w:p>
            <w:pPr>
              <w:ind w:left="180"/>
              <w:spacing w:after="0"/>
              <w:rPr>
                <w:sz w:val="20"/>
                <w:szCs w:val="20"/>
                <w:color w:val="auto"/>
              </w:rPr>
            </w:pPr>
            <w:r>
              <w:rPr>
                <w:rFonts w:ascii="Arial" w:cs="Arial" w:eastAsia="Arial" w:hAnsi="Arial"/>
                <w:sz w:val="16"/>
                <w:szCs w:val="16"/>
                <w:color w:val="auto"/>
                <w:w w:val="94"/>
              </w:rPr>
              <w:t>XBRL Instance Document – The instance document does not appear in the Interactive Data File because its XBRL tags are embedded within the Inline</w:t>
            </w:r>
          </w:p>
        </w:tc>
      </w:tr>
      <w:tr>
        <w:trPr>
          <w:trHeight w:val="206"/>
        </w:trPr>
        <w:tc>
          <w:tcPr>
            <w:tcW w:w="960" w:type="dxa"/>
            <w:vAlign w:val="bottom"/>
          </w:tcPr>
          <w:p>
            <w:pPr>
              <w:spacing w:after="0"/>
              <w:rPr>
                <w:sz w:val="17"/>
                <w:szCs w:val="17"/>
                <w:color w:val="auto"/>
              </w:rPr>
            </w:pPr>
          </w:p>
        </w:tc>
        <w:tc>
          <w:tcPr>
            <w:tcW w:w="10260" w:type="dxa"/>
            <w:vAlign w:val="bottom"/>
          </w:tcPr>
          <w:p>
            <w:pPr>
              <w:ind w:left="180"/>
              <w:spacing w:after="0"/>
              <w:rPr>
                <w:sz w:val="20"/>
                <w:szCs w:val="20"/>
                <w:color w:val="auto"/>
              </w:rPr>
            </w:pPr>
            <w:r>
              <w:rPr>
                <w:rFonts w:ascii="Arial" w:cs="Arial" w:eastAsia="Arial" w:hAnsi="Arial"/>
                <w:sz w:val="16"/>
                <w:szCs w:val="16"/>
                <w:color w:val="auto"/>
              </w:rPr>
              <w:t>XBRL document.</w:t>
            </w:r>
          </w:p>
        </w:tc>
      </w:tr>
      <w:tr>
        <w:trPr>
          <w:trHeight w:val="324"/>
        </w:trPr>
        <w:tc>
          <w:tcPr>
            <w:tcW w:w="960" w:type="dxa"/>
            <w:vAlign w:val="bottom"/>
          </w:tcPr>
          <w:p>
            <w:pPr>
              <w:spacing w:after="0"/>
              <w:rPr>
                <w:sz w:val="20"/>
                <w:szCs w:val="20"/>
                <w:color w:val="auto"/>
              </w:rPr>
            </w:pPr>
            <w:r>
              <w:rPr>
                <w:rFonts w:ascii="Arial" w:cs="Arial" w:eastAsia="Arial" w:hAnsi="Arial"/>
                <w:sz w:val="16"/>
                <w:szCs w:val="16"/>
                <w:color w:val="auto"/>
              </w:rPr>
              <w:t>101.1 SCH</w:t>
            </w:r>
          </w:p>
        </w:tc>
        <w:tc>
          <w:tcPr>
            <w:tcW w:w="10260" w:type="dxa"/>
            <w:vAlign w:val="bottom"/>
          </w:tcPr>
          <w:p>
            <w:pPr>
              <w:ind w:left="180"/>
              <w:spacing w:after="0"/>
              <w:rPr>
                <w:sz w:val="20"/>
                <w:szCs w:val="20"/>
                <w:color w:val="auto"/>
              </w:rPr>
            </w:pPr>
            <w:r>
              <w:rPr>
                <w:rFonts w:ascii="Arial" w:cs="Arial" w:eastAsia="Arial" w:hAnsi="Arial"/>
                <w:sz w:val="16"/>
                <w:szCs w:val="16"/>
                <w:color w:val="auto"/>
              </w:rPr>
              <w:t>XBRL Taxonomy Extension Schema</w:t>
            </w:r>
          </w:p>
        </w:tc>
      </w:tr>
      <w:tr>
        <w:trPr>
          <w:trHeight w:val="338"/>
        </w:trPr>
        <w:tc>
          <w:tcPr>
            <w:tcW w:w="960" w:type="dxa"/>
            <w:vAlign w:val="bottom"/>
          </w:tcPr>
          <w:p>
            <w:pPr>
              <w:spacing w:after="0"/>
              <w:rPr>
                <w:sz w:val="20"/>
                <w:szCs w:val="20"/>
                <w:color w:val="auto"/>
              </w:rPr>
            </w:pPr>
            <w:r>
              <w:rPr>
                <w:rFonts w:ascii="Arial" w:cs="Arial" w:eastAsia="Arial" w:hAnsi="Arial"/>
                <w:sz w:val="16"/>
                <w:szCs w:val="16"/>
                <w:color w:val="auto"/>
              </w:rPr>
              <w:t>101.1 CAL</w:t>
            </w:r>
          </w:p>
        </w:tc>
        <w:tc>
          <w:tcPr>
            <w:tcW w:w="10260" w:type="dxa"/>
            <w:vAlign w:val="bottom"/>
          </w:tcPr>
          <w:p>
            <w:pPr>
              <w:ind w:left="180"/>
              <w:spacing w:after="0"/>
              <w:rPr>
                <w:sz w:val="20"/>
                <w:szCs w:val="20"/>
                <w:color w:val="auto"/>
              </w:rPr>
            </w:pPr>
            <w:r>
              <w:rPr>
                <w:rFonts w:ascii="Arial" w:cs="Arial" w:eastAsia="Arial" w:hAnsi="Arial"/>
                <w:sz w:val="16"/>
                <w:szCs w:val="16"/>
                <w:color w:val="auto"/>
              </w:rPr>
              <w:t>XBRL Taxonomy Extension Calculation Linkbase</w:t>
            </w:r>
          </w:p>
        </w:tc>
      </w:tr>
      <w:tr>
        <w:trPr>
          <w:trHeight w:val="338"/>
        </w:trPr>
        <w:tc>
          <w:tcPr>
            <w:tcW w:w="960" w:type="dxa"/>
            <w:vAlign w:val="bottom"/>
          </w:tcPr>
          <w:p>
            <w:pPr>
              <w:spacing w:after="0"/>
              <w:rPr>
                <w:sz w:val="20"/>
                <w:szCs w:val="20"/>
                <w:color w:val="auto"/>
              </w:rPr>
            </w:pPr>
            <w:r>
              <w:rPr>
                <w:rFonts w:ascii="Arial" w:cs="Arial" w:eastAsia="Arial" w:hAnsi="Arial"/>
                <w:sz w:val="16"/>
                <w:szCs w:val="16"/>
                <w:color w:val="auto"/>
              </w:rPr>
              <w:t>101.1 DEF</w:t>
            </w:r>
          </w:p>
        </w:tc>
        <w:tc>
          <w:tcPr>
            <w:tcW w:w="10260" w:type="dxa"/>
            <w:vAlign w:val="bottom"/>
          </w:tcPr>
          <w:p>
            <w:pPr>
              <w:ind w:left="180"/>
              <w:spacing w:after="0"/>
              <w:rPr>
                <w:sz w:val="20"/>
                <w:szCs w:val="20"/>
                <w:color w:val="auto"/>
              </w:rPr>
            </w:pPr>
            <w:r>
              <w:rPr>
                <w:rFonts w:ascii="Arial" w:cs="Arial" w:eastAsia="Arial" w:hAnsi="Arial"/>
                <w:sz w:val="16"/>
                <w:szCs w:val="16"/>
                <w:color w:val="auto"/>
              </w:rPr>
              <w:t>XBRL Taxonomy Extension Definition Linkbase</w:t>
            </w:r>
          </w:p>
        </w:tc>
      </w:tr>
      <w:tr>
        <w:trPr>
          <w:trHeight w:val="338"/>
        </w:trPr>
        <w:tc>
          <w:tcPr>
            <w:tcW w:w="960" w:type="dxa"/>
            <w:vAlign w:val="bottom"/>
          </w:tcPr>
          <w:p>
            <w:pPr>
              <w:spacing w:after="0"/>
              <w:rPr>
                <w:sz w:val="20"/>
                <w:szCs w:val="20"/>
                <w:color w:val="auto"/>
              </w:rPr>
            </w:pPr>
            <w:r>
              <w:rPr>
                <w:rFonts w:ascii="Arial" w:cs="Arial" w:eastAsia="Arial" w:hAnsi="Arial"/>
                <w:sz w:val="16"/>
                <w:szCs w:val="16"/>
                <w:color w:val="auto"/>
              </w:rPr>
              <w:t>101.1 LAB</w:t>
            </w:r>
          </w:p>
        </w:tc>
        <w:tc>
          <w:tcPr>
            <w:tcW w:w="10260" w:type="dxa"/>
            <w:vAlign w:val="bottom"/>
          </w:tcPr>
          <w:p>
            <w:pPr>
              <w:ind w:left="180"/>
              <w:spacing w:after="0"/>
              <w:rPr>
                <w:sz w:val="20"/>
                <w:szCs w:val="20"/>
                <w:color w:val="auto"/>
              </w:rPr>
            </w:pPr>
            <w:r>
              <w:rPr>
                <w:rFonts w:ascii="Arial" w:cs="Arial" w:eastAsia="Arial" w:hAnsi="Arial"/>
                <w:sz w:val="16"/>
                <w:szCs w:val="16"/>
                <w:color w:val="auto"/>
              </w:rPr>
              <w:t>XBRL Taxonomy Extension Label Linkbase</w:t>
            </w:r>
          </w:p>
        </w:tc>
      </w:tr>
      <w:tr>
        <w:trPr>
          <w:trHeight w:val="357"/>
        </w:trPr>
        <w:tc>
          <w:tcPr>
            <w:tcW w:w="960" w:type="dxa"/>
            <w:vAlign w:val="bottom"/>
          </w:tcPr>
          <w:p>
            <w:pPr>
              <w:spacing w:after="0"/>
              <w:rPr>
                <w:sz w:val="20"/>
                <w:szCs w:val="20"/>
                <w:color w:val="auto"/>
              </w:rPr>
            </w:pPr>
            <w:r>
              <w:rPr>
                <w:rFonts w:ascii="Arial" w:cs="Arial" w:eastAsia="Arial" w:hAnsi="Arial"/>
                <w:sz w:val="18"/>
                <w:szCs w:val="18"/>
                <w:color w:val="auto"/>
              </w:rPr>
              <w:t>101.1 PRE</w:t>
            </w:r>
          </w:p>
        </w:tc>
        <w:tc>
          <w:tcPr>
            <w:tcW w:w="10260" w:type="dxa"/>
            <w:vAlign w:val="bottom"/>
          </w:tcPr>
          <w:p>
            <w:pPr>
              <w:ind w:left="180"/>
              <w:spacing w:after="0"/>
              <w:rPr>
                <w:sz w:val="20"/>
                <w:szCs w:val="20"/>
                <w:color w:val="auto"/>
              </w:rPr>
            </w:pPr>
            <w:r>
              <w:rPr>
                <w:rFonts w:ascii="Arial" w:cs="Arial" w:eastAsia="Arial" w:hAnsi="Arial"/>
                <w:sz w:val="16"/>
                <w:szCs w:val="16"/>
                <w:color w:val="auto"/>
              </w:rPr>
              <w:t>XBRL Taxonomy Extension Presentation Linkbase</w:t>
            </w:r>
          </w:p>
        </w:tc>
      </w:tr>
    </w:tbl>
    <w:p>
      <w:pPr>
        <w:spacing w:after="0" w:line="111" w:lineRule="exact"/>
        <w:rPr>
          <w:sz w:val="20"/>
          <w:szCs w:val="20"/>
          <w:color w:val="auto"/>
        </w:rPr>
      </w:pPr>
    </w:p>
    <w:p>
      <w:pPr>
        <w:ind w:left="1140" w:hanging="1132"/>
        <w:spacing w:after="0"/>
        <w:tabs>
          <w:tab w:leader="none" w:pos="1140" w:val="left"/>
        </w:tabs>
        <w:numPr>
          <w:ilvl w:val="0"/>
          <w:numId w:val="15"/>
        </w:numPr>
        <w:rPr>
          <w:rFonts w:ascii="Arial" w:cs="Arial" w:eastAsia="Arial" w:hAnsi="Arial"/>
          <w:sz w:val="18"/>
          <w:szCs w:val="18"/>
          <w:color w:val="auto"/>
        </w:rPr>
      </w:pPr>
      <w:r>
        <w:rPr>
          <w:rFonts w:ascii="Arial" w:cs="Arial" w:eastAsia="Arial" w:hAnsi="Arial"/>
          <w:sz w:val="16"/>
          <w:szCs w:val="16"/>
          <w:color w:val="212529"/>
        </w:rPr>
        <w:t>The cover page from the Company’s Quarterly Report on Form 10-Q for the quarter ended June 30, 2020, has been formatted in Inline XBRL</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 - Management contract or compensatory plan or arrangement</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229235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459" w:right="359" w:bottom="1440" w:gutter="0" w:footer="0" w:header="0"/>
        </w:sectPr>
      </w:pPr>
    </w:p>
    <w:bookmarkStart w:id="33" w:name="page34"/>
    <w:bookmarkEnd w:id="33"/>
    <w:p>
      <w:pPr>
        <w:jc w:val="cente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20" w:type="dxa"/>
            <w:vAlign w:val="bottom"/>
          </w:tcPr>
          <w:p>
            <w:pPr>
              <w:spacing w:after="0"/>
              <w:rPr>
                <w:sz w:val="20"/>
                <w:szCs w:val="20"/>
                <w:color w:val="auto"/>
              </w:rPr>
            </w:pPr>
          </w:p>
        </w:tc>
        <w:tc>
          <w:tcPr>
            <w:tcW w:w="7720" w:type="dxa"/>
            <w:vAlign w:val="bottom"/>
            <w:gridSpan w:val="2"/>
          </w:tcPr>
          <w:p>
            <w:pPr>
              <w:ind w:left="2560"/>
              <w:spacing w:after="0"/>
              <w:rPr>
                <w:sz w:val="20"/>
                <w:szCs w:val="20"/>
                <w:color w:val="auto"/>
              </w:rPr>
            </w:pPr>
            <w:r>
              <w:rPr>
                <w:rFonts w:ascii="Arial" w:cs="Arial" w:eastAsia="Arial" w:hAnsi="Arial"/>
                <w:sz w:val="18"/>
                <w:szCs w:val="18"/>
                <w:color w:val="auto"/>
              </w:rPr>
              <w:t>HEALTHSTREAM, INC.</w:t>
            </w:r>
          </w:p>
        </w:tc>
      </w:tr>
      <w:tr>
        <w:trPr>
          <w:trHeight w:val="459"/>
        </w:trPr>
        <w:tc>
          <w:tcPr>
            <w:tcW w:w="3520" w:type="dxa"/>
            <w:vAlign w:val="bottom"/>
          </w:tcPr>
          <w:p>
            <w:pPr>
              <w:spacing w:after="0"/>
              <w:rPr>
                <w:sz w:val="20"/>
                <w:szCs w:val="20"/>
                <w:color w:val="auto"/>
              </w:rPr>
            </w:pPr>
            <w:r>
              <w:rPr>
                <w:rFonts w:ascii="Arial" w:cs="Arial" w:eastAsia="Arial" w:hAnsi="Arial"/>
                <w:sz w:val="18"/>
                <w:szCs w:val="18"/>
                <w:color w:val="auto"/>
              </w:rPr>
              <w:t>July 30, 2020</w:t>
            </w:r>
          </w:p>
        </w:tc>
        <w:tc>
          <w:tcPr>
            <w:tcW w:w="7720" w:type="dxa"/>
            <w:vAlign w:val="bottom"/>
            <w:gridSpan w:val="2"/>
          </w:tcPr>
          <w:p>
            <w:pPr>
              <w:ind w:left="2560"/>
              <w:spacing w:after="0"/>
              <w:rPr>
                <w:sz w:val="20"/>
                <w:szCs w:val="20"/>
                <w:color w:val="auto"/>
              </w:rPr>
            </w:pPr>
            <w:r>
              <w:rPr>
                <w:rFonts w:ascii="Arial" w:cs="Arial" w:eastAsia="Arial" w:hAnsi="Arial"/>
                <w:sz w:val="18"/>
                <w:szCs w:val="18"/>
                <w:color w:val="auto"/>
              </w:rPr>
              <w:t>By:  /s/ S</w:t>
            </w:r>
            <w:r>
              <w:rPr>
                <w:rFonts w:ascii="Arial" w:cs="Arial" w:eastAsia="Arial" w:hAnsi="Arial"/>
                <w:sz w:val="12"/>
                <w:szCs w:val="12"/>
                <w:color w:val="auto"/>
              </w:rPr>
              <w:t>COTT</w:t>
            </w:r>
            <w:r>
              <w:rPr>
                <w:rFonts w:ascii="Arial" w:cs="Arial" w:eastAsia="Arial" w:hAnsi="Arial"/>
                <w:sz w:val="18"/>
                <w:szCs w:val="18"/>
                <w:color w:val="auto"/>
              </w:rPr>
              <w:t xml:space="preserve"> A. R</w:t>
            </w:r>
            <w:r>
              <w:rPr>
                <w:rFonts w:ascii="Arial" w:cs="Arial" w:eastAsia="Arial" w:hAnsi="Arial"/>
                <w:sz w:val="12"/>
                <w:szCs w:val="12"/>
                <w:color w:val="auto"/>
              </w:rPr>
              <w:t>OBERTS</w:t>
            </w:r>
          </w:p>
        </w:tc>
      </w:tr>
      <w:tr>
        <w:trPr>
          <w:trHeight w:val="195"/>
        </w:trPr>
        <w:tc>
          <w:tcPr>
            <w:tcW w:w="3520" w:type="dxa"/>
            <w:vAlign w:val="bottom"/>
          </w:tcPr>
          <w:p>
            <w:pPr>
              <w:spacing w:after="0"/>
              <w:rPr>
                <w:sz w:val="16"/>
                <w:szCs w:val="16"/>
                <w:color w:val="auto"/>
              </w:rPr>
            </w:pPr>
          </w:p>
        </w:tc>
        <w:tc>
          <w:tcPr>
            <w:tcW w:w="2960" w:type="dxa"/>
            <w:vAlign w:val="bottom"/>
          </w:tcPr>
          <w:p>
            <w:pPr>
              <w:spacing w:after="0"/>
              <w:rPr>
                <w:sz w:val="16"/>
                <w:szCs w:val="16"/>
                <w:color w:val="auto"/>
              </w:rPr>
            </w:pPr>
          </w:p>
        </w:tc>
        <w:tc>
          <w:tcPr>
            <w:tcW w:w="47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Scott A. Roberts</w:t>
            </w:r>
          </w:p>
        </w:tc>
      </w:tr>
      <w:tr>
        <w:trPr>
          <w:trHeight w:val="230"/>
        </w:trPr>
        <w:tc>
          <w:tcPr>
            <w:tcW w:w="3520" w:type="dxa"/>
            <w:vAlign w:val="bottom"/>
          </w:tcPr>
          <w:p>
            <w:pPr>
              <w:spacing w:after="0"/>
              <w:rPr>
                <w:sz w:val="20"/>
                <w:szCs w:val="20"/>
                <w:color w:val="auto"/>
              </w:rPr>
            </w:pPr>
          </w:p>
        </w:tc>
        <w:tc>
          <w:tcPr>
            <w:tcW w:w="2960" w:type="dxa"/>
            <w:vAlign w:val="bottom"/>
          </w:tcPr>
          <w:p>
            <w:pPr>
              <w:spacing w:after="0"/>
              <w:rPr>
                <w:sz w:val="20"/>
                <w:szCs w:val="20"/>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Chief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240"/>
          </w:cols>
          <w:pgMar w:left="320" w:top="351" w:right="339" w:bottom="1440" w:gutter="0" w:footer="0" w:header="0"/>
        </w:sectPr>
      </w:pPr>
    </w:p>
    <w:bookmarkStart w:id="34" w:name="page35"/>
    <w:bookmarkEnd w:id="34"/>
    <w:p>
      <w:pPr>
        <w:jc w:val="right"/>
        <w:spacing w:after="0"/>
        <w:rPr>
          <w:sz w:val="20"/>
          <w:szCs w:val="20"/>
          <w:color w:val="auto"/>
        </w:rPr>
      </w:pPr>
      <w:r>
        <w:rPr>
          <w:rFonts w:ascii="Arial" w:cs="Arial" w:eastAsia="Arial" w:hAnsi="Arial"/>
          <w:sz w:val="18"/>
          <w:szCs w:val="18"/>
          <w:b w:val="1"/>
          <w:bCs w:val="1"/>
          <w:u w:val="single" w:color="auto"/>
          <w:color w:val="auto"/>
        </w:rPr>
        <w:t>Exhibit 31.1</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color w:val="auto"/>
        </w:rPr>
        <w:t>I, Robert A. Frist, Jr., certify that:</w:t>
      </w:r>
    </w:p>
    <w:p>
      <w:pPr>
        <w:spacing w:after="0" w:line="225" w:lineRule="exact"/>
        <w:rPr>
          <w:sz w:val="20"/>
          <w:szCs w:val="20"/>
          <w:color w:val="auto"/>
        </w:rPr>
      </w:pPr>
    </w:p>
    <w:p>
      <w:pPr>
        <w:ind w:left="180" w:hanging="172"/>
        <w:spacing w:after="0"/>
        <w:tabs>
          <w:tab w:leader="none" w:pos="1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HealthStream, Inc.;</w:t>
      </w:r>
    </w:p>
    <w:p>
      <w:pPr>
        <w:spacing w:after="0" w:line="225" w:lineRule="exact"/>
        <w:rPr>
          <w:rFonts w:ascii="Arial" w:cs="Arial" w:eastAsia="Arial" w:hAnsi="Arial"/>
          <w:sz w:val="18"/>
          <w:szCs w:val="18"/>
          <w:color w:val="auto"/>
        </w:rPr>
      </w:pPr>
    </w:p>
    <w:p>
      <w:pPr>
        <w:ind w:firstLine="8"/>
        <w:spacing w:after="0" w:line="342" w:lineRule="auto"/>
        <w:tabs>
          <w:tab w:leader="none" w:pos="201" w:val="left"/>
        </w:tabs>
        <w:numPr>
          <w:ilvl w:val="0"/>
          <w:numId w:val="16"/>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firstLine="8"/>
        <w:spacing w:after="0" w:line="277" w:lineRule="auto"/>
        <w:tabs>
          <w:tab w:leader="none" w:pos="204" w:val="left"/>
        </w:tabs>
        <w:numPr>
          <w:ilvl w:val="0"/>
          <w:numId w:val="1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firstLine="8"/>
        <w:spacing w:after="0" w:line="263" w:lineRule="auto"/>
        <w:tabs>
          <w:tab w:leader="none" w:pos="182"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jc w:val="both"/>
        <w:ind w:left="560" w:firstLine="8"/>
        <w:spacing w:after="0" w:line="263" w:lineRule="auto"/>
        <w:tabs>
          <w:tab w:leader="none" w:pos="758" w:val="left"/>
        </w:tabs>
        <w:numPr>
          <w:ilvl w:val="1"/>
          <w:numId w:val="1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jc w:val="both"/>
        <w:ind w:left="560" w:firstLine="8"/>
        <w:spacing w:after="0" w:line="263" w:lineRule="auto"/>
        <w:tabs>
          <w:tab w:leader="none" w:pos="788" w:val="left"/>
        </w:tabs>
        <w:numPr>
          <w:ilvl w:val="1"/>
          <w:numId w:val="1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left="560" w:firstLine="8"/>
        <w:spacing w:after="0" w:line="308" w:lineRule="auto"/>
        <w:tabs>
          <w:tab w:leader="none" w:pos="787" w:val="left"/>
        </w:tabs>
        <w:numPr>
          <w:ilvl w:val="1"/>
          <w:numId w:val="16"/>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560" w:firstLine="8"/>
        <w:spacing w:after="0" w:line="263" w:lineRule="auto"/>
        <w:tabs>
          <w:tab w:leader="none" w:pos="767" w:val="left"/>
        </w:tabs>
        <w:numPr>
          <w:ilvl w:val="1"/>
          <w:numId w:val="1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firstLine="8"/>
        <w:spacing w:after="0" w:line="308" w:lineRule="auto"/>
        <w:tabs>
          <w:tab w:leader="none" w:pos="201"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560" w:firstLine="8"/>
        <w:spacing w:after="0" w:line="277" w:lineRule="auto"/>
        <w:tabs>
          <w:tab w:leader="none" w:pos="754" w:val="left"/>
        </w:tabs>
        <w:numPr>
          <w:ilvl w:val="1"/>
          <w:numId w:val="1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560" w:right="20" w:firstLine="8"/>
        <w:spacing w:after="0" w:line="277" w:lineRule="auto"/>
        <w:tabs>
          <w:tab w:leader="none" w:pos="761" w:val="left"/>
        </w:tabs>
        <w:numPr>
          <w:ilvl w:val="1"/>
          <w:numId w:val="1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6760" w:type="dxa"/>
            <w:vAlign w:val="bottom"/>
          </w:tcPr>
          <w:p>
            <w:pPr>
              <w:spacing w:after="0"/>
              <w:rPr>
                <w:sz w:val="20"/>
                <w:szCs w:val="20"/>
                <w:color w:val="auto"/>
              </w:rPr>
            </w:pPr>
            <w:r>
              <w:rPr>
                <w:rFonts w:ascii="Arial" w:cs="Arial" w:eastAsia="Arial" w:hAnsi="Arial"/>
                <w:sz w:val="18"/>
                <w:szCs w:val="18"/>
                <w:color w:val="auto"/>
              </w:rPr>
              <w:t>Date: July 30, 2020</w:t>
            </w:r>
          </w:p>
        </w:tc>
        <w:tc>
          <w:tcPr>
            <w:tcW w:w="44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w:t>
            </w:r>
            <w:r>
              <w:rPr>
                <w:rFonts w:ascii="Arial" w:cs="Arial" w:eastAsia="Arial" w:hAnsi="Arial"/>
                <w:sz w:val="12"/>
                <w:szCs w:val="12"/>
                <w:color w:val="auto"/>
              </w:rPr>
              <w:t>OBERT</w:t>
            </w:r>
            <w:r>
              <w:rPr>
                <w:rFonts w:ascii="Arial" w:cs="Arial" w:eastAsia="Arial" w:hAnsi="Arial"/>
                <w:sz w:val="18"/>
                <w:szCs w:val="18"/>
                <w:color w:val="auto"/>
              </w:rPr>
              <w:t xml:space="preserve"> A. F</w:t>
            </w:r>
            <w:r>
              <w:rPr>
                <w:rFonts w:ascii="Arial" w:cs="Arial" w:eastAsia="Arial" w:hAnsi="Arial"/>
                <w:sz w:val="12"/>
                <w:szCs w:val="12"/>
                <w:color w:val="auto"/>
              </w:rPr>
              <w:t>RIST</w:t>
            </w:r>
            <w:r>
              <w:rPr>
                <w:rFonts w:ascii="Arial" w:cs="Arial" w:eastAsia="Arial" w:hAnsi="Arial"/>
                <w:sz w:val="18"/>
                <w:szCs w:val="18"/>
                <w:color w:val="auto"/>
              </w:rPr>
              <w:t>, J</w:t>
            </w:r>
            <w:r>
              <w:rPr>
                <w:rFonts w:ascii="Arial" w:cs="Arial" w:eastAsia="Arial" w:hAnsi="Arial"/>
                <w:sz w:val="12"/>
                <w:szCs w:val="12"/>
                <w:color w:val="auto"/>
              </w:rPr>
              <w:t>R</w:t>
            </w:r>
            <w:r>
              <w:rPr>
                <w:rFonts w:ascii="Arial" w:cs="Arial" w:eastAsia="Arial" w:hAnsi="Arial"/>
                <w:sz w:val="18"/>
                <w:szCs w:val="18"/>
                <w:color w:val="auto"/>
              </w:rPr>
              <w:t>.</w:t>
            </w:r>
          </w:p>
        </w:tc>
      </w:tr>
      <w:tr>
        <w:trPr>
          <w:trHeight w:val="215"/>
        </w:trPr>
        <w:tc>
          <w:tcPr>
            <w:tcW w:w="676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Robert A. Frist, Jr.</w:t>
            </w:r>
          </w:p>
        </w:tc>
      </w:tr>
      <w:tr>
        <w:trPr>
          <w:trHeight w:val="230"/>
        </w:trPr>
        <w:tc>
          <w:tcPr>
            <w:tcW w:w="6760" w:type="dxa"/>
            <w:vAlign w:val="bottom"/>
          </w:tcPr>
          <w:p>
            <w:pPr>
              <w:spacing w:after="0"/>
              <w:rPr>
                <w:sz w:val="20"/>
                <w:szCs w:val="20"/>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Chief Executive Officer</w:t>
            </w:r>
          </w:p>
        </w:tc>
      </w:tr>
    </w:tbl>
    <w:p>
      <w:pPr>
        <w:sectPr>
          <w:pgSz w:w="11900" w:h="16838" w:orient="portrait"/>
          <w:cols w:equalWidth="0" w:num="1">
            <w:col w:w="11240"/>
          </w:cols>
          <w:pgMar w:left="320" w:top="351" w:right="339" w:bottom="1440" w:gutter="0" w:footer="0" w:header="0"/>
        </w:sectPr>
      </w:pPr>
    </w:p>
    <w:bookmarkStart w:id="35" w:name="page36"/>
    <w:bookmarkEnd w:id="35"/>
    <w:p>
      <w:pPr>
        <w:jc w:val="right"/>
        <w:spacing w:after="0"/>
        <w:rPr>
          <w:sz w:val="20"/>
          <w:szCs w:val="20"/>
          <w:color w:val="auto"/>
        </w:rPr>
      </w:pPr>
      <w:r>
        <w:rPr>
          <w:rFonts w:ascii="Arial" w:cs="Arial" w:eastAsia="Arial" w:hAnsi="Arial"/>
          <w:sz w:val="18"/>
          <w:szCs w:val="18"/>
          <w:b w:val="1"/>
          <w:bCs w:val="1"/>
          <w:u w:val="single" w:color="auto"/>
          <w:color w:val="auto"/>
        </w:rPr>
        <w:t>Exhibit 31.2</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color w:val="auto"/>
        </w:rPr>
        <w:t>I, Scott A. Roberts, certify that:</w:t>
      </w:r>
    </w:p>
    <w:p>
      <w:pPr>
        <w:spacing w:after="0" w:line="225" w:lineRule="exact"/>
        <w:rPr>
          <w:sz w:val="20"/>
          <w:szCs w:val="20"/>
          <w:color w:val="auto"/>
        </w:rPr>
      </w:pPr>
    </w:p>
    <w:p>
      <w:pPr>
        <w:ind w:left="180" w:hanging="172"/>
        <w:spacing w:after="0"/>
        <w:tabs>
          <w:tab w:leader="none" w:pos="1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HealthStream, Inc.;</w:t>
      </w:r>
    </w:p>
    <w:p>
      <w:pPr>
        <w:spacing w:after="0" w:line="225" w:lineRule="exact"/>
        <w:rPr>
          <w:rFonts w:ascii="Arial" w:cs="Arial" w:eastAsia="Arial" w:hAnsi="Arial"/>
          <w:sz w:val="18"/>
          <w:szCs w:val="18"/>
          <w:color w:val="auto"/>
        </w:rPr>
      </w:pPr>
    </w:p>
    <w:p>
      <w:pPr>
        <w:ind w:firstLine="8"/>
        <w:spacing w:after="0" w:line="342" w:lineRule="auto"/>
        <w:tabs>
          <w:tab w:leader="none" w:pos="201" w:val="left"/>
        </w:tabs>
        <w:numPr>
          <w:ilvl w:val="0"/>
          <w:numId w:val="17"/>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firstLine="8"/>
        <w:spacing w:after="0" w:line="277" w:lineRule="auto"/>
        <w:tabs>
          <w:tab w:leader="none" w:pos="204" w:val="left"/>
        </w:tabs>
        <w:numPr>
          <w:ilvl w:val="0"/>
          <w:numId w:val="1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firstLine="8"/>
        <w:spacing w:after="0" w:line="263" w:lineRule="auto"/>
        <w:tabs>
          <w:tab w:leader="none" w:pos="182"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jc w:val="both"/>
        <w:ind w:left="560" w:firstLine="8"/>
        <w:spacing w:after="0" w:line="263" w:lineRule="auto"/>
        <w:tabs>
          <w:tab w:leader="none" w:pos="758" w:val="left"/>
        </w:tabs>
        <w:numPr>
          <w:ilvl w:val="1"/>
          <w:numId w:val="1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jc w:val="both"/>
        <w:ind w:left="560" w:firstLine="8"/>
        <w:spacing w:after="0" w:line="263" w:lineRule="auto"/>
        <w:tabs>
          <w:tab w:leader="none" w:pos="788" w:val="left"/>
        </w:tabs>
        <w:numPr>
          <w:ilvl w:val="1"/>
          <w:numId w:val="1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left="560" w:firstLine="8"/>
        <w:spacing w:after="0" w:line="308" w:lineRule="auto"/>
        <w:tabs>
          <w:tab w:leader="none" w:pos="787" w:val="left"/>
        </w:tabs>
        <w:numPr>
          <w:ilvl w:val="1"/>
          <w:numId w:val="17"/>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560" w:firstLine="8"/>
        <w:spacing w:after="0" w:line="263" w:lineRule="auto"/>
        <w:tabs>
          <w:tab w:leader="none" w:pos="767" w:val="left"/>
        </w:tabs>
        <w:numPr>
          <w:ilvl w:val="1"/>
          <w:numId w:val="1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firstLine="8"/>
        <w:spacing w:after="0" w:line="308" w:lineRule="auto"/>
        <w:tabs>
          <w:tab w:leader="none" w:pos="201"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560" w:firstLine="8"/>
        <w:spacing w:after="0" w:line="277" w:lineRule="auto"/>
        <w:tabs>
          <w:tab w:leader="none" w:pos="754" w:val="left"/>
        </w:tabs>
        <w:numPr>
          <w:ilvl w:val="1"/>
          <w:numId w:val="1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560" w:right="20" w:firstLine="8"/>
        <w:spacing w:after="0" w:line="277" w:lineRule="auto"/>
        <w:tabs>
          <w:tab w:leader="none" w:pos="761" w:val="left"/>
        </w:tabs>
        <w:numPr>
          <w:ilvl w:val="1"/>
          <w:numId w:val="1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6760" w:type="dxa"/>
            <w:vAlign w:val="bottom"/>
          </w:tcPr>
          <w:p>
            <w:pPr>
              <w:spacing w:after="0"/>
              <w:rPr>
                <w:sz w:val="20"/>
                <w:szCs w:val="20"/>
                <w:color w:val="auto"/>
              </w:rPr>
            </w:pPr>
            <w:r>
              <w:rPr>
                <w:rFonts w:ascii="Arial" w:cs="Arial" w:eastAsia="Arial" w:hAnsi="Arial"/>
                <w:sz w:val="18"/>
                <w:szCs w:val="18"/>
                <w:color w:val="auto"/>
              </w:rPr>
              <w:t>Date: July 30, 2020</w:t>
            </w:r>
          </w:p>
        </w:tc>
        <w:tc>
          <w:tcPr>
            <w:tcW w:w="44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w:t>
            </w:r>
            <w:r>
              <w:rPr>
                <w:rFonts w:ascii="Arial" w:cs="Arial" w:eastAsia="Arial" w:hAnsi="Arial"/>
                <w:sz w:val="12"/>
                <w:szCs w:val="12"/>
                <w:color w:val="auto"/>
              </w:rPr>
              <w:t>COTT</w:t>
            </w:r>
            <w:r>
              <w:rPr>
                <w:rFonts w:ascii="Arial" w:cs="Arial" w:eastAsia="Arial" w:hAnsi="Arial"/>
                <w:sz w:val="18"/>
                <w:szCs w:val="18"/>
                <w:color w:val="auto"/>
              </w:rPr>
              <w:t xml:space="preserve"> A. R</w:t>
            </w:r>
            <w:r>
              <w:rPr>
                <w:rFonts w:ascii="Arial" w:cs="Arial" w:eastAsia="Arial" w:hAnsi="Arial"/>
                <w:sz w:val="12"/>
                <w:szCs w:val="12"/>
                <w:color w:val="auto"/>
              </w:rPr>
              <w:t>OBERTS</w:t>
            </w:r>
          </w:p>
        </w:tc>
      </w:tr>
      <w:tr>
        <w:trPr>
          <w:trHeight w:val="215"/>
        </w:trPr>
        <w:tc>
          <w:tcPr>
            <w:tcW w:w="676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Scott A. Roberts</w:t>
            </w:r>
          </w:p>
        </w:tc>
      </w:tr>
      <w:tr>
        <w:trPr>
          <w:trHeight w:val="230"/>
        </w:trPr>
        <w:tc>
          <w:tcPr>
            <w:tcW w:w="6760" w:type="dxa"/>
            <w:vAlign w:val="bottom"/>
          </w:tcPr>
          <w:p>
            <w:pPr>
              <w:spacing w:after="0"/>
              <w:rPr>
                <w:sz w:val="20"/>
                <w:szCs w:val="20"/>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Chief Financial Officer</w:t>
            </w:r>
          </w:p>
        </w:tc>
      </w:tr>
    </w:tbl>
    <w:p>
      <w:pPr>
        <w:sectPr>
          <w:pgSz w:w="11900" w:h="16838" w:orient="portrait"/>
          <w:cols w:equalWidth="0" w:num="1">
            <w:col w:w="11240"/>
          </w:cols>
          <w:pgMar w:left="320" w:top="351" w:right="339" w:bottom="1440" w:gutter="0" w:footer="0" w:header="0"/>
        </w:sectPr>
      </w:pPr>
    </w:p>
    <w:bookmarkStart w:id="36" w:name="page37"/>
    <w:bookmarkEnd w:id="36"/>
    <w:p>
      <w:pPr>
        <w:jc w:val="right"/>
        <w:spacing w:after="0"/>
        <w:rPr>
          <w:sz w:val="20"/>
          <w:szCs w:val="20"/>
          <w:color w:val="auto"/>
        </w:rPr>
      </w:pPr>
      <w:r>
        <w:rPr>
          <w:rFonts w:ascii="Arial" w:cs="Arial" w:eastAsia="Arial" w:hAnsi="Arial"/>
          <w:sz w:val="18"/>
          <w:szCs w:val="18"/>
          <w:b w:val="1"/>
          <w:bCs w:val="1"/>
          <w:u w:val="single" w:color="auto"/>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connection with the Quarterly Report of HealthStream, Inc. (the “Company”) on Form 10-Q for the period ending June 30, 2020, as filed with the Securities and Exchange Commission on the date hereof (the “Report”), Robert A. Frist, Jr., Chief Executive Officer of the Company, certifies, pursuant to 18 U.S.C. Section 1350, as adopted pursuant to Section 906 of the Sarbanes-Oxley Act of 2002, that:</w:t>
      </w:r>
    </w:p>
    <w:p>
      <w:pPr>
        <w:spacing w:after="0" w:line="184" w:lineRule="exact"/>
        <w:rPr>
          <w:sz w:val="20"/>
          <w:szCs w:val="20"/>
          <w:color w:val="auto"/>
        </w:rPr>
      </w:pPr>
    </w:p>
    <w:p>
      <w:pPr>
        <w:ind w:left="1700" w:hanging="842"/>
        <w:spacing w:after="0"/>
        <w:tabs>
          <w:tab w:leader="none" w:pos="17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1700" w:right="140" w:hanging="842"/>
        <w:spacing w:after="0" w:line="277" w:lineRule="auto"/>
        <w:tabs>
          <w:tab w:leader="none" w:pos="17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/s/ R</w:t>
      </w:r>
      <w:r>
        <w:rPr>
          <w:rFonts w:ascii="Arial" w:cs="Arial" w:eastAsia="Arial" w:hAnsi="Arial"/>
          <w:sz w:val="12"/>
          <w:szCs w:val="12"/>
          <w:color w:val="auto"/>
        </w:rPr>
        <w:t>OBERT</w:t>
      </w:r>
      <w:r>
        <w:rPr>
          <w:rFonts w:ascii="Arial" w:cs="Arial" w:eastAsia="Arial" w:hAnsi="Arial"/>
          <w:sz w:val="18"/>
          <w:szCs w:val="18"/>
          <w:color w:val="auto"/>
        </w:rPr>
        <w:t xml:space="preserve"> A. F</w:t>
      </w:r>
      <w:r>
        <w:rPr>
          <w:rFonts w:ascii="Arial" w:cs="Arial" w:eastAsia="Arial" w:hAnsi="Arial"/>
          <w:sz w:val="12"/>
          <w:szCs w:val="12"/>
          <w:color w:val="auto"/>
        </w:rPr>
        <w:t>RIST</w:t>
      </w:r>
      <w:r>
        <w:rPr>
          <w:rFonts w:ascii="Arial" w:cs="Arial" w:eastAsia="Arial" w:hAnsi="Arial"/>
          <w:sz w:val="18"/>
          <w:szCs w:val="18"/>
          <w:color w:val="auto"/>
        </w:rPr>
        <w:t>, J</w:t>
      </w:r>
      <w:r>
        <w:rPr>
          <w:rFonts w:ascii="Arial" w:cs="Arial" w:eastAsia="Arial" w:hAnsi="Arial"/>
          <w:sz w:val="12"/>
          <w:szCs w:val="12"/>
          <w:color w:val="auto"/>
        </w:rPr>
        <w:t>R</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49428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Robert A. Frist, Jr.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July 30, 2020</w:t>
      </w:r>
    </w:p>
    <w:p>
      <w:pPr>
        <w:sectPr>
          <w:pgSz w:w="11900" w:h="16838" w:orient="portrait"/>
          <w:cols w:equalWidth="0" w:num="1">
            <w:col w:w="11240"/>
          </w:cols>
          <w:pgMar w:left="320" w:top="351" w:right="339" w:bottom="1440" w:gutter="0" w:footer="0" w:header="0"/>
        </w:sectPr>
      </w:pPr>
    </w:p>
    <w:bookmarkStart w:id="37" w:name="page38"/>
    <w:bookmarkEnd w:id="37"/>
    <w:p>
      <w:pPr>
        <w:jc w:val="right"/>
        <w:spacing w:after="0"/>
        <w:rPr>
          <w:sz w:val="20"/>
          <w:szCs w:val="20"/>
          <w:color w:val="auto"/>
        </w:rPr>
      </w:pPr>
      <w:r>
        <w:rPr>
          <w:rFonts w:ascii="Arial" w:cs="Arial" w:eastAsia="Arial" w:hAnsi="Arial"/>
          <w:sz w:val="18"/>
          <w:szCs w:val="18"/>
          <w:b w:val="1"/>
          <w:bCs w:val="1"/>
          <w:u w:val="single" w:color="auto"/>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connection with the Quarterly Report of HealthStream, Inc. (the “Company”) on Form 10-Q for the period ending June 30, 2020, as filed with the Securities and Exchange Commission on the date hereof (the “Report”), Scott A. Roberts, Chief Financial Officer of the Company, certifies, pursuant to 18 U.S.C. Section 1350, as adopted pursuant to Section 906 of the Sarbanes-Oxley Act of 2002, that:</w:t>
      </w:r>
    </w:p>
    <w:p>
      <w:pPr>
        <w:spacing w:after="0" w:line="184" w:lineRule="exact"/>
        <w:rPr>
          <w:sz w:val="20"/>
          <w:szCs w:val="20"/>
          <w:color w:val="auto"/>
        </w:rPr>
      </w:pPr>
    </w:p>
    <w:p>
      <w:pPr>
        <w:ind w:left="1700" w:hanging="842"/>
        <w:spacing w:after="0"/>
        <w:tabs>
          <w:tab w:leader="none" w:pos="17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1700" w:right="140" w:hanging="842"/>
        <w:spacing w:after="0" w:line="277" w:lineRule="auto"/>
        <w:tabs>
          <w:tab w:leader="none" w:pos="17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/s/ S</w:t>
      </w:r>
      <w:r>
        <w:rPr>
          <w:rFonts w:ascii="Arial" w:cs="Arial" w:eastAsia="Arial" w:hAnsi="Arial"/>
          <w:sz w:val="12"/>
          <w:szCs w:val="12"/>
          <w:color w:val="auto"/>
        </w:rPr>
        <w:t>COTT</w:t>
      </w:r>
      <w:r>
        <w:rPr>
          <w:rFonts w:ascii="Arial" w:cs="Arial" w:eastAsia="Arial" w:hAnsi="Arial"/>
          <w:sz w:val="18"/>
          <w:szCs w:val="18"/>
          <w:color w:val="auto"/>
        </w:rPr>
        <w:t xml:space="preserve"> A. R</w:t>
      </w:r>
      <w:r>
        <w:rPr>
          <w:rFonts w:ascii="Arial" w:cs="Arial" w:eastAsia="Arial" w:hAnsi="Arial"/>
          <w:sz w:val="12"/>
          <w:szCs w:val="12"/>
          <w:color w:val="auto"/>
        </w:rPr>
        <w:t>OBERTS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49428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Scott A. Roberts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July 30, 2020</w:t>
      </w:r>
    </w:p>
    <w:sectPr>
      <w:pgSz w:w="11900" w:h="16838" w:orient="portrait"/>
      <w:cols w:equalWidth="0" w:num="1">
        <w:col w:w="11240"/>
      </w:cols>
      <w:pgMar w:left="320" w:top="35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DB127F8"/>
    <w:multiLevelType w:val="hybridMultilevel"/>
    <w:lvl w:ilvl="0">
      <w:lvlJc w:val="left"/>
      <w:lvlText w:val="☒"/>
      <w:numFmt w:val="bullet"/>
      <w:start w:val="1"/>
    </w:lvl>
  </w:abstractNum>
  <w:abstractNum w:abstractNumId="1">
    <w:nsid w:val="216231B"/>
    <w:multiLevelType w:val="hybridMultilevel"/>
    <w:lvl w:ilvl="0">
      <w:lvlJc w:val="left"/>
      <w:lvlText w:val="☐"/>
      <w:numFmt w:val="bullet"/>
      <w:start w:val="1"/>
    </w:lvl>
  </w:abstractNum>
  <w:abstractNum w:abstractNumId="2">
    <w:nsid w:val="1F16E9E8"/>
    <w:multiLevelType w:val="hybridMultilevel"/>
    <w:lvl w:ilvl="0">
      <w:lvlJc w:val="left"/>
      <w:lvlText w:val="☒"/>
      <w:numFmt w:val="bullet"/>
      <w:start w:val="1"/>
    </w:lvl>
  </w:abstractNum>
  <w:abstractNum w:abstractNumId="3">
    <w:nsid w:val="1190CDE7"/>
    <w:multiLevelType w:val="hybridMultilevel"/>
    <w:lvl w:ilvl="0">
      <w:lvlJc w:val="left"/>
      <w:lvlText w:val="•"/>
      <w:numFmt w:val="bullet"/>
      <w:start w:val="1"/>
    </w:lvl>
  </w:abstractNum>
  <w:abstractNum w:abstractNumId="4">
    <w:nsid w:val="66EF438D"/>
    <w:multiLevelType w:val="hybridMultilevel"/>
    <w:lvl w:ilvl="0">
      <w:lvlJc w:val="left"/>
      <w:lvlText w:val="*"/>
      <w:numFmt w:val="bullet"/>
      <w:start w:val="1"/>
    </w:lvl>
  </w:abstractNum>
  <w:abstractNum w:abstractNumId="5">
    <w:nsid w:val="140E0F76"/>
    <w:multiLevelType w:val="hybridMultilevel"/>
    <w:lvl w:ilvl="0">
      <w:lvlJc w:val="left"/>
      <w:lvlText w:val="(%1)"/>
      <w:numFmt w:val="decimal"/>
      <w:start w:val="2"/>
    </w:lvl>
  </w:abstractNum>
  <w:abstractNum w:abstractNumId="6">
    <w:nsid w:val="3352255A"/>
    <w:multiLevelType w:val="hybridMultilevel"/>
    <w:lvl w:ilvl="0">
      <w:lvlJc w:val="left"/>
      <w:lvlText w:val="•"/>
      <w:numFmt w:val="bullet"/>
      <w:start w:val="1"/>
    </w:lvl>
  </w:abstractNum>
  <w:abstractNum w:abstractNumId="7">
    <w:nsid w:val="109CF92E"/>
    <w:multiLevelType w:val="hybridMultilevel"/>
    <w:lvl w:ilvl="0">
      <w:lvlJc w:val="left"/>
      <w:lvlText w:val="•"/>
      <w:numFmt w:val="bullet"/>
      <w:start w:val="1"/>
    </w:lvl>
  </w:abstractNum>
  <w:abstractNum w:abstractNumId="8">
    <w:nsid w:val="DED7263"/>
    <w:multiLevelType w:val="hybridMultilevel"/>
    <w:lvl w:ilvl="0">
      <w:lvlJc w:val="left"/>
      <w:lvlText w:val="(%1)"/>
      <w:numFmt w:val="decimal"/>
      <w:start w:val="1"/>
    </w:lvl>
  </w:abstractNum>
  <w:abstractNum w:abstractNumId="9">
    <w:nsid w:val="7FDCC233"/>
    <w:multiLevelType w:val="hybridMultilevel"/>
    <w:lvl w:ilvl="0">
      <w:lvlJc w:val="left"/>
      <w:lvlText w:val="•"/>
      <w:numFmt w:val="bullet"/>
      <w:start w:val="1"/>
    </w:lvl>
  </w:abstractNum>
  <w:abstractNum w:abstractNumId="10">
    <w:nsid w:val="1BEFD79F"/>
    <w:multiLevelType w:val="hybridMultilevel"/>
    <w:lvl w:ilvl="0">
      <w:lvlJc w:val="left"/>
      <w:lvlText w:val="•"/>
      <w:numFmt w:val="bullet"/>
      <w:start w:val="1"/>
    </w:lvl>
  </w:abstractNum>
  <w:abstractNum w:abstractNumId="11">
    <w:nsid w:val="41A7C4C9"/>
    <w:multiLevelType w:val="hybridMultilevel"/>
    <w:lvl w:ilvl="0">
      <w:lvlJc w:val="left"/>
      <w:lvlText w:val="•"/>
      <w:numFmt w:val="bullet"/>
      <w:start w:val="1"/>
    </w:lvl>
  </w:abstractNum>
  <w:abstractNum w:abstractNumId="12">
    <w:nsid w:val="6B68079A"/>
    <w:multiLevelType w:val="hybridMultilevel"/>
    <w:lvl w:ilvl="0">
      <w:lvlJc w:val="left"/>
      <w:lvlText w:val="•"/>
      <w:numFmt w:val="bullet"/>
      <w:start w:val="1"/>
    </w:lvl>
  </w:abstractNum>
  <w:abstractNum w:abstractNumId="13">
    <w:nsid w:val="4E6AFB66"/>
    <w:multiLevelType w:val="hybridMultilevel"/>
    <w:lvl w:ilvl="0">
      <w:lvlJc w:val="left"/>
      <w:lvlText w:val="(%1)"/>
      <w:numFmt w:val="lowerLetter"/>
      <w:start w:val="1"/>
    </w:lvl>
  </w:abstractNum>
  <w:abstractNum w:abstractNumId="14">
    <w:nsid w:val="25E45D32"/>
    <w:multiLevelType w:val="hybridMultilevel"/>
    <w:lvl w:ilvl="0">
      <w:lvlJc w:val="left"/>
      <w:lvlText w:val="%1"/>
      <w:numFmt w:val="decimal"/>
      <w:start w:val="104"/>
    </w:lvl>
  </w:abstractNum>
  <w:abstractNum w:abstractNumId="15">
    <w:nsid w:val="519B500D"/>
    <w:multiLevelType w:val="hybridMultilevel"/>
    <w:lvl w:ilvl="0">
      <w:lvlJc w:val="left"/>
      <w:lvlText w:val="%1."/>
      <w:numFmt w:val="decimal"/>
      <w:start w:val="1"/>
    </w:lvl>
    <w:lvl w:ilvl="1">
      <w:lvlJc w:val="left"/>
      <w:lvlText w:val="%2)"/>
      <w:numFmt w:val="lowerLetter"/>
      <w:start w:val="1"/>
    </w:lvl>
  </w:abstractNum>
  <w:abstractNum w:abstractNumId="16">
    <w:nsid w:val="431BD7B7"/>
    <w:multiLevelType w:val="hybridMultilevel"/>
    <w:lvl w:ilvl="0">
      <w:lvlJc w:val="left"/>
      <w:lvlText w:val="%1."/>
      <w:numFmt w:val="decimal"/>
      <w:start w:val="1"/>
    </w:lvl>
    <w:lvl w:ilvl="1">
      <w:lvlJc w:val="left"/>
      <w:lvlText w:val="%2)"/>
      <w:numFmt w:val="lowerLetter"/>
      <w:start w:val="1"/>
    </w:lvl>
  </w:abstractNum>
  <w:abstractNum w:abstractNumId="17">
    <w:nsid w:val="3F2DBA31"/>
    <w:multiLevelType w:val="hybridMultilevel"/>
    <w:lvl w:ilvl="0">
      <w:lvlJc w:val="left"/>
      <w:lvlText w:val="(%1)"/>
      <w:numFmt w:val="decimal"/>
      <w:start w:val="1"/>
    </w:lvl>
  </w:abstractNum>
  <w:abstractNum w:abstractNumId="18">
    <w:nsid w:val="7C83E45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2020-07-31T05:41:56Z</dcterms:created>
  <dcterms:modified xsi:type="dcterms:W3CDTF">2020-07-31T05:41:56Z</dcterms:modified>
</cp:coreProperties>
</file>