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1"/>
              </w:rPr>
              <w:t>Tennessee</w:t>
            </w:r>
          </w:p>
        </w:tc>
        <w:tc>
          <w:tcPr>
            <w:tcW w:w="4220" w:type="dxa"/>
            <w:vAlign w:val="bottom"/>
          </w:tcPr>
          <w:p>
            <w:pPr>
              <w:jc w:val="right"/>
              <w:ind w:right="77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i w:val="1"/>
                <w:iCs w:val="1"/>
                <w:color w:val="auto"/>
              </w:rPr>
              <w:t>(State or other jurisdiction of</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4220" w:type="dxa"/>
            <w:vAlign w:val="bottom"/>
          </w:tcPr>
          <w:p>
            <w:pPr>
              <w:spacing w:after="0"/>
              <w:rPr>
                <w:sz w:val="20"/>
                <w:szCs w:val="20"/>
                <w:color w:val="auto"/>
              </w:rPr>
            </w:pPr>
          </w:p>
        </w:tc>
      </w:tr>
      <w:tr>
        <w:trPr>
          <w:trHeight w:val="414"/>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209 10th Avenue South, Suite 450</w:t>
            </w:r>
          </w:p>
        </w:tc>
        <w:tc>
          <w:tcPr>
            <w:tcW w:w="4220" w:type="dxa"/>
            <w:vAlign w:val="bottom"/>
          </w:tcPr>
          <w:p>
            <w:pPr>
              <w:spacing w:after="0"/>
              <w:rPr>
                <w:sz w:val="24"/>
                <w:szCs w:val="24"/>
                <w:color w:val="auto"/>
              </w:rPr>
            </w:pPr>
          </w:p>
        </w:tc>
      </w:tr>
      <w:tr>
        <w:trPr>
          <w:trHeight w:val="220"/>
        </w:trPr>
        <w:tc>
          <w:tcPr>
            <w:tcW w:w="44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5"/>
              </w:rPr>
              <w:t>Nashville, Tennessee</w:t>
            </w:r>
          </w:p>
        </w:tc>
        <w:tc>
          <w:tcPr>
            <w:tcW w:w="4220" w:type="dxa"/>
            <w:vAlign w:val="bottom"/>
          </w:tcPr>
          <w:p>
            <w:pPr>
              <w:jc w:val="right"/>
              <w:ind w:right="970"/>
              <w:spacing w:after="0"/>
              <w:rPr>
                <w:sz w:val="20"/>
                <w:szCs w:val="20"/>
                <w:color w:val="auto"/>
              </w:rPr>
            </w:pPr>
            <w:r>
              <w:rPr>
                <w:rFonts w:ascii="Arial" w:cs="Arial" w:eastAsia="Arial" w:hAnsi="Arial"/>
                <w:sz w:val="18"/>
                <w:szCs w:val="18"/>
                <w:b w:val="1"/>
                <w:bCs w:val="1"/>
                <w:color w:val="auto"/>
              </w:rPr>
              <w:t>37203</w:t>
            </w:r>
          </w:p>
        </w:tc>
      </w:tr>
      <w:tr>
        <w:trPr>
          <w:trHeight w:val="230"/>
        </w:trPr>
        <w:tc>
          <w:tcPr>
            <w:tcW w:w="44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0"/>
          <w:szCs w:val="20"/>
          <w:color w:val="auto"/>
        </w:rPr>
      </w:pPr>
    </w:p>
    <w:p>
      <w:pPr>
        <w:ind w:right="204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of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2" w:right="239" w:bottom="206" w:gutter="0" w:footer="0" w:header="0"/>
        </w:sectPr>
      </w:pP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500" w:space="720"/>
            <w:col w:w="1360" w:space="720"/>
            <w:col w:w="3340" w:space="400"/>
            <w:col w:w="2380"/>
          </w:cols>
          <w:pgMar w:left="240" w:top="122" w:right="239" w:bottom="206"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Market on June 30, 2010 was $71,681,232. All executive officers and directors of the registrant have been deemed, solely for the purpose of the foregoing calculation, to be “affiliates”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22, 2011, there were 21,931,535 shares of the Registrant’s common stock outstanding.</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2011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2" w:right="239" w:bottom="206"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rPr>
              <w:t>HEALTHSTREAM,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900" w:type="dxa"/>
            <w:vAlign w:val="bottom"/>
            <w:gridSpan w:val="7"/>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740" w:type="dxa"/>
            <w:vAlign w:val="bottom"/>
            <w:gridSpan w:val="8"/>
          </w:tcPr>
          <w:p>
            <w:pPr>
              <w:jc w:val="center"/>
              <w:ind w:right="3120"/>
              <w:spacing w:after="0"/>
              <w:rPr>
                <w:sz w:val="20"/>
                <w:szCs w:val="20"/>
                <w:color w:val="auto"/>
              </w:rPr>
            </w:pPr>
            <w:r>
              <w:rPr>
                <w:rFonts w:ascii="Arial" w:cs="Arial" w:eastAsia="Arial" w:hAnsi="Arial"/>
                <w:sz w:val="18"/>
                <w:szCs w:val="18"/>
                <w:b w:val="1"/>
                <w:bCs w:val="1"/>
                <w:color w:val="auto"/>
                <w:w w:val="99"/>
              </w:rPr>
              <w:t>ANNUAL REPORT ON FORM 10-K</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640" w:type="dxa"/>
            <w:vAlign w:val="bottom"/>
            <w:gridSpan w:val="2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7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7"/>
            <w:vMerge w:val="continue"/>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1A. Risk Factors</w:t>
              </w:r>
            </w:hyperlink>
          </w:p>
        </w:tc>
        <w:tc>
          <w:tcPr>
            <w:tcW w:w="9040" w:type="dxa"/>
            <w:vAlign w:val="bottom"/>
            <w:gridSpan w:val="18"/>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1B. Unresolved Staff Comments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8"/>
          </w:tcPr>
          <w:p>
            <w:pPr>
              <w:spacing w:after="0"/>
              <w:rPr>
                <w:sz w:val="17"/>
                <w:szCs w:val="17"/>
                <w:color w:val="auto"/>
              </w:rPr>
            </w:pPr>
          </w:p>
        </w:tc>
        <w:tc>
          <w:tcPr>
            <w:tcW w:w="7920" w:type="dxa"/>
            <w:vAlign w:val="bottom"/>
            <w:gridSpan w:val="11"/>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3. Legal Proceedings</w:t>
              </w:r>
            </w:hyperlink>
          </w:p>
        </w:tc>
        <w:tc>
          <w:tcPr>
            <w:tcW w:w="8740" w:type="dxa"/>
            <w:vAlign w:val="bottom"/>
            <w:gridSpan w:val="17"/>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Item 4. (Removed and Reserved)</w:t>
              </w:r>
            </w:hyperlink>
          </w:p>
        </w:tc>
        <w:tc>
          <w:tcPr>
            <w:tcW w:w="8240" w:type="dxa"/>
            <w:vAlign w:val="bottom"/>
            <w:gridSpan w:val="14"/>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640" w:type="dxa"/>
            <w:vAlign w:val="bottom"/>
            <w:gridSpan w:val="2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5. Market for Registrant’s Common Equity, Related Stockholder Matters and Issuer Purchases of Equity Securities</w:t>
              </w:r>
            </w:hyperlink>
          </w:p>
        </w:tc>
        <w:tc>
          <w:tcPr>
            <w:tcW w:w="2000" w:type="dxa"/>
            <w:vAlign w:val="bottom"/>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6. Selected Financial Data</w:t>
              </w:r>
            </w:hyperlink>
          </w:p>
        </w:tc>
        <w:tc>
          <w:tcPr>
            <w:tcW w:w="8360" w:type="dxa"/>
            <w:vAlign w:val="bottom"/>
            <w:gridSpan w:val="15"/>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Item 7. Management’s Discussion and Analysis of Financial Condition and Results of Operations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0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3620" w:type="dxa"/>
            <w:vAlign w:val="bottom"/>
            <w:gridSpan w:val="4"/>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8. Financial Statements and Supplementary Data</w:t>
              </w:r>
            </w:hyperlink>
          </w:p>
        </w:tc>
        <w:tc>
          <w:tcPr>
            <w:tcW w:w="6740" w:type="dxa"/>
            <w:vAlign w:val="bottom"/>
            <w:gridSpan w:val="8"/>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9. Changes in and Disagreements with Accountants on Accounting and Financial Disclosure</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Item 9A Controls and Procedures</w:t>
              </w:r>
            </w:hyperlink>
          </w:p>
        </w:tc>
        <w:tc>
          <w:tcPr>
            <w:tcW w:w="4620" w:type="dxa"/>
            <w:vAlign w:val="bottom"/>
            <w:tcBorders>
              <w:top w:val="single" w:sz="8" w:color="0000EE"/>
            </w:tcBorders>
            <w:gridSpan w:val="10"/>
          </w:tcPr>
          <w:p>
            <w:pPr>
              <w:spacing w:after="0"/>
              <w:rPr>
                <w:sz w:val="17"/>
                <w:szCs w:val="17"/>
                <w:color w:val="auto"/>
              </w:rPr>
            </w:pPr>
          </w:p>
        </w:tc>
        <w:tc>
          <w:tcPr>
            <w:tcW w:w="3600" w:type="dxa"/>
            <w:vAlign w:val="bottom"/>
            <w:gridSpan w:val="3"/>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Item 9B. Other Information</w:t>
              </w:r>
            </w:hyperlink>
          </w:p>
        </w:tc>
        <w:tc>
          <w:tcPr>
            <w:tcW w:w="8640" w:type="dxa"/>
            <w:vAlign w:val="bottom"/>
            <w:gridSpan w:val="16"/>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10640" w:type="dxa"/>
            <w:vAlign w:val="bottom"/>
            <w:gridSpan w:val="2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PART III</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10. Directors, Executive Officers and Corporate Governance</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4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00" w:type="dxa"/>
            <w:vAlign w:val="bottom"/>
            <w:gridSpan w:val="7"/>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12. Security Ownership of Certain Beneficial Owners and Management and Related Stockholder Matters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7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13. Certain Relationships and Related Transactions, and Director Independence</w:t>
              </w:r>
            </w:hyperlink>
          </w:p>
        </w:tc>
        <w:tc>
          <w:tcPr>
            <w:tcW w:w="2700" w:type="dxa"/>
            <w:vAlign w:val="bottom"/>
            <w:gridSpan w:val="2"/>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1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Item 14. Principal Accounting Fees and Services</w:t>
              </w:r>
            </w:hyperlink>
          </w:p>
        </w:tc>
        <w:tc>
          <w:tcPr>
            <w:tcW w:w="4540" w:type="dxa"/>
            <w:vAlign w:val="bottom"/>
            <w:gridSpan w:val="5"/>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PART IV</w:t>
              </w:r>
            </w:hyperlink>
          </w:p>
        </w:tc>
        <w:tc>
          <w:tcPr>
            <w:tcW w:w="2840" w:type="dxa"/>
            <w:vAlign w:val="bottom"/>
            <w:tcBorders>
              <w:top w:val="single" w:sz="8" w:color="0000EE"/>
            </w:tcBorders>
            <w:gridSpan w:val="12"/>
          </w:tcPr>
          <w:p>
            <w:pPr>
              <w:spacing w:after="0"/>
              <w:rPr>
                <w:sz w:val="24"/>
                <w:szCs w:val="24"/>
                <w:color w:val="auto"/>
              </w:rPr>
            </w:pPr>
          </w:p>
        </w:tc>
        <w:tc>
          <w:tcPr>
            <w:tcW w:w="7120" w:type="dxa"/>
            <w:vAlign w:val="bottom"/>
            <w:gridSpan w:val="10"/>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15. Exhibits, Financial Statement Schedules</w:t>
              </w:r>
            </w:hyperlink>
          </w:p>
        </w:tc>
        <w:tc>
          <w:tcPr>
            <w:tcW w:w="7080" w:type="dxa"/>
            <w:vAlign w:val="bottom"/>
            <w:gridSpan w:val="9"/>
          </w:tcPr>
          <w:p>
            <w:pPr>
              <w:spacing w:after="0"/>
              <w:rPr>
                <w:sz w:val="17"/>
                <w:szCs w:val="17"/>
                <w:color w:val="auto"/>
              </w:rPr>
            </w:pPr>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640" w:type="dxa"/>
            <w:vAlign w:val="bottom"/>
            <w:gridSpan w:val="27"/>
          </w:tcPr>
          <w:p>
            <w:pPr>
              <w:ind w:left="22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7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652"/>
        </w:trPr>
        <w:tc>
          <w:tcPr>
            <w:tcW w:w="220" w:type="dxa"/>
            <w:vAlign w:val="bottom"/>
            <w:tcBorders>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10-K. HealthStream undertakes no obligation to publicly release any revisions to the forward-looking statements or reflect events or circumstances after the date of this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HealthStream, Inc. (HealthStream or the Company) provides Internet-based learning and research solutions for healthcare organizations—all designed to assess and develop the people that deliver patient care which, in turn, supports the improvement of business and clinical outcomes. Our learning products are used by healthcare organizations to meet a broad range of their training, certification,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 Our customer base across both our learning and research business units includes over 2,500 healthcare organizations (predominately acute-care facilities) throughout all 50 states of the United States.</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core learning product is the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our proprietary learning platform provided through the Internet via software-as-a-service. At December 31, 2010, HealthStream had approximately 2.45 million contracted, primarily hospital-based subscribers, to the HLC. We deliver educational activities and training courseware to our customers through the HLC platform. Our research products and service offerings include quality and satisfaction surveys, data analyses of survey results, and other research-based measurement tools focused on patients, physicians, employees, and members of the community. The Company’s core research product is the Patient Insights™ survey, which accounts for approximately half of our research product business.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Headquartered in Nashville, Tennessee, the Company was incorporated in 1990 and began providing its Internet-based solutions in 1999 and its survey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research solutions in 2005. Including an additional office in Laurel, Maryland, HealthStream had 356 full-time and 76 part-time employees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HealthStream has evolved from a company with an initial focus on technology-based training to a company providing outcomes-focused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learning and research solutions to the nation’s healthcare providers.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380"/>
        <w:spacing w:after="0" w:line="297" w:lineRule="auto"/>
        <w:rPr>
          <w:sz w:val="20"/>
          <w:szCs w:val="20"/>
          <w:color w:val="auto"/>
        </w:rPr>
      </w:pPr>
      <w:r>
        <w:rPr>
          <w:rFonts w:ascii="Arial" w:cs="Arial" w:eastAsia="Arial" w:hAnsi="Arial"/>
          <w:sz w:val="16"/>
          <w:szCs w:val="16"/>
          <w:color w:val="auto"/>
        </w:rPr>
        <w:t>According to the deputy director of the National Health Statistics Group at the Centers for Medicare and Medicaid Services (CMS), spending in the healthcare industry reached approximately $2.5 trillion in 2009, or 17.6 percent of the gross domestic product. Hospital care expenditures accounted for approximately 30 percent of the $2.5 trillion industry. Approximately 14.3 million professionals are employed in the healthcare segment of the domestic economy, with approximately 5.3 million employed in acute-care hospitals, our target market for our learning and research products. As of December 31, 2010, approximately 2.45 million, or 46 percent, of these healthcare professionals were contracted to use our Internet-based HLC platform.</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of the 5.3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8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hospitals, staffing issues and personnel shortages have also contributed to the need for facility based workforce development as well as additional assessment and competency based training. For example, the American Hospital Association (AHA)’s report “Workforce 2015: Strategy Trumps Shortage” (January 2010) indicates that the shortfall of registered nurses in 2025 will be 260,000 FTEs and the shortage of physicians in 2020 will be 109,000. We believe that offering training and education for hospital personnel is increasingly being utilized as a retention and recruitment incentive.</w:t>
      </w:r>
    </w:p>
    <w:p>
      <w:pPr>
        <w:spacing w:after="0" w:line="6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Many healthcare professionals use continuing education to keep abreast of the latest developments and meet licensing, certification, and credentialing requirements. Continuing education requirements include continuing education for nurses, emergency medical services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for education and training for those audiences that use their products in healthcare organizations.</w:t>
      </w:r>
    </w:p>
    <w:p>
      <w:pPr>
        <w:spacing w:after="0" w:line="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large portion of the nation’s hospitals utilize research and survey tools to gain valuable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3"/>
          <w:szCs w:val="13"/>
          <w:color w:val="auto"/>
        </w:rPr>
        <w:t>®</w:t>
      </w:r>
      <w:r>
        <w:rPr>
          <w:rFonts w:ascii="Arial" w:cs="Arial" w:eastAsia="Arial" w:hAnsi="Arial"/>
          <w:sz w:val="16"/>
          <w:szCs w:val="16"/>
          <w:color w:val="auto"/>
        </w:rPr>
        <w:t xml:space="preserve"> (Consumer Assessment of Healthcare Providers and Systems) Hospital Survey launched by CMS in partnership with the Agency for Healthcare Research and Quality (AHRQ). Hospitals must submit data to CMS for certain required quality measures—which for inpatients includes the CAHPS</w:t>
      </w:r>
      <w:r>
        <w:rPr>
          <w:rFonts w:ascii="Arial" w:cs="Arial" w:eastAsia="Arial" w:hAnsi="Arial"/>
          <w:sz w:val="13"/>
          <w:szCs w:val="13"/>
          <w:color w:val="auto"/>
        </w:rPr>
        <w:t>®</w:t>
      </w:r>
      <w:r>
        <w:rPr>
          <w:rFonts w:ascii="Arial" w:cs="Arial" w:eastAsia="Arial" w:hAnsi="Arial"/>
          <w:sz w:val="16"/>
          <w:szCs w:val="16"/>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and offer CAHPS</w:t>
      </w:r>
      <w:r>
        <w:rPr>
          <w:rFonts w:ascii="Arial" w:cs="Arial" w:eastAsia="Arial" w:hAnsi="Arial"/>
          <w:sz w:val="13"/>
          <w:szCs w:val="13"/>
          <w:color w:val="auto"/>
        </w:rPr>
        <w:t>®</w:t>
      </w:r>
      <w:r>
        <w:rPr>
          <w:rFonts w:ascii="Arial" w:cs="Arial" w:eastAsia="Arial" w:hAnsi="Arial"/>
          <w:sz w:val="16"/>
          <w:szCs w:val="16"/>
          <w:color w:val="auto"/>
        </w:rPr>
        <w:t xml:space="preserve"> Hospital Survey services.</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HealthStream’s products and services are organized into two segments, 1) HealthStream Learning and 2) HealthStream Research, which collectively help healthcare organizations meet their ongoing training, education, assessment, and compliance needs. Our objective is to better support our healthcare organization customers in their efforts to transform insight into action as they measure and benchmark key data points for their constituencies and then to incorporate the results into training and improvement programs through our learning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Learning</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Within HealthStream Learning, we bring training and education content together with administrative and management tools through our Internet-based platforms, the HealthStream Learning Center</w:t>
      </w:r>
      <w:r>
        <w:rPr>
          <w:rFonts w:ascii="Arial" w:cs="Arial" w:eastAsia="Arial" w:hAnsi="Arial"/>
          <w:sz w:val="13"/>
          <w:szCs w:val="13"/>
          <w:color w:val="auto"/>
        </w:rPr>
        <w:t>®</w:t>
      </w:r>
      <w:r>
        <w:rPr>
          <w:rFonts w:ascii="Arial" w:cs="Arial" w:eastAsia="Arial" w:hAnsi="Arial"/>
          <w:sz w:val="16"/>
          <w:szCs w:val="16"/>
          <w:color w:val="auto"/>
        </w:rPr>
        <w:t xml:space="preserve"> and a more streamlined version, HealthStream Express™. We offer our Internet-based platform customers a wide array of additional courseware subscriptions. Our learning management system supports healthcare administrators in configuring training to meet the precise needs of different groups of employees, modifying training materials, and documenting that training has been completed. At December 31, 2010,</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2.45 million healthcare professionals had contracted subscriptions for our Internet-based HLC services. Pricing for the HLC is subscription based, with fees based on the number of subscribers, courseware provided, and other factors. We offer training, implementation, and account management services to facilitate adoption of our platform. Fees for training are based on the time and efforts of the personnel involved. Implementation fees vary based on the size, scope, and complexity of the project.</w:t>
      </w:r>
    </w:p>
    <w:p>
      <w:pPr>
        <w:spacing w:after="0" w:line="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Internet-based platform and our courseware are hosted in a central data center that allows authorized subscribers Internet access to our services, thereby eliminating the need for onsite local implementations of installed learning management products.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Along with the Internet-based HLC, we also offer healthcare organizations full-service capabilities to create online courses by converting their existing course material, self-author new materials through our Authoring Center product, and electively share these materials with other HealthStream customers through a courseware exchange. We also offer Authoring Pro, an upgraded product which includes an industry leading image library, owned by A.D.A.M., Inc., as an additional subscription to this product. Pricing for these products is subscription based, with fees based on the number of subscribers and level of penetration of services.</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HealthStream Competency Center™ (HCC), our software-as-a-service competency management solution for healthcare organizations, allows us to offer our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the HCC offers an effective means of determining which competencies are associated with each position and evaluating and documenting competency assessments.</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2010, we released a set of significant enhancements to the HCC. These enhancements included features to enable large, multi-facility enterprises to more effectively manage competency and performance initiatives across all of their facilities and will, therefore, serve the growing competency management needs of our larger customers.</w:t>
      </w:r>
    </w:p>
    <w:p>
      <w:pPr>
        <w:spacing w:after="0" w:line="73"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HealthStream and Laerdal Medical A/S, a Norwegian limited stock company formed a collaborative arrangement in 2010—named SimVentures—to offer products and services aimed at accelerating the global adoption of simulation-based learning by healthcare providers—with a focus on improving clinical competencies and patient outcomes. The new venture will offer healthcare organizations and medical &amp; nursing schools, worldwide, a range of fully integrated software-as-a-service applications that accelerate development and distribution of simulation content; enable enterprise-wide management of simulation centers, simulators, and programs; and support assessment of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effectiveness of simulation training as part of complete curricula. Our new simulation management platform, SimCenter™, was announced in January 2011 and will be launched at a later date in 2011.</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Through HospitalDirect™, we develop, manage, and distribute online, print education, and training activities for provider-based healthcare professionals and physicians, as well as online education and training activities for sales representatives. Certain of the education activities we develop and distribute provide continuing education credit for healthcare professionals completing them. Pricing for these products varies based on the size, scope, and nature of the project. Most of these activities are supported by either pharmaceutical or medical device companies.</w:t>
      </w:r>
    </w:p>
    <w:p>
      <w:pPr>
        <w:spacing w:after="0" w:line="6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strategy for HealthStream Learning is to continue adding subscribers to our Internet-based HLC, while expanding penetration of courseware offerings to existing accounts, providing add-on software applications (e.g. HCC, Authoring Center, SimCenter, etc.), developing new tools, and penetrating other professional services across our customer base.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Research</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HealthStream Research complements HealthStream Learning’s product and service offerings by providing hospital-based customers with Patient Insights™, Employee Insights™, Physician Insights™, and Community Insights™ surveys, data analyses of survey results, and other research-based measurement tools. Our services are designed to provide thorough analyses with insightful recommendations for change; to provide benchmarking capability using our comprehensive databases; and to provide consulting services to identify solutions for our customers based on their survey results. Clients are able to access and analyze their survey results data through Insights Online™, our secure web-based reporting platform. Our survey and research solutions focus on providing industry-leading, statistically valid data to assist our customers with their decision making related to their organization’s performance improvement objectives. In addition to collecting and reporting data, we provide expert analysis and consulting to help customers understand their survey results and the underlying impact on their business. It is with this insight that healthcare organizations are able to develop plans for improved performance that is able to be delivered through HealthStream’s learning solutions. Pricing for these services is based on the survey type, delivery method, size of the survey instrument, sample size, frequency of survey cycles, and other factors.</w:t>
      </w:r>
    </w:p>
    <w:p>
      <w:pPr>
        <w:spacing w:after="0" w:line="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To further support our customers, HealthStream offers the HealthStream Improvement Center™, an online system for hospital leaders to optimize and accelerate the execution of improvement plans—including those plans based on results from patient, employee, physician, and community surveys. The Improvement Center is one among a storehouse of solutions from HealthStream Research that include a comprehensive line of survey products, national benchmarks, HCAHPS Improvement Library, consulting services, and other support tools.</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strategy for HealthStream Research includes continuing to grow our customer base, expanding the products and services provided to each customer, and introducing HealthStream Learning solutions to address survey research findings. We will continue to expand our offering of research and assessment tools that are aligned with healthcare quality initiatives and continuous improvement efforts.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provide our learning and research solutions to customers across a broad range of entities within the healthcare industry, including healthcare organizations (including government entities) and pharmaceutical and medical device companies. We derive a substantial portion of our revenues from a relatively small number of customers, although no single customer represented more than 10 percent of our revenues during 2010, 2009, or 2008. Examples of customers that have purchased or contracted for products and services from HealthStream include: HCA, Inc., Tenet Healthcare Corporation, Catholic Health Initiatives, Community Health Systems, Inc., Lifepoint Hospitals, Inc., Ardent Health Services, LLC, and Baxter Healthcare Corporation.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market our products and services primarily through our direct sales teams, our consultants, and our account relationship managers, who are based at our corporate headquarters in Nashville, Tennessee and in our additional office located in Laurel, Maryland, as well as remote home office sales locations. As of December 31, 2010, our HealthStream Learning sales and relationship management personnel consisted of 54 employees—of which 45 carried sales quotas— and our HealthStream Research sales and consultant personnel consisted of 25 employees—of which 15 carried sales quotas. As of December 31, 2009, our HealthStream Learning sales and relationship management personnel consisted of 49 employees—of which 40 carried sales quotas—and our HealthStream Research sales and consultant personnel consisted of 22 employees—of which 12 carried sales quotas. Our geographically dispersed field sales organization is divided into one team focused on selling our learning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groups—including our annual customer Summit, trade shows, online promotion and demonstrations, telemarketing campaigns, public relations, distribution of product-specific literature, direct mail, and advertising.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Over most of the last ten years, we have hosted a conference in Nashville for our customers known as “The Summit.” We have utilized this client conference to reach out to existing and potential customers and business partners, provide training and educational services, and demonstrate our new and existing product offerings. We have marketing teams that are responsible for these initiatives and for working with and supporting our product management and sales teams. At December 31, 2010, our marketing personnel consisted of 16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2010, these personnel consisted of approximately 100 employees for our Learning segment and approximately 206 employees for our Research segment, of which 127 employees worked in our interviewing center. Our Learning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software applications, servers, and network infrastructure that deliver the majority of our services are hosted by third party data center providers. Our primary data center is located at a tier-four rated hosting facility in Chicago, Illinois, and our disaster recovery data center is hosted by a separate provider located in Franklin,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Nashville,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 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Monthly snap-shots of our data are stored off site with a third party data storage provider.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healthcare education industry is highly fragmented, varies significantly in delivery methods (</w:t>
      </w:r>
      <w:r>
        <w:rPr>
          <w:rFonts w:ascii="Arial" w:cs="Arial" w:eastAsia="Arial" w:hAnsi="Arial"/>
          <w:sz w:val="17"/>
          <w:szCs w:val="17"/>
          <w:i w:val="1"/>
          <w:iCs w:val="1"/>
          <w:color w:val="auto"/>
        </w:rPr>
        <w:t>i.e.</w:t>
      </w:r>
      <w:r>
        <w:rPr>
          <w:rFonts w:ascii="Arial" w:cs="Arial" w:eastAsia="Arial" w:hAnsi="Arial"/>
          <w:sz w:val="17"/>
          <w:szCs w:val="17"/>
          <w:color w:val="auto"/>
        </w:rPr>
        <w:t>, written materials, live events, video, CD-ROM products, manikins, and online products),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device manufacturers’ sales and internal regulatory personnel usually fulfill their education and training needs through instructor-led programs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addition to the competing delivery methods described above, we also have direct competitors. A number of companies offer competitive learning management products to the healthcare industry. We compete with learning management system providers such as SABA, Taleo, Plateau Systems, Cornerstone OnDemand, and SumTotal Systems that provide their services to multiple industries, including healthcare. We also compete with large medical publishers that have operating units that offer learning management systems that focus on healthcare, including Cengage Learning’s Net Learning and Reed Elsevier Group’s MC Strategies. In the survey business, we see competition from large nationally recognized survey research firms such as Press Ganey Associates, National Research Corporation, Gallup, and others. Our survey business also experiences direct competition from vendors who provide survey research services to other industries including Kenexa and Foresight. Finally, in our SimVentures joint venture, we expect to compete with B-Line Medical, CAE, and Medical Education Technologies, Inc.</w:t>
      </w:r>
    </w:p>
    <w:p>
      <w:pPr>
        <w:spacing w:after="0" w:line="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believe our learning solutions, which include both products and services that facilitate training for healthcare professionals, a wide assortment of courseware, a mechanism for measuring satisfaction and/or other results, and the ability to provide all our services on a single platform over the Internet, provide us with a competitive advantage. In our survey research business,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We believe that the principal competitive factors affecting the marketing of our learning and research solutions to the healthcare industry include:</w:t>
      </w:r>
    </w:p>
    <w:p>
      <w:pPr>
        <w:spacing w:after="0" w:line="57" w:lineRule="exact"/>
        <w:rPr>
          <w:sz w:val="20"/>
          <w:szCs w:val="20"/>
          <w:color w:val="auto"/>
        </w:rPr>
      </w:pPr>
    </w:p>
    <w:p>
      <w:pPr>
        <w:ind w:left="660" w:right="6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curriculum management, scalability, and the ability to track utilization and results;</w:t>
      </w:r>
    </w:p>
    <w:p>
      <w:pPr>
        <w:spacing w:after="0" w:line="75" w:lineRule="exact"/>
        <w:rPr>
          <w:rFonts w:ascii="Arial" w:cs="Arial" w:eastAsia="Arial" w:hAnsi="Arial"/>
          <w:sz w:val="18"/>
          <w:szCs w:val="18"/>
          <w:b w:val="1"/>
          <w:bCs w:val="1"/>
          <w:color w:val="auto"/>
        </w:rPr>
      </w:pPr>
    </w:p>
    <w:p>
      <w:pPr>
        <w:ind w:left="660" w:right="20" w:hanging="314"/>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competency-based content, as well as the ability of our customers to create and host their own web-enabled courseware;</w:t>
      </w:r>
    </w:p>
    <w:p>
      <w:pPr>
        <w:spacing w:after="0" w:line="29" w:lineRule="exact"/>
        <w:rPr>
          <w:rFonts w:ascii="Arial" w:cs="Arial" w:eastAsia="Arial" w:hAnsi="Arial"/>
          <w:sz w:val="16"/>
          <w:szCs w:val="16"/>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singular focus on the healthcare industry and our deep healthcare expertise;</w:t>
      </w:r>
    </w:p>
    <w:p>
      <w:pPr>
        <w:spacing w:after="0" w:line="130" w:lineRule="exact"/>
        <w:rPr>
          <w:rFonts w:ascii="Arial" w:cs="Arial" w:eastAsia="Arial" w:hAnsi="Arial"/>
          <w:sz w:val="18"/>
          <w:szCs w:val="18"/>
          <w:b w:val="1"/>
          <w:bCs w:val="1"/>
          <w:color w:val="auto"/>
        </w:rPr>
      </w:pPr>
    </w:p>
    <w:p>
      <w:pPr>
        <w:ind w:left="660" w:right="560" w:hanging="314"/>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customer service and support;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effectiveness of sales and marketing efforts;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company reputation.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Collectively, we believe these capabilities provide us with the ability to improve the quality of healthcare by assessing and developing the people who deliver care.</w:t>
      </w:r>
    </w:p>
    <w:p>
      <w:pPr>
        <w:spacing w:after="0" w:line="166"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GOVERNMENT REGULATION OF THE INTERNET AND THE HEALTHCARE INDUSTRY Regulation of the Internet and the Privacy and Security of Personal Information</w:t>
      </w:r>
    </w:p>
    <w:p>
      <w:pPr>
        <w:spacing w:after="0" w:line="342" w:lineRule="auto"/>
        <w:rPr>
          <w:sz w:val="20"/>
          <w:szCs w:val="20"/>
          <w:color w:val="auto"/>
        </w:rPr>
      </w:pPr>
      <w:r>
        <w:rPr>
          <w:rFonts w:ascii="Arial" w:cs="Arial" w:eastAsia="Arial" w:hAnsi="Arial"/>
          <w:sz w:val="16"/>
          <w:szCs w:val="16"/>
          <w:color w:val="auto"/>
        </w:rPr>
        <w:t>The laws and regulations that govern our business change rapidly. For example, the United States government and the governments of some states and foreign countries have attempted to regulate activities on the Internet. The following are some of the evolving areas of law that are relevant to our business:</w:t>
      </w:r>
    </w:p>
    <w:p>
      <w:pPr>
        <w:spacing w:after="0" w:line="16" w:lineRule="exact"/>
        <w:rPr>
          <w:sz w:val="20"/>
          <w:szCs w:val="20"/>
          <w:color w:val="auto"/>
        </w:rPr>
      </w:pPr>
    </w:p>
    <w:p>
      <w:pPr>
        <w:ind w:left="660" w:hanging="314"/>
        <w:spacing w:after="0" w:line="27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Privacy and Security Laws. </w:t>
      </w:r>
      <w:r>
        <w:rPr>
          <w:rFonts w:ascii="Arial" w:cs="Arial" w:eastAsia="Arial" w:hAnsi="Arial"/>
          <w:sz w:val="17"/>
          <w:szCs w:val="17"/>
          <w:color w:val="auto"/>
        </w:rPr>
        <w:t>Current and proposed federal, state and foreign privacy and security regulations and other laws restricting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(ARRA) has expanded the application of certain HIPAA privacy and security requirements to apply directly to us as a business associate of our customers.</w:t>
      </w:r>
    </w:p>
    <w:p>
      <w:pPr>
        <w:spacing w:after="0" w:line="77" w:lineRule="exact"/>
        <w:rPr>
          <w:rFonts w:ascii="Arial" w:cs="Arial" w:eastAsia="Arial" w:hAnsi="Arial"/>
          <w:sz w:val="17"/>
          <w:szCs w:val="17"/>
          <w:b w:val="1"/>
          <w:bCs w:val="1"/>
          <w:color w:val="auto"/>
        </w:rPr>
      </w:pPr>
    </w:p>
    <w:p>
      <w:pPr>
        <w:ind w:left="66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86" w:lineRule="exact"/>
        <w:rPr>
          <w:rFonts w:ascii="Arial" w:cs="Arial" w:eastAsia="Arial" w:hAnsi="Arial"/>
          <w:sz w:val="18"/>
          <w:szCs w:val="18"/>
          <w:b w:val="1"/>
          <w:bCs w:val="1"/>
          <w:color w:val="auto"/>
        </w:rPr>
      </w:pPr>
    </w:p>
    <w:p>
      <w:pPr>
        <w:ind w:left="660" w:right="40" w:hanging="314"/>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314"/>
        <w:spacing w:after="0" w:line="289"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Information Security Accountability Regulation. </w:t>
      </w:r>
      <w:r>
        <w:rPr>
          <w:rFonts w:ascii="Arial" w:cs="Arial" w:eastAsia="Arial" w:hAnsi="Arial"/>
          <w:sz w:val="16"/>
          <w:szCs w:val="16"/>
          <w:color w:val="auto"/>
        </w:rPr>
        <w:t>As a business associate of our customers, we are required to report certain breaches of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protected health information to our customers, which must in turn notify affected individuals, HHS and, in certain situations involving large breaches, the media. In addition, we are subject to certain state laws that relate to privacy or the reporting of security breaches that are more restrictive than the requirements of AARA.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make a public announcement regarding a breach of security or if one of the Company’s customers is required to make a public announcement in connection with a breach of security by the Company, the Company’s business could be negatively impacted.</w:t>
      </w:r>
    </w:p>
    <w:p>
      <w:pPr>
        <w:spacing w:after="0" w:line="72" w:lineRule="exact"/>
        <w:rPr>
          <w:rFonts w:ascii="Arial" w:cs="Arial" w:eastAsia="Arial" w:hAnsi="Arial"/>
          <w:sz w:val="16"/>
          <w:szCs w:val="16"/>
          <w:b w:val="1"/>
          <w:bCs w:val="1"/>
          <w:color w:val="auto"/>
        </w:rPr>
      </w:pPr>
    </w:p>
    <w:p>
      <w:pPr>
        <w:ind w:left="660" w:right="60" w:hanging="314"/>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Sales and Use Tax. </w:t>
      </w:r>
      <w:r>
        <w:rPr>
          <w:rFonts w:ascii="Arial" w:cs="Arial" w:eastAsia="Arial" w:hAnsi="Arial"/>
          <w:sz w:val="17"/>
          <w:szCs w:val="17"/>
          <w:color w:val="auto"/>
        </w:rPr>
        <w:t>Through December 31, 2010, we collected sales, use or other taxes on taxable transactions in all states in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Laws and regulations directly applicable to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7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The Joint Commission. </w:t>
      </w:r>
      <w:r>
        <w:rPr>
          <w:rFonts w:ascii="Arial" w:cs="Arial" w:eastAsia="Arial" w:hAnsi="Arial"/>
          <w:sz w:val="18"/>
          <w:szCs w:val="18"/>
          <w:color w:val="auto"/>
        </w:rPr>
        <w:t>The Joint Commission mandates that employers in the healthcare industry provide certain workplace safety and patient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8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Health Insurance Portability and Accountability Act (HIPAA). </w:t>
      </w:r>
      <w:r>
        <w:rPr>
          <w:rFonts w:ascii="Arial" w:cs="Arial" w:eastAsia="Arial" w:hAnsi="Arial"/>
          <w:sz w:val="16"/>
          <w:szCs w:val="16"/>
          <w:color w:val="auto"/>
        </w:rPr>
        <w:t>HIPAA regulations require certain organizations, including most healthcare providers and</w:t>
      </w:r>
      <w:r>
        <w:rPr>
          <w:rFonts w:ascii="Arial" w:cs="Arial" w:eastAsia="Arial" w:hAnsi="Arial"/>
          <w:sz w:val="16"/>
          <w:szCs w:val="16"/>
          <w:i w:val="1"/>
          <w:iCs w:val="1"/>
          <w:color w:val="auto"/>
        </w:rPr>
        <w:t xml:space="preserve"> </w:t>
      </w:r>
      <w:r>
        <w:rPr>
          <w:rFonts w:ascii="Arial" w:cs="Arial" w:eastAsia="Arial" w:hAnsi="Arial"/>
          <w:sz w:val="16"/>
          <w:szCs w:val="16"/>
          <w:color w:val="auto"/>
        </w:rPr>
        <w:t>health 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ARRA expanded the application of certain HIPAA privacy and security requirements to apply directly to companies (known as business associates) that provide services to certain healthcare organizations.</w:t>
      </w:r>
    </w:p>
    <w:p>
      <w:pPr>
        <w:spacing w:after="0" w:line="5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Arial" w:cs="Arial" w:eastAsia="Arial" w:hAnsi="Arial"/>
          <w:sz w:val="13"/>
          <w:szCs w:val="13"/>
          <w:color w:val="auto"/>
        </w:rPr>
        <w:t>®</w:t>
      </w:r>
      <w:r>
        <w:rPr>
          <w:rFonts w:ascii="Arial" w:cs="Arial" w:eastAsia="Arial" w:hAnsi="Arial"/>
          <w:sz w:val="16"/>
          <w:szCs w:val="16"/>
          <w:color w:val="auto"/>
        </w:rPr>
        <w:t xml:space="preserve"> and the Pathway to Excellence</w:t>
      </w:r>
      <w:r>
        <w:rPr>
          <w:rFonts w:ascii="Arial" w:cs="Arial" w:eastAsia="Arial" w:hAnsi="Arial"/>
          <w:sz w:val="13"/>
          <w:szCs w:val="13"/>
          <w:color w:val="auto"/>
        </w:rPr>
        <w:t>®</w:t>
      </w:r>
      <w:r>
        <w:rPr>
          <w:rFonts w:ascii="Arial" w:cs="Arial" w:eastAsia="Arial" w:hAnsi="Arial"/>
          <w:sz w:val="16"/>
          <w:szCs w:val="16"/>
          <w:color w:val="auto"/>
        </w:rPr>
        <w:t xml:space="preserve"> Program; and accredit providers of continuing nursing education. In addition, ANCC’s Institute for Credentialing Innovation</w:t>
      </w:r>
      <w:r>
        <w:rPr>
          <w:rFonts w:ascii="Arial" w:cs="Arial" w:eastAsia="Arial" w:hAnsi="Arial"/>
          <w:sz w:val="13"/>
          <w:szCs w:val="13"/>
          <w:color w:val="auto"/>
        </w:rPr>
        <w:t>®</w:t>
      </w:r>
      <w:r>
        <w:rPr>
          <w:rFonts w:ascii="Arial" w:cs="Arial" w:eastAsia="Arial" w:hAnsi="Arial"/>
          <w:sz w:val="16"/>
          <w:szCs w:val="16"/>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Arial" w:cs="Arial" w:eastAsia="Arial" w:hAnsi="Arial"/>
          <w:sz w:val="13"/>
          <w:szCs w:val="13"/>
          <w:color w:val="auto"/>
        </w:rPr>
        <w:t>®</w:t>
      </w:r>
      <w:r>
        <w:rPr>
          <w:rFonts w:ascii="Arial" w:cs="Arial" w:eastAsia="Arial" w:hAnsi="Arial"/>
          <w:sz w:val="16"/>
          <w:szCs w:val="16"/>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the gold standard for nursing excellence. The Pathway to Excellence</w:t>
      </w:r>
      <w:r>
        <w:rPr>
          <w:rFonts w:ascii="Arial" w:cs="Arial" w:eastAsia="Arial" w:hAnsi="Arial"/>
          <w:sz w:val="13"/>
          <w:szCs w:val="13"/>
          <w:color w:val="auto"/>
        </w:rPr>
        <w:t>®</w:t>
      </w:r>
      <w:r>
        <w:rPr>
          <w:rFonts w:ascii="Arial" w:cs="Arial" w:eastAsia="Arial" w:hAnsi="Arial"/>
          <w:sz w:val="16"/>
          <w:szCs w:val="16"/>
          <w:color w:val="auto"/>
        </w:rPr>
        <w:t xml:space="preserve"> Program recognizes the essential elements of an optimal nursing practice environment. The designation is earned by healthcare organizations that create work environments where nurses can flourish. The award substantiates the professional satisfaction of nurses and identifies best places to work.</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board of nursing establishes the state’s CNE requirements for professional nurses. CNE credits are provided through accredited providers that have been approved by the American Nurses Credentialing Center (ANCC) Commission on Accreditation and/or the state board of nursing. CNE requirements vary widely from state to state. Thirty-two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certification of perioperative nursing) also require CNE credits, with certain percentages required in specific categories based on the certification type. We are an accredited provider of CNE by the ANCC.</w:t>
      </w:r>
    </w:p>
    <w:p>
      <w:pPr>
        <w:spacing w:after="0" w:line="7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w:t>
      </w:r>
    </w:p>
    <w:p>
      <w:pPr>
        <w:spacing w:after="0" w:line="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because this has become the benchmark for quality in formally organized educational activities. Most agencies nationwide that require CME 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The 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Centers for Medicare &amp; Medicaid Services (CMS). </w:t>
      </w:r>
      <w:r>
        <w:rPr>
          <w:rFonts w:ascii="Arial" w:cs="Arial" w:eastAsia="Arial" w:hAnsi="Arial"/>
          <w:sz w:val="16"/>
          <w:szCs w:val="16"/>
          <w:color w:val="auto"/>
        </w:rPr>
        <w:t>CMS has articulated a vision for health care quality—</w:t>
      </w:r>
      <w:r>
        <w:rPr>
          <w:rFonts w:ascii="Arial" w:cs="Arial" w:eastAsia="Arial" w:hAnsi="Arial"/>
          <w:sz w:val="16"/>
          <w:szCs w:val="16"/>
          <w:i w:val="1"/>
          <w:iCs w:val="1"/>
          <w:color w:val="auto"/>
        </w:rPr>
        <w:t>the right care for every person every time</w:t>
      </w:r>
      <w:r>
        <w:rPr>
          <w:rFonts w:ascii="Arial" w:cs="Arial" w:eastAsia="Arial" w:hAnsi="Arial"/>
          <w:sz w:val="16"/>
          <w:szCs w:val="16"/>
          <w:color w:val="auto"/>
        </w:rPr>
        <w:t>. To</w:t>
      </w:r>
      <w:r>
        <w:rPr>
          <w:rFonts w:ascii="Arial" w:cs="Arial" w:eastAsia="Arial" w:hAnsi="Arial"/>
          <w:sz w:val="16"/>
          <w:szCs w:val="16"/>
          <w:i w:val="1"/>
          <w:iCs w:val="1"/>
          <w:color w:val="auto"/>
        </w:rPr>
        <w:t xml:space="preserve"> </w:t>
      </w:r>
      <w:r>
        <w:rPr>
          <w:rFonts w:ascii="Arial" w:cs="Arial" w:eastAsia="Arial" w:hAnsi="Arial"/>
          <w:sz w:val="16"/>
          <w:szCs w:val="16"/>
          <w:color w:val="auto"/>
        </w:rPr>
        <w:t>achieve this vision, CMS is committed to care that is safe, effective, timely, patient-centered, efficient, and equitable. Medicare’s current payment systems reward quantity, rather than quality of care, and provide neither incentive nor support to improve quality of care.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w:t>
      </w:r>
    </w:p>
    <w:p>
      <w:pPr>
        <w:spacing w:after="0" w:line="5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Consumer Assessment of Healthcare Providers and Systems (CAHPS). </w:t>
      </w:r>
      <w:r>
        <w:rPr>
          <w:rFonts w:ascii="Arial" w:cs="Arial" w:eastAsia="Arial" w:hAnsi="Arial"/>
          <w:sz w:val="17"/>
          <w:szCs w:val="17"/>
          <w:color w:val="auto"/>
        </w:rPr>
        <w:t>CMS has partnered with AHRQ to develop a standardized survey instrument and data</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Arial" w:cs="Arial" w:eastAsia="Arial" w:hAnsi="Arial"/>
          <w:sz w:val="14"/>
          <w:szCs w:val="14"/>
          <w:color w:val="auto"/>
        </w:rPr>
        <w:t>®</w:t>
      </w:r>
      <w:r>
        <w:rPr>
          <w:rFonts w:ascii="Arial" w:cs="Arial" w:eastAsia="Arial" w:hAnsi="Arial"/>
          <w:sz w:val="17"/>
          <w:szCs w:val="17"/>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Arial" w:cs="Arial" w:eastAsia="Arial" w:hAnsi="Arial"/>
          <w:sz w:val="14"/>
          <w:szCs w:val="14"/>
          <w:color w:val="auto"/>
        </w:rPr>
        <w:t>®</w:t>
      </w:r>
      <w:r>
        <w:rPr>
          <w:rFonts w:ascii="Arial" w:cs="Arial" w:eastAsia="Arial" w:hAnsi="Arial"/>
          <w:sz w:val="17"/>
          <w:szCs w:val="17"/>
          <w:color w:val="auto"/>
        </w:rPr>
        <w:t xml:space="preserve"> Hospital Survey services. In addition, we are a certified vendor approved to offer CAHPS</w:t>
      </w:r>
      <w:r>
        <w:rPr>
          <w:rFonts w:ascii="Arial" w:cs="Arial" w:eastAsia="Arial" w:hAnsi="Arial"/>
          <w:sz w:val="14"/>
          <w:szCs w:val="14"/>
          <w:color w:val="auto"/>
        </w:rPr>
        <w:t>®</w:t>
      </w:r>
      <w:r>
        <w:rPr>
          <w:rFonts w:ascii="Arial" w:cs="Arial" w:eastAsia="Arial" w:hAnsi="Arial"/>
          <w:sz w:val="17"/>
          <w:szCs w:val="17"/>
          <w:color w:val="auto"/>
        </w:rPr>
        <w:t xml:space="preserve"> Home Health Care Survey used to measure the experiences of people receiving home health care from Medicare-certified home health agencies.</w:t>
      </w:r>
    </w:p>
    <w:p>
      <w:pPr>
        <w:spacing w:after="0" w:line="7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Medicare and Medicaid EHR Incentive Programs. </w:t>
      </w:r>
      <w:r>
        <w:rPr>
          <w:rFonts w:ascii="Arial" w:cs="Arial" w:eastAsia="Arial" w:hAnsi="Arial"/>
          <w:sz w:val="16"/>
          <w:szCs w:val="16"/>
          <w:color w:val="auto"/>
        </w:rPr>
        <w:t>The Medicare and Medicaid EHR Incentive Programs will provide incentive payments to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professionals, eligible hospitals and critical access hospitals (CAHs) as they adopt, implement, upgrade or demonstrate meaningful use of certified EHR technology. The Medicare and Medicaid EHR Incentive Programs provide a financial incentive for the “meaningful use” of certified EHR technology to achieve health and efficiency goals. By putting into action and meaningfully using an EHR system, providers will reap benefits beyond financial incentives— such as reduction in errors, availability of records and data, reminders and alerts, clinical decision support, and e-prescribing/refill automation.</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In January 2009, the PhRMA code of ethics was updated, and AdvaMed made changes to its code of ethics that became effective in July 2009. These changes placed further restrictions on the interactions between industry and health care professionals.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Reconciliation Act of 2010 (collectively, ACA) became law. ACA requires manufacturers of drugs and devices to annually report to the Department of Health and Human Services anything of value, including educational programs, given by such manufacturers to physicians beginning March 31, 2013. It is difficult to predict the impact of this provision of ACA on us due to lack of implementing regulations or interpretive guidance, gradual and potentially delayed implementation of the requirement, and, pending court challenges and possible amendment or repeal of the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 Regulations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likely that we will be required to comply with Section 404(b) of the Sarbanes-Oxley Act in the calendar year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 protect our proprietary rights, we rely generally on copyright, trademark and trade secret laws, confidentiality agreements and procedures with employees, consultants and other third parties, license agreements with consultants, vendors and customers, and control access to our software, documentation and other proprietary information. We own Federal trademark and service mark registrations for the marks “HEALTHSTREAM”, “HOSPITAL DIRECT”, “OR PROTOCOL”, “INSIGHT INTO ACTION”, and “QUALITY CHECK.” We have also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or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8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If a third party asserts a claim that we have infringed its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December 31, 2010, we employed 356 full-time and 76 part-time persons, including approximately 127 employees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74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A. Frist, Jr.</w:t>
            </w:r>
          </w:p>
        </w:tc>
        <w:tc>
          <w:tcPr>
            <w:tcW w:w="340" w:type="dxa"/>
            <w:vAlign w:val="bottom"/>
          </w:tcPr>
          <w:p>
            <w:pPr>
              <w:spacing w:after="0"/>
              <w:rPr>
                <w:sz w:val="16"/>
                <w:szCs w:val="16"/>
                <w:color w:val="auto"/>
              </w:rPr>
            </w:pPr>
          </w:p>
        </w:tc>
        <w:tc>
          <w:tcPr>
            <w:tcW w:w="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43</w:t>
            </w:r>
          </w:p>
        </w:tc>
        <w:tc>
          <w:tcPr>
            <w:tcW w:w="340" w:type="dxa"/>
            <w:vAlign w:val="bottom"/>
          </w:tcPr>
          <w:p>
            <w:pPr>
              <w:spacing w:after="0"/>
              <w:rPr>
                <w:sz w:val="16"/>
                <w:szCs w:val="16"/>
                <w:color w:val="auto"/>
              </w:rPr>
            </w:pPr>
          </w:p>
        </w:tc>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Chief Executive Officer, President and Chairman of the Board of Directors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Jeffrey S. Doster</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46</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Senior Vice President and Chief Technology Officer</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Gerard M. Hayden, Jr.</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56</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Arthur E. Newman</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62</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 Edward Pearson</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48</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Senior Vice President and President of HealthStream Research</w:t>
            </w:r>
            <w:r>
              <w:rPr>
                <w:rFonts w:ascii="Arial" w:cs="Arial" w:eastAsia="Arial" w:hAnsi="Arial"/>
                <w:sz w:val="15"/>
                <w:szCs w:val="15"/>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Kevin P. O’Hara</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41</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Senior Vice President, General Counsel, and Compliance Officer</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Michael Sousa</w:t>
            </w:r>
          </w:p>
        </w:tc>
        <w:tc>
          <w:tcPr>
            <w:tcW w:w="12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42</w:t>
            </w: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Senior Vice President</w:t>
            </w:r>
          </w:p>
        </w:tc>
      </w:tr>
    </w:tbl>
    <w:p>
      <w:pPr>
        <w:spacing w:after="0" w:line="9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Robert A. Frist, Jr., one of our co-founders, has served as our chief executive officer and chairman of the board of directors since 1990 and president since 2001. Mr. Frist is the company’s chief operating decision maker, and has primary responsibility and oversight of HealthStream Learning. He graduated with a Bachelor of Science in business with concentrations in finance, economics and marketing from Trinity University.</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From November 2006 to May 2008, he served as principal at The Altus Group LLC, a business consulting company. From March 2005 to October 2006, he served as senior vice president and chief technology officer at The Shop at Home Network, LLC, a television shopping company. From October 2000 to April 2004, he served as senior vice president of information technology at New Roads, Inc., a provider of fulfillment and other services to retailers. He earned undergraduate degrees in both Economics and Business Administration from Towson University, as well as a Master of Business Administration from Loyola College, in Maryland.</w:t>
      </w:r>
    </w:p>
    <w:p>
      <w:pPr>
        <w:spacing w:after="0" w:line="5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Gerard M. Hayden, Jr. joined the Company as senior vice president and chief financial officer in May 2008. From April 2007 to May 2008, he served as executive vice president and chief financial officer of MedAvant Healthcare Solutions, a healthcare transaction processing company. From January 2005 to April 2007, he was a consultant for various healthcare, technology and other business ventures. From November 2001 to January 2005, he served as chief financial officer for Private Business, Inc., a company offering marketing and software solutions to regional and community banks in the United States. He earned a Bachelor of Arts from the University of Notre Dame and a Master of Science from Northeastern University. Mr. Hayden served on the Company’s Board of Directors and was a member of the Audit Committee from September 2006 to May 2008.</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w:t>
      </w:r>
      <w:r>
        <w:rPr>
          <w:rFonts w:ascii="Arial" w:cs="Arial" w:eastAsia="Arial" w:hAnsi="Arial"/>
          <w:sz w:val="15"/>
          <w:szCs w:val="15"/>
          <w:color w:val="auto"/>
        </w:rPr>
        <w:t>™</w:t>
      </w:r>
      <w:r>
        <w:rPr>
          <w:rFonts w:ascii="Arial" w:cs="Arial" w:eastAsia="Arial" w:hAnsi="Arial"/>
          <w:sz w:val="18"/>
          <w:szCs w:val="18"/>
          <w:color w:val="auto"/>
        </w:rPr>
        <w:t xml:space="preserve"> during 2007. From June 2003 to June 2006, he served as president and chief executive officer of DigiScript, an Internet-based training and communication solutions provider for the life sciences industry. He earned a Bachelor of Business Administration in accounting from Middle Tennessee State University.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Kevin P. O’Hara joined the company in January 2002, and was promoted to senior vice president and general counsel in February 2007. He assumed compliance officer responsibilities during August 2007. He previously served as vice president for the company. He earned a Bachelor of Arts degree and a J.D. from Vanderbilt University.</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Michael Sousa joined the company in October 2004, and was promoted to senior vice president in January 2010. He previously served as vice president for the Company, with responsibilities for our strategic accounts program within HealthStream Learning. He earned a Bachelor of Science degree from Boston College and a Master of Business Administration from Boston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73" w:lineRule="exact"/>
        <w:rPr>
          <w:sz w:val="20"/>
          <w:szCs w:val="20"/>
          <w:color w:val="auto"/>
        </w:rPr>
      </w:pPr>
    </w:p>
    <w:p>
      <w:pPr>
        <w:ind w:left="660" w:right="400" w:hanging="314"/>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expenses, delays and difficulties of identifying and developing new products or services and integrating such new products or services into our existing organization;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leverage our operational and financial systems sufficiently to support our growth;</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 from new products to offset investment costs;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effectively identify, manage and exploit existing and emerging market opportunities;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inability to maintain our existing customer relationships;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increased competition from new and existing competitors;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lengthy sales cycles, or customers delaying purchasing decisions due to economic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reduced spending within the training, information and education departments of hospitals within our target market;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failure of the market for training, information and education in the healthcare industry to grow to a sufficient size or at a sufficient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and our competitive position in the industry, could suffer.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effectively identify, complete or integrate the operations of future acquisitions, joint ventures or other growth investments.</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part of our growth strategy, we actively review possible acquisitions, joint ventures or growth investments that complement or enhance our business. We may not be able to identify, complete or integrate the operations of future acquisitions, joint ventures or other growth investments. In addition, if we finance acquisitions, joint ventures or other growth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or growth investment strategies include:</w:t>
      </w:r>
    </w:p>
    <w:p>
      <w:pPr>
        <w:spacing w:after="0" w:line="50" w:lineRule="exact"/>
        <w:rPr>
          <w:sz w:val="20"/>
          <w:szCs w:val="20"/>
          <w:color w:val="auto"/>
        </w:rPr>
      </w:pPr>
    </w:p>
    <w:p>
      <w:pPr>
        <w:ind w:left="660" w:right="20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expenses, delays or difficulties in identifying and integrating acquired companies or joint venture operations or other growth investments into our organization;</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retain personnel associated with acquisitions, joint ventures, or other growth investments;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initiatives to effectively execute our growth strategy; and</w:t>
      </w:r>
    </w:p>
    <w:p>
      <w:pPr>
        <w:spacing w:after="0" w:line="130"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 profit, and cash flow from acquisitions, joint ventures, or other growth investments to offset our investment costs.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for certain products and services may be hindered by customer scheduling.</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sample size, and timing of survey cycles can vary from quarter to quarter and year to year.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may be affected by lengthy and widely varying sales cycles.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period from our initial contact with a potential customer and the first purchase of our solution by the customer typically ranges from three to nine months, and in some cases has extended much further. The range in the sales cycle can be impacted by multiple factors, including an increasing trend towards more formal request for proposal (RFP) processes and more competition within our industry, as well as formal budget timelines which impact timing of purchases by target customers. New products tend to have a longer and more unpredictable revenue ramp period. Also, the contract structure for some Research products gives customers latitude about when to initiate a survey, which can affect quarterly or annual revenue forecasts. As a result of these factors, we have only limited ability to forecast the timing and type of initial sales. This, in turn, makes it more difficult to forecast quarterly and annual financial performance.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training and talent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enable customers to more easily shift to one of our competitors.</w:t>
      </w:r>
    </w:p>
    <w:p>
      <w:pPr>
        <w:spacing w:after="0" w:line="16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have entered into contracts with other companies,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of using alternative products being developed and marketed by them or our competitors.</w:t>
      </w:r>
    </w:p>
    <w:p>
      <w:pPr>
        <w:spacing w:after="0" w:line="7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can not guarantee that we will be able to strengthen our relationships with strategic partners or that such relationships will be successful in generating additional revenue. If any of these strategic partners are unsuccessful in their involvement with our products and services, or seek to amend the financial or other terms of the contracts we have with them, we will need to broaden our efforts to increase focus on the solutions they sell and alter our development, integration, and/or distribution strategies, which may divert our planned efforts and resources from other projects.</w:t>
      </w:r>
    </w:p>
    <w:p>
      <w:pPr>
        <w:spacing w:after="0" w:line="6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Lastly, we could be subject to claims and liability, as a result of the activities, products, or services of these strategic partners. Even if these claims do not result in liability to us, investigating and defending these claims could be expensive, time-consuming and result in adverse publicity that could harm our business.</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retain proper distribution rights from our content partners, and this could affect projected growth in courseware subscription revenue.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w:t>
      </w:r>
    </w:p>
    <w:p>
      <w:pPr>
        <w:sectPr>
          <w:pgSz w:w="11900" w:h="16838" w:orient="portrait"/>
          <w:cols w:equalWidth="0" w:num="1">
            <w:col w:w="11420"/>
          </w:cols>
          <w:pgMar w:left="240" w:top="419" w:right="239"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79" w:lineRule="auto"/>
        <w:rPr>
          <w:sz w:val="20"/>
          <w:szCs w:val="20"/>
          <w:color w:val="auto"/>
        </w:rPr>
      </w:pPr>
      <w:r>
        <w:rPr>
          <w:rFonts w:ascii="Arial" w:cs="Arial" w:eastAsia="Arial" w:hAnsi="Arial"/>
          <w:sz w:val="17"/>
          <w:szCs w:val="17"/>
          <w:color w:val="auto"/>
        </w:rPr>
        <w:t>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expect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and we are not able to accurately predict the volume or speed with which old and new customers will adopt such new methodology.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our core software platforms. While all new products and services are subject to testing and quality control, all software is subject to error.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by new or existing customers, we may not be able to recover the cost of this development and our financial performance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licensed third party technology components in some of our products. Future licenses to this technology may not be available to us on commercially reasonable terms, or at all. The loss of or inability to obtain or maintain any of these licenses could result in delays in the introduction of new products and services or could force us to discontinue offering portions of our learning management or survey and research solutions until equivalent technology, if available, is identified, licensed and integrated. The operation of our products would be impaired if errors occur in the third party technology or content that we incorporate, and we may incur additional costs to repair or replace the defective software. It may be difficult for us to correct any errors in third party software because the software is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derive a substantial portion of our revenues from a relatively small number of customers. A termination of our agreements with our significant customers or a failure of these customers to renew their contracts on favorable terms, or at all, would have a material adverse effect on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1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the year ended December 31, 2010, approximately 65 percent of our net revenue was derived from our Internet-based subscription products. Our Internet-based HLC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During the year ended December 31, 2010, we renewed 101% of the annual HLC contract value up for renewal and 100% of the subscribers which were up for renewal. Because a significant portion of our customer contracts have only renewed three or fewer times, we do not have sufficient historical data to accurately predict future customer renewal rates. Our customers’ renewal rates may decline or fluctuate as a result of a number of factors, including but not limited to their dissatisfaction with our service, pricing or competitive product offerings. If we are unable to renew a substantial portion of the contracts that are up for renewal or maintain our pricing, our revenue could be adversely affected, which would have a material adverse affect on our results of operations and financial position. HealthStream Research product and service contracts typically range from one to three years in length, and customers are not obligated to renew their contract with us after their contract expires. Because Research customers have only renewed three or fewer times we do not have sufficient historical data to accurately predict customer renewal rates. If our customers do not renew their arrangements for our services, or if their activity levels decline, our revenue may decline and our business will suffer.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ability to recognize revenue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 will be delayed, which could adversely impact our operating results. In addition, completion and acceptance by our customers of developed content and courseware must be achieved, survey responses must be received and tabulated, and utilization of courseware is required in connection with subscription Internet-based learning products for us to recognize revenue.</w:t>
      </w:r>
    </w:p>
    <w:p>
      <w:pPr>
        <w:spacing w:after="0" w:line="1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recognize approximately 65 percent of our revenue from customers monthly over the terms of their subscription agreements, which have initial contract terms ranging from one to three years, although terms can range from less than one to up to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sales are incurred up front, and therefore unexpected successes in platform and courseware sales may increase our costs in the near term negatively affecting our financial performance.</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expect our current cash reserves, revolving credit facility, and results of operations to be sufficient to meet our cash requirements through at least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additional funds in order to:</w:t>
      </w:r>
    </w:p>
    <w:p>
      <w:pPr>
        <w:spacing w:after="0" w:line="103"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new, or enhance existing, services or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respond to competitive pressures;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finance working capital requirements;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acquire complementary businesses, technology, content or products, or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otherwise effectively execute our growth strategy.</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December 31, 2010, we had approximately $23.6 million in unrestricted cash, cash equivalents, investments in marketable securities and related interest receivable. We also have up to $15.0 million of availability under a revolving credit facility, subject to certain covenants, which expires in July 2011. We expect to incur approximately $6.0 million of capital expenditures, software feature enhancements and content purchases during 2011 to support our business. We continue to actively review possible business acquisitions that would complement or enhance our products and services. We may not have adequate cash and investments or availability under our revolving credit facility to consummate one or more of these acquisitions. The capital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2010, our balance sheet included goodwill of $21.1 million and identifiable intangible assets of $2.8 million. Economic, legal, regulatory, competitive, contractual, and other factors could result in future declines in the operating results of our business units or market value declines that do not support the carrying value of goodwill and identifiable intangible assets. If any of these factors impair the value of these assets, accounting rules require us to reduce their carrying value and report an impairment charge, which would reduce our reported assets and earnings for the period in which an impairment is recognized.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market price of our common stock is likely to be volatile and could be subject to significant fluctuations in response to factors such as the following, many of which are beyond our control: quarterly variations in our operating results; operating results that vary from the expectations of securities analysts and investors; changes in expectations regarding our future financial performance; changes in market valuations of other online service companies; future sales of our common stock; stock market price and volume</w:t>
      </w:r>
    </w:p>
    <w:p>
      <w:pPr>
        <w:sectPr>
          <w:pgSz w:w="11900" w:h="16838" w:orient="portrait"/>
          <w:cols w:equalWidth="0" w:num="1">
            <w:col w:w="11400"/>
          </w:cols>
          <w:pgMar w:left="240" w:top="419" w:right="25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fluctuations; general political and economic conditions, such as a recession or war or terrorist attacks or interest rate or currency rate fluctuations; and other risk factors described in this Annual Report on Form 10-K. Moreover, our stock is thinly traded, and we have a relatively small public float. These factors may adversely affect the market price of our common stock. In addition, the market prices for stocks of many Internet related and technology companies have historically experienced significant price fluctuations that in some cases appear to bear no relationship to the operating performance of these companies.</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6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Sarbanes-Oxley Section 404 requires our management to report on, and may require our independent public accounting firm to attest to, the effectiveness of our internal controls over financial reporting. It is likely that we will be required to comply with the reporting requirements under Sarbanes-Oxley Section 404(b) in the 2011 calendar year since the Company’s public float currently exceeds the $75 million threshold for becoming an accelerated filer.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62"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Over the past few years we have implemented several changes, and 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4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provided our online products and services since 1999 and continue to develop our ability to provide our courseware, learning management systems, and research systems on both a subscription and transactional basis over the Internet. Our future success will depend on our ability to effectively develop and maintain the infrastructure, including additional hardware and software, and implement the services, including customer support, necessary to meet the demand for our services. Our inability from time to time to successfully develop the necessary systems and implement the necessary services on a timely basis has resulted in our customers experiencing some delays or interruptions in their service. Such delays or interruptions may cause customers to become dissatisfied with our service and move to competing providers of traditional and online training and education services. If this happens, our revenue could be adversely affected, which would have a material adverse effect on our financial condition.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upgrade our hardware and software technology infrastructure quickly enough to effectively meet demand for our services.</w:t>
      </w:r>
    </w:p>
    <w:p>
      <w:pPr>
        <w:spacing w:after="0" w:line="14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must continue to obtain reasonably priced, commercially available hardware and operating software as well as continue to enhance our software to accommodate the increased use of our platform and increased courseware in our library. In order to make timely decisions about hardware and software enhancements, we must be able to accurately forecast the growth in demand for our services. This growth in demand for our services is difficult to forecast and the potential audience for our services is large.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An unexpected event including but not limited to a telecommunications failure, fire, earthquake, or other catastrophic loss at our Internet service providers’ facilities or at our on-site data facility could cause the loss of critical data and prevent us from offering our products and services for an unknown period of time.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 if our security measures fail.</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the security measures that we use to protect customer or personal information are ineffective, we may lose users of our services, which could reduce our revenue.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experience errors in our software products that administer and report on hospital performance, and these errors could result in action taken against us that could harm our business.</w:t>
      </w:r>
    </w:p>
    <w:p>
      <w:pPr>
        <w:spacing w:after="0" w:line="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Certain survey data collected and reported by us, such as the survey data included as part of our CAHPS</w:t>
      </w:r>
      <w:r>
        <w:rPr>
          <w:rFonts w:ascii="Arial" w:cs="Arial" w:eastAsia="Arial" w:hAnsi="Arial"/>
          <w:sz w:val="15"/>
          <w:szCs w:val="15"/>
          <w:color w:val="auto"/>
        </w:rPr>
        <w:t>®</w:t>
      </w:r>
      <w:r>
        <w:rPr>
          <w:rFonts w:ascii="Arial" w:cs="Arial" w:eastAsia="Arial" w:hAnsi="Arial"/>
          <w:sz w:val="18"/>
          <w:szCs w:val="18"/>
          <w:color w:val="auto"/>
        </w:rPr>
        <w:t xml:space="preserve"> Hospital survey is used by the Centers for Medicare and Medicaid Services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which result in incorrect scoring on our hospital customer may result in damage to that hospital’s reputation, and the hospital may in turn bring litigation against us. We may be required to indemnify against such claims, and defending against any such claims could be costly and time consuming and could negatively affect our business.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56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Content and Intellectual Property </w:t>
      </w:r>
      <w:r>
        <w:rPr>
          <w:rFonts w:ascii="Arial" w:cs="Arial" w:eastAsia="Arial" w:hAnsi="Arial"/>
          <w:sz w:val="16"/>
          <w:szCs w:val="16"/>
          <w:b w:val="1"/>
          <w:bCs w:val="1"/>
          <w:i w:val="1"/>
          <w:iCs w:val="1"/>
          <w:color w:val="auto"/>
        </w:rPr>
        <w:t>Government regulation may require us to change the way we do business.</w:t>
      </w:r>
    </w:p>
    <w:p>
      <w:pPr>
        <w:spacing w:after="0" w:line="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laws and regulations that govern our business change rapidly. Evolving areas of law that are relevant to our business include privacy and security laws, proposed encryption laws, content regulation, information security accountability regulation, and sales and use tax laws and regulations and attempts to regulate activities on the Internet. Because of this rapidly evolving and uncertain regulatory environment, we cannot predict how these laws and regulations might affect our business. These uncertainties make it difficult to ensure compliance with the laws and regulations governing or impacting our business.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In addition, ARRA recently expanded the application of certain of the HIPAA privacy and security regulations to apply directly to business associates including us. Violations of HIPAA privacy and security regulations may result in civil and criminal penalties. Further, ARRA has increased these penalties and strengthened other enforcement provisions of HIPAA, which may result in increased enforcement activity. See “Business — Government Regulation of the Internet and the Healthcare Industry” for a more complete discussion of these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certification to conduct CMS mandated surveys, and this could adversely affect our business.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survey product offerings include providing survey services to assist customers in their compliance with CMS regulations. We are currently designated by CMS as a certified vendor to offer CAHPS</w:t>
      </w:r>
      <w:r>
        <w:rPr>
          <w:rFonts w:ascii="Arial" w:cs="Arial" w:eastAsia="Arial" w:hAnsi="Arial"/>
          <w:sz w:val="15"/>
          <w:szCs w:val="15"/>
          <w:color w:val="auto"/>
        </w:rPr>
        <w:t>®</w:t>
      </w:r>
      <w:r>
        <w:rPr>
          <w:rFonts w:ascii="Arial" w:cs="Arial" w:eastAsia="Arial" w:hAnsi="Arial"/>
          <w:sz w:val="18"/>
          <w:szCs w:val="18"/>
          <w:color w:val="auto"/>
        </w:rPr>
        <w:t xml:space="preserve"> Hospital Surveys and CAHPS</w:t>
      </w:r>
      <w:r>
        <w:rPr>
          <w:rFonts w:ascii="Arial" w:cs="Arial" w:eastAsia="Arial" w:hAnsi="Arial"/>
          <w:sz w:val="15"/>
          <w:szCs w:val="15"/>
          <w:color w:val="auto"/>
        </w:rPr>
        <w:t>®</w:t>
      </w:r>
      <w:r>
        <w:rPr>
          <w:rFonts w:ascii="Arial" w:cs="Arial" w:eastAsia="Arial" w:hAnsi="Arial"/>
          <w:sz w:val="18"/>
          <w:szCs w:val="18"/>
          <w:color w:val="auto"/>
        </w:rPr>
        <w:t xml:space="preserve"> Home Health Care Surveys, including data collection and submission services. If we are unable to maintain these certifications, or secure certifications for future CMS mandated surveys, we would not be able to administer these survey instruments for our customers and our business may suffer.</w:t>
      </w:r>
    </w:p>
    <w:p>
      <w:pPr>
        <w:spacing w:after="0" w:line="187" w:lineRule="exact"/>
        <w:rPr>
          <w:sz w:val="20"/>
          <w:szCs w:val="20"/>
          <w:color w:val="auto"/>
        </w:rPr>
      </w:pPr>
    </w:p>
    <w:p>
      <w:pPr>
        <w:ind w:right="4160"/>
        <w:spacing w:after="0" w:line="375" w:lineRule="auto"/>
        <w:rPr>
          <w:sz w:val="20"/>
          <w:szCs w:val="20"/>
          <w:color w:val="auto"/>
        </w:rPr>
      </w:pPr>
      <w:r>
        <w:rPr>
          <w:rFonts w:ascii="Arial" w:cs="Arial" w:eastAsia="Arial" w:hAnsi="Arial"/>
          <w:sz w:val="18"/>
          <w:szCs w:val="18"/>
          <w:b w:val="1"/>
          <w:bCs w:val="1"/>
          <w:i w:val="1"/>
          <w:iCs w:val="1"/>
          <w:color w:val="auto"/>
        </w:rPr>
        <w:t>Any reduction or change in the regulation of continuing education and training in the healthcare industry may adversely affect our business.</w:t>
      </w:r>
    </w:p>
    <w:p>
      <w:pPr>
        <w:spacing w:after="0" w:line="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government and industry standards and regulations regarding pharmaceutical and medical device customers could negatively affect our business in these areas.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2003, the OIG issued “OIG Compliance Program Guidance for Pharmaceutical Manufacturers.” In July 1999, the OIG issued “Compliance Program Guidance for the Durable Medical Equipment, Prosthetics, Orthotics and Supply Industry.” These guidelines collectively identify three areas of risks for pharmaceutical and medical device companies and recommend certain best practices to be included in a compliance plan designed to avoid the risk of federal healthcare program abuse. The guidance highlighted a number of arrangements that have the potential to trigger fraud and abuse violations, including educational grants. In April 2007, the U.S. Senate Finance Committee released a report critical of practices related to the funding of educational programs by pharmaceutical manufacturers. In March 2010, ACA became law. As enacted, ACA will change how health care services are covered, delivered, and reimbursed. ACA includes requirement that manufacturers of drugs and medical devices to annually report to HHS anything of value, including educational programs given by such manufacturers to physicians, beginning March 31, 2013. It is unclear how this requirement may change the behavior of our pharmaceutical and medical device customers, but should our customers choose to discontinue providing such education programs to physicians, our business may be negatively impacted. ACA is currently subject to a number of court challenges and appeals. It is unclear how they will be resolved. Further, Congress is considering bills that would repeal or revise ACA.</w:t>
      </w:r>
    </w:p>
    <w:p>
      <w:pPr>
        <w:spacing w:after="0" w:line="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follows the rules and guidelines provided by the ACCME, ANCC and other continuing education accrediting bodies to ensure that its continuing education programming is free from commercial bias and consistent with the OIG guidance. The 2009 changes to the codes of ethics of the pharmaceutical and medical device trade associations place further restrictions on interactions between pharmaceutical and medical device manufacturers and health care professionals. The majority of the Company’s accredited continuing education programming is funded by educational grants from our pharmaceutical and medical device customers. There is no assurance that our pharmaceutical and medical device customers will continue to provide educational grants consistent with past practices. In fact, we have experienced a reduction in live event activities we provide that are supported by pharmaceutical and medical device companies. To the extent that our customers continue to curtail or restructure their business practices, our business with this customer base may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w:t>
      </w:r>
    </w:p>
    <w:p>
      <w:pPr>
        <w:sectPr>
          <w:pgSz w:w="11900" w:h="16838" w:orient="portrait"/>
          <w:cols w:equalWidth="0" w:num="1">
            <w:col w:w="11400"/>
          </w:cols>
          <w:pgMar w:left="240" w:top="419" w:right="25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 See “Business — Intellectual Property and Other Proprietary Rights” for a more complete discussion of the potential effects of this liability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protection of certain proprietary rights, a third-party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any breach. In addition, the laws of some foreign countries do not protect our proprietary rights to the same extent as the laws of the United States, and effective intellectual property protection may not be available in those jurisdictions. We currently own several trademarks and domain names.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 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1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patents, intellectual property or other proprietary rights of third parties, which could be time consuming and costly.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 See “Business-Intellectual Property and Other Proprietary Rights” for a more complete discussion of the potential effects of this liability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principal office is located in Nashville, Tennessee. Our lease for approximately 50,000 square feet at this location expires in April 2017. The lease provides for a two-year renewal option with rates increasing during the renewal period. Rent at this location is currently approximately $58,000 per month through April 2012, $61,000 per month from May 2012 through April 2014, $62,000 per month from May 2014 through April 2015, and $65,000 per month from May 2015 through April 2017.</w:t>
      </w:r>
    </w:p>
    <w:p>
      <w:pPr>
        <w:spacing w:after="0" w:line="7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leasing approximately 19,000 square feet of office space in Laurel, Maryland. The lease expires in March 2012 and provides for two renewal options for two years each. Rent at this location is approximately $32,000 per month, with annual rental increases of approximately three percent.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(Removed and Reserved)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Market under the ticker symbol HSTM: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Common Stock Price</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Low</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Second Quarter</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Fourth Quarter</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bl>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4, 2011, there were 125 registered holders and approximately 4,822 beneficial holders of our common stock. Because many of such shares are held by brokers and other institutions on behalf of shareholders, we are unable to estimate the total number of shareholders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to finance the expansion of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2005,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2005 (for our stock and the indices) and reinvestment of all dividends).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5"/>
          <w:szCs w:val="15"/>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5017135" cy="2470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1713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20" w:right="2480" w:hanging="5612"/>
        <w:spacing w:after="0" w:line="481" w:lineRule="auto"/>
        <w:tabs>
          <w:tab w:leader="none" w:pos="4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invested on 12/31/2005 in stock or index-including reinvestment of dividends. Fiscal year ending December 31.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since 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common stock purchases by the Company during the quarter ended December 31,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5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HealthStream acquired The Jackson Organization, Research Consultants, Inc. (TJO) on March 12, 2007. TJO’s results of operations are included within our consolidated statement of operations effective March 13, 2007. As a result of this acquisition, the annual results presented below are not comparable. Revenues may be subject to fluctuations as discussed further in “Management’s Discussion and Analysis of Financial Condition and Results of Operations” located elsewhere in this report. During 2010, we recorded a tax provision of approximately $2.9 million. During 2009, 2008, and 2007 we recognized portions of our deferred tax assets through the reversal of the valuation allowance, resulting in deferred income tax benefits of approximately $9.1 million, $375,000, and $2.0 million, respectively. As a result of these factors, the annual results presented below are not comparable. The operating results for any single year are not necessarily indicative of the results to be expected in the future.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5"/>
              </w:rPr>
              <w:t>Year Ended December 31,</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7"/>
          </w:tcPr>
          <w:p>
            <w:pPr>
              <w:jc w:val="right"/>
              <w:spacing w:after="0" w:line="149" w:lineRule="exact"/>
              <w:rPr>
                <w:sz w:val="20"/>
                <w:szCs w:val="20"/>
                <w:color w:val="auto"/>
              </w:rPr>
            </w:pPr>
            <w:r>
              <w:rPr>
                <w:rFonts w:ascii="Arial" w:cs="Arial" w:eastAsia="Arial" w:hAnsi="Arial"/>
                <w:sz w:val="14"/>
                <w:szCs w:val="14"/>
                <w:b w:val="1"/>
                <w:bCs w:val="1"/>
                <w:color w:val="auto"/>
              </w:rPr>
              <w:t>(in thousands, except per share data)</w:t>
            </w: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 net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65,754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57,398</w:t>
            </w:r>
          </w:p>
        </w:tc>
        <w:tc>
          <w:tcPr>
            <w:tcW w:w="1900" w:type="dxa"/>
            <w:vAlign w:val="bottom"/>
            <w:gridSpan w:val="4"/>
          </w:tcPr>
          <w:p>
            <w:pPr>
              <w:jc w:val="right"/>
              <w:ind w:right="660"/>
              <w:spacing w:after="0"/>
              <w:rPr>
                <w:sz w:val="20"/>
                <w:szCs w:val="20"/>
                <w:color w:val="auto"/>
              </w:rPr>
            </w:pPr>
            <w:r>
              <w:rPr>
                <w:rFonts w:ascii="Arial" w:cs="Arial" w:eastAsia="Arial" w:hAnsi="Arial"/>
                <w:sz w:val="18"/>
                <w:szCs w:val="18"/>
                <w:color w:val="auto"/>
              </w:rPr>
              <w:t>$ 51,600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43,949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97"/>
              </w:rPr>
              <w:t>Cost of revenues (excluding depreciation and amortization)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24,191</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21,344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19,654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16,162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6,989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Sales, marketing, general and administrative expenses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22,635</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19,508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18,972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17,060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4,880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58,695</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52,276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49,118</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42,033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7,059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5,122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2,482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7,038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2,884</w:t>
            </w: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(8,865)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13,972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21,767</w:t>
            </w: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21,458</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21,707</w:t>
            </w:r>
          </w:p>
        </w:tc>
        <w:tc>
          <w:tcPr>
            <w:tcW w:w="14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21,999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22,488</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21,838</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22,204</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22,701</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24"/>
                <w:szCs w:val="2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December 31,</w:t>
            </w:r>
          </w:p>
        </w:tc>
        <w:tc>
          <w:tcPr>
            <w:tcW w:w="140" w:type="dxa"/>
            <w:vAlign w:val="bottom"/>
          </w:tcPr>
          <w:p>
            <w:pPr>
              <w:spacing w:after="0"/>
              <w:rPr>
                <w:sz w:val="24"/>
                <w:szCs w:val="2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ind w:left="420"/>
              <w:spacing w:after="0"/>
              <w:rPr>
                <w:sz w:val="20"/>
                <w:szCs w:val="20"/>
                <w:color w:val="auto"/>
              </w:rPr>
            </w:pPr>
            <w:r>
              <w:rPr>
                <w:rFonts w:ascii="Arial" w:cs="Arial" w:eastAsia="Arial" w:hAnsi="Arial"/>
                <w:sz w:val="13"/>
                <w:szCs w:val="13"/>
                <w:b w:val="1"/>
                <w:bCs w:val="1"/>
                <w:color w:val="auto"/>
                <w:w w:val="75"/>
              </w:rPr>
              <w:t>(in</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17,868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12,287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3,599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 — short term</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5,703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23,991</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24,938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25,885</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26,851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19,524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10,714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w w:val="94"/>
              </w:rPr>
              <w:t>82,011</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71,002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52,797</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53,361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16,740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12,234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10,202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4"/>
              </w:rPr>
              <w:t>56,790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51,821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36,763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35,714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29,634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4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following discussion provides an overview of our history together with a summary of our critical accounting policies and estimates. Our critical accounting policies and estimates include revenue recognition, income taxes, product development costs and related capitalization, impairment of goodwill, intangibles and other long-lived assets, allowance for doubtful accounts, accrual for service credits, stock based compensation, and nonmonetary exchanges.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authoring tools, courseware subscriptions, online training and content development, online sales training courses, live events,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Revenues for the year ended December 31, 2010 were approximately $65.8 million compared to $57.4 million for the year ended December 31, 2009, an increase of 14.6%. Operating income increased by 37.8% to $7.1 million for 2010 compared to $5.1 million for 2009. Net income was approximately $4.2 million for 2010, compared to $14.0 million for 2009. Net income per diluted share was $0.18 per share for 2010 compared to $0.64 per diluted share for 2009. Net income for 2010 includes an income tax provision of $2.9 million, or $0.13 per diluted share, while net income for 2009 included an income tax benefit of $8.9 million, or $0.41 per diluted share. Revenues from HealthStream Learning grew by 18.4%, or $7.0 million, and revenues from HealthStream Research grew by 7.0%, or $1.3 million. We had approximately 2,450,000 contracted subscribers, of which approximately 2,250,000 were fully implemented subscribers on our Internet-based HLC platform at December 31, 2010, representing over 2,500 hospitals in the United States. During 2010, we renewed approximately 900,000 HLC subscribers, representing a 100% renewal rate for the subscribers up for renewal, and a 101% renewal rate based on the annual contract value up for renewal. As of December 31, 2010 our cash and investment balances approximated $23.6 million, and we maintained full availability under our $15.0 million revolving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recognize revenues from our Internet-based learning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 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Revenues from survey and research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Revenues from content maintenance and development services are recognized using a percentage of completion method based on labor hours, which correspond to the completion of performance milestones and deliverables. Sales of products and services to pharmaceutical and medical device companies can be subject to seasonal factors as a result of meeting and conference dates for such companies.</w:t>
      </w:r>
    </w:p>
    <w:p>
      <w:pPr>
        <w:spacing w:after="0" w:line="7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expect to continue to generate revenues by marketing our Internet-based products and our survey and research services through healthcare organizations and to a lesser extent, through pharmaceutical and medical device companies. We expect that the portion of our revenues related to services provided via our Internet-based learning products will increase in absolute dollar amounts.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The Company has significant net operating loss carryforwards (NOLs) which management believes will be available to reduce future tax expense. These NOLs are subject to annual limitations under the Internal Revenue Code Section 382, which could result in the expiration of certain portions of the Company’s NOLs before they are fully utilized. Management periodically assesses the realizability of its deferred tax assets, and to the extent that we believe a recovery is not likely, we establish a valuation allowance to reduce the deferred tax asset to the amount we estimate will be recoverable. At December 31, 2009, management concluded that it was more likely than not that substantially all of the remaining deferred tax assets will be realized in future periods, and released approximately $9.1 million from the valuation allowance. The Company continues to maintain a valuation allowance of approximately $1.1 million for the remaining portion of its deferred tax assets, which are related to the portion of our NOLs associated with deductions for stock option exercises.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Product development includes our costs to develop and maintain our products and applications, including our Internet-based learning products and our survey reporting application. Once planning is completed and development begins, we capitalize internal costs and payments to third parties associated with the development efforts where the life expectancy is greater than one year and the anticipated cash flows are expected to exceed the cost of the related asset. During 2010 and 2009, we capitalized approximately $57,000 and $84,000, respectively, related to development of content, primarily by third parties. Such amounts are included in the accompanying consolidated balance sheets under the caption “prepaid development fees” and “other assets.” During 2010 and 2009, we capitalized approximately $2.0 million and $1.3 million, respectively, for the development of various software feature enhancements. Such amounts are included in the accompanying consolidated balance sheets under the caption “capitalized software feature enhancements.” A significant portion of these capitalized costs was associated with our competency assessment product and additional features for our Internet-based HLC platform. We amortize content and software feature enhancements over their expected life, which is generally one to four years. Capitalized content and software feature enhancements are subject to a periodic impairment review in accordance with our impairment review policy.</w:t>
      </w:r>
    </w:p>
    <w:p>
      <w:pPr>
        <w:spacing w:after="0" w:line="6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product development, our significant estimates involve the assessment of the development period for new products, as well as the expected useful life of costs associated with new products, software feature enhancements and content. Once capitalized, software feature enhancements and content development costs are subject to the policies and estimates described below regarding goodwill, intangibles and other long-lived assets.</w:t>
      </w:r>
    </w:p>
    <w:p>
      <w:pPr>
        <w:spacing w:after="0" w:line="3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Product development costs also include our systems team, which manages our efforts associated with product development and maintenance, database management, quality assurance and security. This team is responsible for new internal product development, integration of external new products, and continued enhancements and regularly scheduled maintenance to our learning and research platform products. Personnel who are responsible for our overall product portfolio as well as prioritization of new product development are also included in product development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measure goodwill for impairment at the reporting unit level using both income and market based models to determine the fair value of the reporting units.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$157,000 as of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Due to the complexity of our hosted applications, variability in customer utilization patterns, changes in technology, and potential software defects, our hosted learning management applications could experience periodic downtime. In addition, we have specific contractual obligations that can result in penalties to us associated with system performance and other commitments. We maintain an accrual which is intended to provide for concessions due to customers experiencing inconveniences or operation disruption resulting from downtime or performance of our applications, or our failure to meet certain contractual obligations to customers. Our accrual for service credits totaled approximately $194,000 as of December 31, 2010.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recognize compensation expense using a fair-value based method for costs related to share based payments including stock options.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39"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December 31, 2010, we had a stock incentive plan which qualified as a stock based compensation plan. During the years ended December 31, 2010, 2009, and 2008, we recorded approximately $664,000, $661,000, and $772,000 of stock based compensation expense, respectively. We typically grant stock options to our management group on an annual basis, or when new members of the management group begin their employment. We grant stock options to members of our board of directors in conjunction with our annual shareholders meeting, or as new members are added on a pro rata basis based on the time elapsed since our annual shareholders’ meeting. We expect to continue this practice for the foreseeable future; however, we may adjust the size of the annual grant. As of December 31, 2010, total future compensation cost related to non-vested awards not yet recognized was $950,377 net of estimated forfeitures, with a weighted average expense recognition period of 2.2 years. Future compensation expense recognition for new option grants will vary depending on the timing and size of new awards granted, changes in the market price or volatility of our common stock, changes in risk-free interest rates, or if actual forfeitures vary significantly from our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Exchange of Content Rights and Deferred Service Credits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2009, we recorded content rights and deferred service credits of approximately $665,000 in connection with a nonmonetary exchange with one of our customers. In order to account for this transaction, we estimated the fair value of the related assets and service credits, assessed whether the value assigned to the content was recoverable, and amortized the related assets over their estimated useful lives. Our future operating results will be impacted by the customer’s utilization of the service credits. Revenues for services provided in exchange for service credits will be recognized in accordance with our revenue recognition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implementation and consulting services, maintenance of third party content, content development, online sales training courses (RepDirect™),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primarily of salaries and employee benefits, contract labor, stock based compensation,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ectPr>
          <w:pgSz w:w="11900" w:h="16838" w:orient="portrait"/>
          <w:cols w:equalWidth="0" w:num="1">
            <w:col w:w="11420"/>
          </w:cols>
          <w:pgMar w:left="240" w:top="419" w:right="2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consist primarily of salaries, commissions and employee benefits, stock 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travel and lodging, advertising, trade shows, promotions, and related marketing costs. During the past several years, excluding 2010 and 2009, we have hosted a national customer conference in Nashville known as “The Summit,” of which a significant portion of the costs are included in sales and marketing expenses. Personnel costs within sales and marketing include our Learning and Research sales teams, strategic account management, consultants, and marketing personnel, as well as our account management group.</w:t>
      </w:r>
    </w:p>
    <w:p>
      <w:pPr>
        <w:spacing w:after="0" w:line="64"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Compared to 2009</w:t>
      </w:r>
    </w:p>
    <w:p>
      <w:pPr>
        <w:spacing w:after="0" w:line="12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$8.4 million, or 14.6%, to $65.8 million for 2010 from $57.4 million for 2009. Revenues for 2010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$45.2 million, or 69% of total revenue, for HealthStream Learning and $20.6 million, or 31% of total revenue, for HealthStream Research. In 2009, revenues consisted of $38.2 million, or 67% of total revenue, for HealthStream Learning and $19.2 million, or 33% of total revenue, for HealthStream Research.</w:t>
      </w:r>
    </w:p>
    <w:p>
      <w:pPr>
        <w:spacing w:after="0" w:line="3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Revenues for HealthStream Learning increased approximately $7.0 million, or 18.4%, over 2009. Revenues from our Internet-based subscription learning products increased by $8.7 million over the prior year, and were comprised of revenue increases from the HLC of $4.4 million and from courseware subscriptions of $4.2 million. Revenues from our Internet-based subscription products increased 25.4% over the prior year due to a higher number of subscribers and more courseware consumption by subscribers. Our HLC subscriber base increased by 14% during 2010 to 2,250,000 fully-implemented subscribers at the end of 2010 compared to 1,974,000 fully-implemented subscribers at the end of 2009. Additionally, we had an 18% increase in contracted subscribers, with 2,450,000 contracted subscribers at December 31, 2010 compared to 2,073,000 contracted subscribers at December 31, 2009. Revenues associated with implementation, development, and consulting services decreased $1.2 million from the prior year, and were impacted primarily by fewer engagements. Additionally, revenues from live events, study guides, and other project-based activities collectively declined $489,000 from the prior year due to a de-emphasis on providing these services.</w:t>
      </w:r>
    </w:p>
    <w:p>
      <w:pPr>
        <w:spacing w:after="0" w:line="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Revenues for HealthStream Research increased $1.3 million, or 7.0%, over 2009. Revenues from recurring patient surveys increased by $1.6 million, or 12.7%, over the prior year, primarily due to sales growth with new customers. Revenues from surveys conducted on annual or bi-annual cycles—namely employee, physician, and community surveys—decreased by $299,000, primarily due to fewer projects than the prior year, as well as changes in the timing and size of the projects.</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$2.9 million, or 13.3%, to $24.2 million for 2010</w:t>
      </w:r>
      <w:r>
        <w:rPr>
          <w:rFonts w:ascii="Arial" w:cs="Arial" w:eastAsia="Arial" w:hAnsi="Arial"/>
          <w:sz w:val="17"/>
          <w:szCs w:val="17"/>
          <w:i w:val="1"/>
          <w:iCs w:val="1"/>
          <w:color w:val="auto"/>
        </w:rPr>
        <w:t xml:space="preserve"> </w:t>
      </w:r>
      <w:r>
        <w:rPr>
          <w:rFonts w:ascii="Arial" w:cs="Arial" w:eastAsia="Arial" w:hAnsi="Arial"/>
          <w:sz w:val="17"/>
          <w:szCs w:val="17"/>
          <w:color w:val="auto"/>
        </w:rPr>
        <w:t>from $21.3 million for 2009. Cost of revenues as a percentage of revenues was 36.8% of revenues for 2010 compared to 37.2% of revenues for 2009. Cost of revenues for HealthStream Learning increased approximately $1.6 million to $13.5 million and approximated 30.0% and 31.3% of its revenues for 2010 and 2009, respectively. The overall expense increase is primarily associated with increased royalties paid by us resulting from growth in courseware subscription revenues, but was partially offset by expense decreases associated with the decline in implementation, development, and consulting service revenues. The decline as a percentage of revenue is attributable to the growth in subscription based revenues over the prior year. Cost of revenues for HealthStream Research increased approximately $1.3 million to $10.7 million and approximated 51.8% and 48.8% of its revenues for 2010 and 2009, respectively. The increase in cost of revenues for HealthStream Research is primarily the result of costs associated with the growth in patient survey volume over the prior year. Additional costs were also incurred by our interview center operation during the second quarter of 2010 to complete projects on schedule in light of unprecedented snow storms experienced in the Baltimore area.</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$704,000, or 11.2%, to $7.0 million for 2010 from $6.3 million for 2009.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10.6% and 11.0% of revenues for 2010 and 2009, respectively.</w:t>
      </w:r>
    </w:p>
    <w:p>
      <w:pPr>
        <w:spacing w:after="0" w:line="10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Product development expenses for HealthStream Learning increased approximately $253,000 and approximated 12.1% and 13.7% of its revenues for 2010 and 2009, respectively. The decrease as a percentage of revenue is the result of the growth in revenues over the prior year, while the expense increase is the result of personnel expenses associated with SimVentures. Product development expenses for HealthStream Research increased approximately $451,000 and approximated 7.3% and 5.5% of its revenues for 2010 and 2009, respectively. This increase is primarily due to additional personnel associated with developing and supporting our survey reporting platform, Insights Online.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$2.2 million, or 19.4%, to $13.1 million for 2010</w:t>
      </w:r>
      <w:r>
        <w:rPr>
          <w:rFonts w:ascii="Arial" w:cs="Arial" w:eastAsia="Arial" w:hAnsi="Arial"/>
          <w:sz w:val="17"/>
          <w:szCs w:val="17"/>
          <w:i w:val="1"/>
          <w:iCs w:val="1"/>
          <w:color w:val="auto"/>
        </w:rPr>
        <w:t xml:space="preserve"> </w:t>
      </w:r>
      <w:r>
        <w:rPr>
          <w:rFonts w:ascii="Arial" w:cs="Arial" w:eastAsia="Arial" w:hAnsi="Arial"/>
          <w:sz w:val="17"/>
          <w:szCs w:val="17"/>
          <w:color w:val="auto"/>
        </w:rPr>
        <w:t>from $10.9 million for 2009. Sales and marketing expenses approximated 19.9% and 19.0% of revenues for 2010 and 2009, respectively.</w:t>
      </w:r>
    </w:p>
    <w:p>
      <w:pPr>
        <w:spacing w:after="0" w:line="3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Sales and marketing expenses for HealthStream Learning increased $992,000 and approximated 18.4% and 19.2% of its revenues for 2010 and 2009, respectively. The expense increase is primarily associated with increased commissions due to better sales performance compared to the prior year. Sales and marketing expenses for HealthStream Research increased approximately $1.0 million and approximated 21.2% and 17.3% of its revenues for 2010 and 2009, respectively. The expense increase for HealthStream Research resulted from additional sales personnel and commissions. The additional sales personnel were hired during the second half of 2009. These expense increases also impacted the increase as a percentage of revenues for HealthStream Research.</w:t>
      </w:r>
    </w:p>
    <w:p>
      <w:pPr>
        <w:spacing w:after="0" w:line="5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$1.0 million, or 11.7% to $9.6 million for 2010 from</w:t>
      </w:r>
      <w:r>
        <w:rPr>
          <w:rFonts w:ascii="Arial" w:cs="Arial" w:eastAsia="Arial" w:hAnsi="Arial"/>
          <w:sz w:val="18"/>
          <w:szCs w:val="18"/>
          <w:i w:val="1"/>
          <w:iCs w:val="1"/>
          <w:color w:val="auto"/>
        </w:rPr>
        <w:t xml:space="preserve"> </w:t>
      </w:r>
      <w:r>
        <w:rPr>
          <w:rFonts w:ascii="Arial" w:cs="Arial" w:eastAsia="Arial" w:hAnsi="Arial"/>
          <w:sz w:val="18"/>
          <w:szCs w:val="18"/>
          <w:color w:val="auto"/>
        </w:rPr>
        <w:t>$8.6 million for 2009. Other general and administrative expenses as a percentage of revenues approximated 14.6% and 14.9% for 2010 and 2009, respectively.</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general and administrative expenses for HealthStream Learning increased $82,000 compared to the prior year. Other general and administrative expenses for HealthStream Research decreased $39,000 compared to the prior year. The unallocated corporate portion of other general and administrative expenses increased $961,000 over the prior year, primarily associated with contract labor, software maintenance renewal fees, professional fees, rent expense, and other expenses.</w:t>
      </w:r>
    </w:p>
    <w:p>
      <w:pPr>
        <w:spacing w:after="0" w:line="79"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decreased approximately $259,000, or 5.1%, to $4.9 million for 2010 from $5.1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2009. The decrease resulted from lower depreciation expense associated with certain assets reaching the end of their useful lives, and was partially offset by increased amortization of capitalized software features over the prior year. Amortization for HealthStream Learning increased $64,000, or 3.5%, and approximated 4.2% and 4.8% of its revenues for 2010 and 2009, respectively. This expense increase was primarily associated with amortization of capitalized software feature enhancements. Amortization for HealthStream Research increased $270,000, or 27.4%, and approximated 6.1% and 5.1% of its revenues for 2010 and 2009, respectively. This expense increase resulted from the amortization of capitalized software feature enhancements. The unallocated corporate portion decreased approximately $593,000 associated with certain assets reaching the end of their depreciable lives.</w:t>
      </w:r>
    </w:p>
    <w:p>
      <w:pPr>
        <w:spacing w:after="0" w:line="5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approximately $6,000 to $21,000 for 2010 from $15,000 for 2009, and was associated with lower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resulting from lower yield rates on cash and cash equivalents.</w:t>
      </w:r>
    </w:p>
    <w:p>
      <w:pPr>
        <w:spacing w:after="0" w:line="6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Income Tax Provision (Benefit). </w:t>
      </w:r>
      <w:r>
        <w:rPr>
          <w:rFonts w:ascii="Arial" w:cs="Arial" w:eastAsia="Arial" w:hAnsi="Arial"/>
          <w:sz w:val="16"/>
          <w:szCs w:val="16"/>
          <w:color w:val="auto"/>
        </w:rPr>
        <w:t>The Company recorded a provision for income taxes of approximately $2.9 million for 2010. The Company’s effective tax</w:t>
      </w:r>
      <w:r>
        <w:rPr>
          <w:rFonts w:ascii="Arial" w:cs="Arial" w:eastAsia="Arial" w:hAnsi="Arial"/>
          <w:sz w:val="16"/>
          <w:szCs w:val="16"/>
          <w:i w:val="1"/>
          <w:iCs w:val="1"/>
          <w:color w:val="auto"/>
        </w:rPr>
        <w:t xml:space="preserve"> </w:t>
      </w:r>
      <w:r>
        <w:rPr>
          <w:rFonts w:ascii="Arial" w:cs="Arial" w:eastAsia="Arial" w:hAnsi="Arial"/>
          <w:sz w:val="16"/>
          <w:szCs w:val="16"/>
          <w:color w:val="auto"/>
        </w:rPr>
        <w:t>rate for 2010 was approximately 41%. During 2009, the Company recorded a $9.1 million income tax benefit offset by $226,000 of current income tax expense. The income tax benefit in 2009 resulted from the reversal of a valuation allowance, which was based on management’s conclusion that a portion of the Company’s deferred tax assets would more likely than not be realized. Actual tax payments will be substantially less than our income tax provision until we utilize our federal and state net operating loss carry-forwards of approximately $24.6 million and $19.8 million, respectively, to offset taxable income.</w:t>
      </w:r>
    </w:p>
    <w:p>
      <w:pPr>
        <w:spacing w:after="0" w:line="5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$4.2 million for 2010, compared to $14.0 million for 2009. Net income per diluted share was $0.18 per share for</w:t>
      </w:r>
      <w:r>
        <w:rPr>
          <w:rFonts w:ascii="Arial" w:cs="Arial" w:eastAsia="Arial" w:hAnsi="Arial"/>
          <w:sz w:val="18"/>
          <w:szCs w:val="18"/>
          <w:i w:val="1"/>
          <w:iCs w:val="1"/>
          <w:color w:val="auto"/>
        </w:rPr>
        <w:t xml:space="preserve"> </w:t>
      </w:r>
      <w:r>
        <w:rPr>
          <w:rFonts w:ascii="Arial" w:cs="Arial" w:eastAsia="Arial" w:hAnsi="Arial"/>
          <w:sz w:val="18"/>
          <w:szCs w:val="18"/>
          <w:color w:val="auto"/>
        </w:rPr>
        <w:t>2010 compared to $0.64 per diluted share for 2009. Net income for 2010 includes an income tax provision of $2.9 million, or $0.13 per diluted share, while net income for 2009 included an income tax benefit of $8.9 million, or $0.41 per diluted share.</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was approximately $12.6 million for the year ended December 31, 2010, compared to $10.9 million for the year ended December 31, 2009. This improvement is consistent with the factors mentioned in management’s discussion and analysis of financial condition and results of operations herewith. Our reconciliation of this calculation to measures under US GAAP is listed in the table below.</w:t>
      </w:r>
    </w:p>
    <w:p>
      <w:pPr>
        <w:spacing w:after="0" w:line="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2009 and 2010, actual cash income tax payments have been significantly less than the tax provision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recorded in accordance with US GAAP, and income tax payments will continue to be less than the income tax provision until our existing federal and state net operating loss carryforwards have been fully utilized or have expired.</w:t>
      </w:r>
    </w:p>
    <w:p>
      <w:pPr>
        <w:spacing w:after="0" w:line="6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a reconciliation of adjusted EBITDA to net income, the most directly comparable US GAAP measure.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interest, taxes, stock-based compensation, depreciation and amortization, or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Year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December 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2010</w:t>
            </w:r>
          </w:p>
        </w:tc>
        <w:tc>
          <w:tcPr>
            <w:tcW w:w="6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2009</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4,154,418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$13,972,246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$ 2,854,795</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(18,500)</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(22,828)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(139,563)</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40,925</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40,695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61,526</w:t>
            </w: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2,884,287</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(8,865,192)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(301,089)</w:t>
            </w: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663,518</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660,522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771,560</w:t>
            </w: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4,879,794</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5,139,475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4,822,268</w:t>
            </w: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interest, income taxes, share-based compensation, depreciation and</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12,604,442</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10,924,918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$ 8,069,497</w:t>
            </w: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Compared to 2008</w:t>
      </w:r>
    </w:p>
    <w:p>
      <w:pPr>
        <w:spacing w:after="0" w:line="12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$5.8 million, or 11.2%, to $57.4 million for 2009 from $51.6 million for 2008. Revenues for 2009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$38.2 million, or 67% of total revenue, for HealthStream Learning and $19.2 million, or 33% of total revenue, for HealthStream Research. In 2008, revenues consisted of $32.8 million, or 64% of total revenue, for HealthStream Learning and $18.8 million, or 36% of total revenue, for HealthStream Research.</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for HealthStream Learning increased $5.3 million, or 16.2%, over 2008. Revenues from our Internet-based subscription learning products increased by $5.4 million over 2008, and were comprised of revenue increases from the HLC of $3.0 million and from courseware subscriptions of $2.4 million. Revenues from Internet-based subscription products increased 19% over the prior year due to an increase in the number of subscribers and more courseware consumption by subscribers. Our HLC subscriber base increased by 14% during 2009 to 1,974,000 fully-implemented subscribers at the end of 2009 compared to 1,732,000 fully-implemented subscribers at the end of 2008. Additionally, we had 2,073,000 contracted subscribers at December 31, 2009 compared to 1,855,000 contracted subscribers at December 31, 2008. Revenues associated with implementation, development, and consulting services increased $1.2 million over the prior year due to increased courseware development service revenues compared to the prior year. These increases in revenues were partially offset by a decline in revenues from live events, study guides, and other project-based activities, which collectively declined $1.3 million from the prior year due to a de-emphasis on live events and other similar project-based services.</w:t>
      </w:r>
    </w:p>
    <w:p>
      <w:pPr>
        <w:spacing w:after="0" w:line="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Revenues for HealthStream Research increased $476,000, or 2.5%, over 2008. Revenue from recurring patient surveys increased $1.7 million, or 15%, over the prior year, but was offset by revenue declines from employee, physician, and community surveys of $1.2 million. The revenue decline in these survey categories was generally attributable to customer decisions to defer conducting surveys based on budgetary, operational, and other considerations. Also during 2009, a portion of the revenue decrease was attributable to the loss of one customer contract.</w:t>
      </w:r>
    </w:p>
    <w:p>
      <w:pPr>
        <w:spacing w:after="0" w:line="6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$1.7 million, or 8.6%, to $21.3 million for 2009 from</w:t>
      </w:r>
      <w:r>
        <w:rPr>
          <w:rFonts w:ascii="Arial" w:cs="Arial" w:eastAsia="Arial" w:hAnsi="Arial"/>
          <w:sz w:val="16"/>
          <w:szCs w:val="16"/>
          <w:i w:val="1"/>
          <w:iCs w:val="1"/>
          <w:color w:val="auto"/>
        </w:rPr>
        <w:t xml:space="preserve"> </w:t>
      </w:r>
      <w:r>
        <w:rPr>
          <w:rFonts w:ascii="Arial" w:cs="Arial" w:eastAsia="Arial" w:hAnsi="Arial"/>
          <w:sz w:val="16"/>
          <w:szCs w:val="16"/>
          <w:color w:val="auto"/>
        </w:rPr>
        <w:t>$19.7 million for 2008. Cost of revenues as a percentage of revenues was 37.2% of revenues for 2009 down favorably from 38.1% of revenues for 2008. Cost of revenues for HealthStream Learning increased approximately $1.3 million to $11.9 million and approximated 31.3% and 32.3% of its revenues for 2009 and 2008, respectively. The expense increase was primarily associated with increased royalties paid by us resulting from growth in courseware subscription revenues as well as increased costs to support the growth in implementation, development, and consulting revenues, and was partially offset by expense decreases associated with the declines in live events and other project-based revenues. Cost of revenues for HealthStream Research increased approximately $361,000 to $9.4 million and approximated 48.8% and 48.2% of its revenues for 2009 and 2008, respectively. The increase in cost of revenues for HealthStream Research is primarily a result of the costs associated with increased survey volumes for our patient survey category compared to the prior year. Cost of revenues as a percentage of revenues for HealthStream Research was impacted favorably by improved operating efficiencies compared to the prior year, but was offset by the effect of lower revenues from the employee and physician survey categories.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$615,000, or 10.9%, to $6.3 million for 2009 from $5.7 million for 2008.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11.0% of revenues for both 2009 and 2008.</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Product development expenses for HealthStream Learning increased approximately $597,000 and approximated 13.7% and 14.1% of its revenues for 2009 and 2008, respectively. This expense increase resulted from additional personnel expenses associated with both maintenance and support of our learning platform products and product portfolio management. Product development expenses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HealthStream Research increased approximately $19,000, and approximated 5.5% of its revenues for both 2009 and 2008.</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$110,000, or 1.0%, and approximated $10.9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2009 compared to $10.8 million for 2008. Sales and marketing expenses approximated 19.0% and 21.0% of revenues for 2009 and 2008, respectively. The decrease as a percentage of revenues was due to the overall growth in revenues over the prior year.</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Sales and marketing expenses for HealthStream Learning increased $231,000 and approximated 19.2% and 21.6% of its revenues for 2009 and 2008, respectively. This expense increase primarily resulted from increased sales personnel and commissions, but was partially offset by lower marketing expenses associated with our decision not to conduct our annual customer Summit during 2009. Sales and marketing expenses for HealthStream Research decreased approximately $198,000, and approximated 17.3% and 18.8% of its revenues for 2009 and 2008, respectively. This expense decrease resulted primarily from fewer sales and marketing personnel and related expenses when compared to the prior year. The unallocated corporate portion of sales and marketing increased $77,000 over the prior year due to additional personnel.</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$425,000, or 5.2%, and approximated $8.6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2009 compared to $8.2 million for 2008. Other general and administrative expenses as a percentage of revenues decreased to 14.9% for 2009 from 15.8% for 2008. The percentage decrease was primarily a result of the revenue increases mentioned above.</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Other general and administrative expenses for HealthStream Learning increased $167,000 compared to the prior year, primarily due to employee bonuses and employee recruiting fees. Other general and administrative expenses for HealthStream Research decreased $28,000 compared to the prior year, but included expense increases associated with employee bonuses, employee recruiting fees, and bad debt expense, and were offset by lower consulting expenses. The unallocated corporate portion of other general and administrative expenses increased $286,000 compared to the prior year, and included expense increases associated with additional personnel and their related costs, employee bonuses, and fees for professional services, but was partially offset by lower stock based compensation expense, consulting expenses, facility costs, and employee recruiting fees.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approximately $317,000, or 6.6%, to $5.1 million for 2009 from $4.8 million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2008. The increase resulted from depreciation expense associated with capital expenditures and amortization of capitalized software features.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HealthStream Learning increased $118,000, or 6.9%, and approximated 4.8% and 5.2% of its revenues for 2009 and 2008, respectively. This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increase was primarily associated with amortization of capitalized software feature enhancements. Amortization for HealthStream Research decreased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$20,000, or 2.0%, and approximated 5.1% and 5.3% of its revenues for 2009 and 2008, respectively. This expense decrease resulted from certain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reaching the end of their estimated useful life. The unallocated corporate portion increased approximately $219,000 associated with the depreciation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approximately $87,000 to an expense of $15,000 for 2009 from income of $72,000 for</w:t>
      </w:r>
      <w:r>
        <w:rPr>
          <w:rFonts w:ascii="Arial" w:cs="Arial" w:eastAsia="Arial" w:hAnsi="Arial"/>
          <w:sz w:val="18"/>
          <w:szCs w:val="18"/>
          <w:i w:val="1"/>
          <w:iCs w:val="1"/>
          <w:color w:val="auto"/>
        </w:rPr>
        <w:t xml:space="preserve"> </w:t>
      </w:r>
      <w:r>
        <w:rPr>
          <w:rFonts w:ascii="Arial" w:cs="Arial" w:eastAsia="Arial" w:hAnsi="Arial"/>
          <w:sz w:val="18"/>
          <w:szCs w:val="18"/>
          <w:color w:val="auto"/>
        </w:rPr>
        <w:t>2008. Interest income decreased $114,000 from the prior year period resulting from lower yield rates on cash and cash equivalents. Interest expense decreased $27,000 from the prior year period due to reductions in debt and capital lease balances.</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Income Tax (Benefit) Provision. </w:t>
      </w:r>
      <w:r>
        <w:rPr>
          <w:rFonts w:ascii="Arial" w:cs="Arial" w:eastAsia="Arial" w:hAnsi="Arial"/>
          <w:sz w:val="18"/>
          <w:szCs w:val="18"/>
          <w:color w:val="auto"/>
        </w:rPr>
        <w:t>The Company recognized a deferred income tax benefit of approximately $9.1 million and $375,000 during 2009 and 2008,</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through a reversal of the valuation allowance, which was based on management’s conclusion that a portion of the Company’s deferred tax assets would more likely than not be realized. During 2009, the $9.1 million income tax benefit was partially offset by $226,000 of current income tax expense. During 2008, the $375,000 income tax benefit was partially offset by $74,000 of current income tax expense. Taxable income for both 2009 and 2008 was substantially offset by the Company’s net operating loss carryforwards.</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$14.0 million, or $0.64 per diluted share, for the year ended December 31, 2009 up from $2.9 million, or $0.13</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for the year ended December 31, 2008. This increase was primarily the result of the $9.1 million, or $0.42 per diluted share, income tax benefit recognized during 2009 in addition to the changes in income from operations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2011</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provides projections and other forward-looking information in this “Financial Outlook for 2011” section within MD&amp;A.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Company anticipates that consolidated revenues for the full year 2011 will grow by 15 percent to 19 percent when compared to the full year 2010. We anticipate revenue growth in the Learning segment to be in the 16 percent to 20 percent range and the Research segment’s revenue to increase by approximately 13 percent to 17 percent.</w:t>
      </w:r>
    </w:p>
    <w:p>
      <w:pPr>
        <w:spacing w:after="0" w:line="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anticipate that operating expenses will grow between 15 percent and 19 percent when compared to the Company’s full year 2010 levels. These categories include cost of revenues, product development, sales and marketing, depreciation and amortization, and other general and administrative expense.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operating income will increase between 15 percent and 19 percent for the full year of 2011 versus our 2010 results.</w:t>
      </w:r>
    </w:p>
    <w:p>
      <w:pPr>
        <w:spacing w:after="0" w:line="1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We expect our effective book income tax rate for 2011 to be between 41 percent and 42 percent. Actual tax payments will be substantially less than our income tax provision as we continue to utilize our federal and state net operating loss carry-forwards of approximately $25 million and $20 million, respectively, to offset taxable income.</w:t>
      </w:r>
    </w:p>
    <w:p>
      <w:pPr>
        <w:spacing w:after="0" w:line="73"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We expect that capital expenditures, including hardware, software and capitalized software development for new features, enhancements, content development, and additional office space will be approximately $6.0 million during the full year of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tables set forth selected statements of income data for each of the eight quarters in the period ended December 31, 2010 both in absolute dollars and as a percentage of total revenues.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from our subscription products are recognized ratably over the subscription term. Survey and research revenues are impacted by seasonal factors resulting from the volume, timing, and frequency of survey cycles. During the fourth quarter of 2009 we recognized substantially all of our deferred tax assets, resulting in an income tax benefit of approximately $9.1 million. During the second quarter of 2009, we corrected an accounting error associated with improperly expensing $105,000 of software development costs incurred during the first quarter of 2009. The error correction resulted in a reduction of product development expenses and an increase to net income during the second quarter of 2009, but does not have an effect on net income for the year ended December 31, 2009. In addition, our expense for compensated absences may fluctuate from quarter to quarter, depending on vesting and utilization by our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 Ended</w:t>
            </w: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right"/>
              <w:ind w:right="788"/>
              <w:spacing w:after="0" w:line="119" w:lineRule="exact"/>
              <w:rPr>
                <w:sz w:val="20"/>
                <w:szCs w:val="20"/>
                <w:color w:val="auto"/>
              </w:rPr>
            </w:pPr>
            <w:r>
              <w:rPr>
                <w:rFonts w:ascii="Arial" w:cs="Arial" w:eastAsia="Arial" w:hAnsi="Arial"/>
                <w:sz w:val="13"/>
                <w:szCs w:val="13"/>
                <w:b w:val="1"/>
                <w:bCs w:val="1"/>
                <w:color w:val="auto"/>
                <w:w w:val="96"/>
              </w:rPr>
              <w:t>June 30,</w:t>
            </w: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w w:val="93"/>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Revenues, net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14,837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16,660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16,616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17,640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Cost of revenues (excluding depreciation and amortization)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6,274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3,050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3,358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general and administrative expenses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13,425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14,313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2,347</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995</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Net income</w:t>
            </w:r>
          </w:p>
        </w:tc>
        <w:tc>
          <w:tcPr>
            <w:tcW w:w="10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2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21,676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21,796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21,807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21,790</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22,130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22,433</w:t>
            </w:r>
          </w:p>
        </w:tc>
        <w:tc>
          <w:tcPr>
            <w:tcW w:w="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22,511</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60" w:type="dxa"/>
            <w:vAlign w:val="bottom"/>
            <w:vMerge w:val="restart"/>
          </w:tcPr>
          <w:p>
            <w:pPr>
              <w:jc w:val="right"/>
              <w:ind w:right="23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 Ended</w:t>
            </w:r>
          </w:p>
        </w:tc>
        <w:tc>
          <w:tcPr>
            <w:tcW w:w="6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788"/>
              <w:spacing w:after="0" w:line="119" w:lineRule="exact"/>
              <w:rPr>
                <w:sz w:val="20"/>
                <w:szCs w:val="20"/>
                <w:color w:val="auto"/>
              </w:rPr>
            </w:pPr>
            <w:r>
              <w:rPr>
                <w:rFonts w:ascii="Arial" w:cs="Arial" w:eastAsia="Arial" w:hAnsi="Arial"/>
                <w:sz w:val="13"/>
                <w:szCs w:val="13"/>
                <w:b w:val="1"/>
                <w:bCs w:val="1"/>
                <w:color w:val="auto"/>
                <w:w w:val="99"/>
              </w:rPr>
              <w:t>June 30,</w:t>
            </w: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40" w:type="dxa"/>
            <w:vAlign w:val="bottom"/>
            <w:gridSpan w:val="6"/>
          </w:tcPr>
          <w:p>
            <w:pPr>
              <w:jc w:val="center"/>
              <w:ind w:right="64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Revenues, net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w w:val="98"/>
              </w:rPr>
              <w:t>13,619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14,584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14,105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15,090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5,228</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5,408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5,440</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1,620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2,625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general and administrative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2,068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12,683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12,722</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13,026</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w:t>
            </w: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(9,102)</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7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10,344</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0.08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21,382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21,382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8"/>
              </w:rPr>
              <w:t>21,567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21,626</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22,227</w:t>
            </w: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 Ended</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788"/>
              <w:spacing w:after="0" w:line="119" w:lineRule="exact"/>
              <w:rPr>
                <w:sz w:val="20"/>
                <w:szCs w:val="20"/>
                <w:color w:val="auto"/>
              </w:rPr>
            </w:pPr>
            <w:r>
              <w:rPr>
                <w:rFonts w:ascii="Arial" w:cs="Arial" w:eastAsia="Arial" w:hAnsi="Arial"/>
                <w:sz w:val="13"/>
                <w:szCs w:val="13"/>
                <w:b w:val="1"/>
                <w:bCs w:val="1"/>
                <w:color w:val="auto"/>
                <w:w w:val="99"/>
              </w:rPr>
              <w:t>June 30,</w:t>
            </w: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2010</w:t>
            </w: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2010</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left="413"/>
              <w:spacing w:after="0" w:line="142" w:lineRule="exact"/>
              <w:rPr>
                <w:sz w:val="20"/>
                <w:szCs w:val="20"/>
                <w:color w:val="auto"/>
              </w:rPr>
            </w:pPr>
            <w:r>
              <w:rPr>
                <w:rFonts w:ascii="Arial" w:cs="Arial" w:eastAsia="Arial" w:hAnsi="Arial"/>
                <w:sz w:val="14"/>
                <w:szCs w:val="14"/>
                <w:b w:val="1"/>
                <w:bCs w:val="1"/>
                <w:color w:val="auto"/>
                <w:w w:val="91"/>
              </w:rPr>
              <w:t>(% of Revenues)</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r>
      <w:tr>
        <w:trPr>
          <w:trHeight w:val="216"/>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90.6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Quarter Ended</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5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ind w:right="788"/>
              <w:spacing w:after="0" w:line="119" w:lineRule="exact"/>
              <w:rPr>
                <w:sz w:val="20"/>
                <w:szCs w:val="20"/>
                <w:color w:val="auto"/>
              </w:rPr>
            </w:pPr>
            <w:r>
              <w:rPr>
                <w:rFonts w:ascii="Arial" w:cs="Arial" w:eastAsia="Arial" w:hAnsi="Arial"/>
                <w:sz w:val="13"/>
                <w:szCs w:val="13"/>
                <w:b w:val="1"/>
                <w:bCs w:val="1"/>
                <w:color w:val="auto"/>
                <w:w w:val="99"/>
              </w:rPr>
              <w:t>June 30,</w:t>
            </w:r>
          </w:p>
        </w:tc>
        <w:tc>
          <w:tcPr>
            <w:tcW w:w="15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2009</w:t>
            </w: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w w:val="89"/>
              </w:rPr>
              <w:t>2009</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42"/>
        </w:trPr>
        <w:tc>
          <w:tcPr>
            <w:tcW w:w="5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tcPr>
          <w:p>
            <w:pPr>
              <w:jc w:val="center"/>
              <w:ind w:left="413"/>
              <w:spacing w:after="0" w:line="142" w:lineRule="exact"/>
              <w:rPr>
                <w:sz w:val="20"/>
                <w:szCs w:val="20"/>
                <w:color w:val="auto"/>
              </w:rPr>
            </w:pPr>
            <w:r>
              <w:rPr>
                <w:rFonts w:ascii="Arial" w:cs="Arial" w:eastAsia="Arial" w:hAnsi="Arial"/>
                <w:sz w:val="14"/>
                <w:szCs w:val="14"/>
                <w:b w:val="1"/>
                <w:bCs w:val="1"/>
                <w:color w:val="auto"/>
                <w:w w:val="91"/>
              </w:rPr>
              <w:t>(% of Revenues)</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Revenues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38.3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5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7"/>
        </w:trPr>
        <w:tc>
          <w:tcPr>
            <w:tcW w:w="5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87.2</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rPr>
              <w:t>12.8</w:t>
            </w:r>
          </w:p>
        </w:tc>
        <w:tc>
          <w:tcPr>
            <w:tcW w:w="28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7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w:t>
            </w: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7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Net cash provided by operating activities was approximately $16.1 million during 2010 compared to $11.6 million during 2009. Our primary sources of cash were generated from receipts from the sales of our products and services. The number of days sales outstanding (DSO) was 57 days for both 2010 and 2009. The Company calculates DSO by dividing the average accounts receivable balance (excluding unbilled and other receivables) by average daily revenues for</w:t>
      </w:r>
    </w:p>
    <w:p>
      <w:pPr>
        <w:sectPr>
          <w:pgSz w:w="11900" w:h="16838" w:orient="portrait"/>
          <w:cols w:equalWidth="0" w:num="1">
            <w:col w:w="11420"/>
          </w:cols>
          <w:pgMar w:left="240" w:top="419" w:right="239" w:bottom="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was approximately $10.4 million for 2010, compared to $3.1 million during 2009. During 2010, we purchased</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$5.7 million of investments in marketable securities, $2.6 million of property and equipment, and spent $2.0 million for software feature enhancements. During 2009, we purchased $1.8 million of property and equipment, and spent $1.3 million for software feature enhancements. The uses of cash for property and equipment and software feature enhancements were primarily associated with technology investments in our platform products, although purchases in 2010 also included build-out costs to accommodate the</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consolidation of operations of our Franklin, Tennessee office with our corporate office in Nashville, along with an expansion of our professional interviewing center in Baltimore, Maryland.</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cash used in financing activities was approximately $159,000 for 2010 compared to $319,000 for 2009. The primary source of cash included proceeds associated with the issuance of common stock upon the exercise of employee stock options of $536,000 and $425,000, in 2010 and 2009, respectively. The primary uses of cash during 2010 included $379,000 associated with a share repurchase plan and $307,000 of payments under the promissory note. The primary use of cash during 2009 included $724,000 of payments under the promissory note.</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revenues increased and our operating income improved over the prior year period, and our balance sheet reflects positive working capital of $19.5 million at December 31, 2010 compared to $10.7 million at December 31, 2009. The improvement in working capital is primarily associated with increases in cash and cash equivalents and investments in marketable securities resulting from the net cash provided by operating activities mentioned above. Current assets increased approximately $14.4 million during 2010 primarily a result of increases in cash and investments balances, accounts receivable, and prepaid assets, while current liabilities increased approximately $5.6 million during 2010 resulting primarily from increases in deferred revenue, accounts payable and accrued liabilities. Our primary source of liquidity is $23.6 million of cash and cash equivalents and investments in marketable securities. We also have a $15.0 million revolving credit facility loan agreement, all of which was available at December 31, 2010.</w:t>
      </w:r>
    </w:p>
    <w:p>
      <w:pPr>
        <w:spacing w:after="0" w:line="7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believe that our existing cash and cash equivalents, investments in marketable securities,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expect that our capital expenditures, software feature enhancements, and content purchases will be approximately $6.0 million in 2011. We expect to fund these capital expenditures with existing cash and investments and from cash generated from operations, and if necessary from our revolving credit facility. From January 1 through February 28, 2011, we had capital expenditures of approximately $0.6 million, primarily related to leasehold improvements, hardware, software, and software feature enhancements.</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Tennessee and Laurel, Maryland.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off-balance sheet arrangements primarily consist of operating leases, purchase commitments, and our revolving credit facility, which is described further in Note 14 to the Company’s consolidated financial statements contained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2009, the Financial Accounting Standards Board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adoption of the guidance did not have an effect on the Company’s financial position, results of operations, or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exposed to market risk from changes in interest rates. We do not have any foreign currency exchange rate risk or commodity price risk. As of December 31, 2010, our outstanding indebtedness included approximately $4,000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with a pricing grid, but has a minimum interest rate of not less than three percent. We are also exposed to market risk with respect to our cash and investment balances. At December 31, 2010, the Company had cash and cash equivalents, investments in marketable securities, and related interest receivable totaling approximately $23.6 million. Our current investment rates of return approximate 0.20%. Assuming a 0.20% rate of return on $23.6 million, a hypothetical 10% decrease in interest rates would decrease interest income and decrease net income on an annualized basis by approximately $4,700.</w:t>
      </w:r>
    </w:p>
    <w:p>
      <w:pPr>
        <w:spacing w:after="0" w:line="4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A1/A, BBB, FDIC insured or better; A1/P1 or better for commercial paper, and MIG 1/S, P/1 or better for municipal debt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w:t>
      </w:r>
    </w:p>
    <w:p>
      <w:pPr>
        <w:spacing w:after="0" w:line="6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gridSpan w:val="7"/>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7"/>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64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Income</w:t>
              </w:r>
            </w:hyperlink>
          </w:p>
        </w:tc>
        <w:tc>
          <w:tcPr>
            <w:tcW w:w="806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Consolidated Statements of Shareholders’ Equity</w:t>
              </w:r>
            </w:hyperlink>
          </w:p>
        </w:tc>
        <w:tc>
          <w:tcPr>
            <w:tcW w:w="708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Cash Flows</w:t>
              </w:r>
            </w:hyperlink>
          </w:p>
        </w:tc>
        <w:tc>
          <w:tcPr>
            <w:tcW w:w="776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Notes to Consolidated Financial Statements</w:t>
              </w:r>
            </w:hyperlink>
          </w:p>
        </w:tc>
        <w:tc>
          <w:tcPr>
            <w:tcW w:w="74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0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2010 and 2009, and the related consolidated statements of income, shareholders’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2010 and 2009, and the consolidated results of its operations and its cash flows for each of the three years in the period ended December 31, 2010, in conformity with U.S. generally accepted accounting principles.</w:t>
      </w:r>
    </w:p>
    <w:p>
      <w:pPr>
        <w:spacing w:after="0" w:line="3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17,867,860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12,287,059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Investments in short-term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5,703,192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51,226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Accounts receivable, net of allowance for doubtful accounts of $156,723 and $140,559 at December 31, 2010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and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11,069,108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1,314,025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3,436,671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3,145,297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505,364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1,093,510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44,270,781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29,890,859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14,347,683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14,121,140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2,737,715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2,027,535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19,112,933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17,815,312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(15,287,579)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(14,881,423)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3,825,354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$5,886,594 and $3,993,689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2010 and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4,332,705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$8,043,328 and $7,096,196 at December 31,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2,843,814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5,346,536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244,649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82,010,703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2,374,621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4,044,320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1,506,245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76,466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16,740,454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12,233,876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24,746,468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19,177,014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473,897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21,805,235 and 21,623,350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December 31, 2010 and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97,227,198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96,406,765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(5,417)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(40,431,443)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(44,585,861)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56,790,338</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51,820,904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82,010,703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65,754,263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57,398,230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51,599,543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24,190,701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21,343,451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19,653,450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6,988,965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6,285,305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5,669,954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13,053,675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10,930,233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9,581,565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8,577,488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8,152,291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4,879,794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5,139,475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4,822,268</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58,694,700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52,275,952</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49,118,025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7,059,563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5,122,278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2,481,518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(40,925)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(40,695)</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(67,613)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(20,858)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(15,224)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72,188</w:t>
            </w:r>
          </w:p>
        </w:tc>
        <w:tc>
          <w:tcPr>
            <w:tcW w:w="0" w:type="dxa"/>
            <w:vAlign w:val="bottom"/>
          </w:tcPr>
          <w:p>
            <w:pPr>
              <w:spacing w:after="0"/>
              <w:rPr>
                <w:sz w:val="1"/>
                <w:szCs w:val="1"/>
                <w:color w:val="auto"/>
              </w:rPr>
            </w:pPr>
          </w:p>
        </w:tc>
      </w:tr>
      <w:tr>
        <w:trPr>
          <w:trHeight w:val="432"/>
        </w:trPr>
        <w:tc>
          <w:tcPr>
            <w:tcW w:w="7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7,038,705</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5,107,054</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2,553,706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2,884,287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(8,865,192)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(301,089)</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4,154,418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13,972,246</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2,854,795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21,766,915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21,457,517</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21,707,364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22,488,024</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21,838,040</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22,204,314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980" w:type="dxa"/>
            <w:vAlign w:val="bottom"/>
            <w:gridSpan w:val="5"/>
            <w:vMerge w:val="restart"/>
          </w:tcPr>
          <w:p>
            <w:pPr>
              <w:jc w:val="right"/>
              <w:ind w:right="130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980" w:type="dxa"/>
            <w:vAlign w:val="bottom"/>
            <w:gridSpan w:val="5"/>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7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rPr>
                <w:sz w:val="14"/>
                <w:szCs w:val="14"/>
                <w:color w:val="auto"/>
              </w:rPr>
            </w:pPr>
          </w:p>
        </w:tc>
        <w:tc>
          <w:tcPr>
            <w:tcW w:w="9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580" w:type="dxa"/>
            <w:vAlign w:val="bottom"/>
          </w:tcPr>
          <w:p>
            <w:pPr>
              <w:spacing w:after="0"/>
              <w:rPr>
                <w:sz w:val="14"/>
                <w:szCs w:val="14"/>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22,315,485</w:t>
            </w: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$97,126,520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 (61,412,902)</w:t>
            </w:r>
          </w:p>
        </w:tc>
        <w:tc>
          <w:tcPr>
            <w:tcW w:w="4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$35,713,618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2,854,795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771,560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106,162</w:t>
            </w:r>
          </w:p>
        </w:tc>
        <w:tc>
          <w:tcPr>
            <w:tcW w:w="5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210,928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Issuance of common stock to Employee Stock</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Plan</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53,108</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130,911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480" w:type="dxa"/>
            <w:vAlign w:val="bottom"/>
            <w:gridSpan w:val="3"/>
          </w:tcPr>
          <w:p>
            <w:pPr>
              <w:jc w:val="right"/>
              <w:ind w:right="500"/>
              <w:spacing w:after="0"/>
              <w:rPr>
                <w:sz w:val="20"/>
                <w:szCs w:val="20"/>
                <w:color w:val="auto"/>
              </w:rPr>
            </w:pPr>
            <w:r>
              <w:rPr>
                <w:rFonts w:ascii="Arial" w:cs="Arial" w:eastAsia="Arial" w:hAnsi="Arial"/>
                <w:sz w:val="18"/>
                <w:szCs w:val="18"/>
                <w:color w:val="auto"/>
              </w:rPr>
              <w:t>(1,092,700)</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(2,919,030)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(2,919,030)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21,382,055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95,320,889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(58,558,107)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36,762,782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13,972,246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13,972,246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660,522</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241,295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425,354</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425,354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21,623,350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96,406,765</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(44,585,861)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51,820,904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4,154,418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4,154,418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Unrealized loss on investments in marketable</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securities</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(5,417)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14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4,149,001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663,519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259,650</w:t>
            </w:r>
          </w:p>
        </w:tc>
        <w:tc>
          <w:tcPr>
            <w:tcW w:w="54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536,332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(77,765)</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(379,418)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(379,418)</w:t>
            </w: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December 31, 2010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21,805,235</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97,227,198</w:t>
            </w:r>
          </w:p>
        </w:tc>
        <w:tc>
          <w:tcPr>
            <w:tcW w:w="5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(40,431,443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(5,417)</w:t>
            </w:r>
          </w:p>
        </w:tc>
        <w:tc>
          <w:tcPr>
            <w:tcW w:w="5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56,790,338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16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1"/>
              </w:rPr>
              <w:t>For the Year Ended December 31,</w:t>
            </w:r>
          </w:p>
        </w:tc>
        <w:tc>
          <w:tcPr>
            <w:tcW w:w="100" w:type="dxa"/>
            <w:vAlign w:val="bottom"/>
          </w:tcPr>
          <w:p>
            <w:pPr>
              <w:spacing w:after="0"/>
              <w:rPr>
                <w:sz w:val="14"/>
                <w:szCs w:val="14"/>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4,154,418</w:t>
            </w:r>
          </w:p>
        </w:tc>
        <w:tc>
          <w:tcPr>
            <w:tcW w:w="3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13,972,246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2,854,795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4,879,794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5,139,475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4,822,268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2,673,670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(9,091,548)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Stock 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663,519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660,522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771,560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(18,673)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(48,727)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(50,419)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(1,232,398)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(1,393,167)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(383,277)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(1,061,143)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(1,088,661)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(394,788)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(196,286)</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(105,927)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46,443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187,929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129,894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186,773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822,520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(428,901)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20" w:type="dxa"/>
            <w:vAlign w:val="bottom"/>
          </w:tcPr>
          <w:p>
            <w:pPr>
              <w:ind w:left="600"/>
              <w:spacing w:after="0" w:line="201" w:lineRule="exact"/>
              <w:rPr>
                <w:sz w:val="20"/>
                <w:szCs w:val="20"/>
                <w:color w:val="auto"/>
              </w:rPr>
            </w:pPr>
            <w:r>
              <w:rPr>
                <w:rFonts w:ascii="Arial" w:cs="Arial" w:eastAsia="Arial" w:hAnsi="Arial"/>
                <w:sz w:val="18"/>
                <w:szCs w:val="18"/>
                <w:color w:val="auto"/>
                <w:w w:val="97"/>
              </w:rPr>
              <w:t>Accrued liabilities, accrued compensation and related expenses, and other long-term</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1,300,064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1,081,435</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(1,211,005)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(274,326)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4,506,578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2,031,567</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w w:val="97"/>
              </w:rPr>
              <w:t>16,116,829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11,569,338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6,042,598</w:t>
            </w: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(5,709,723)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(2,043,752)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(1,282,750)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(2,623,620)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(1,787,297)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(1,138,598)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2"/>
              </w:rPr>
              <w:t>(10,377,095)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(3,070,047)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(2,128,224)</w:t>
            </w:r>
          </w:p>
        </w:tc>
        <w:tc>
          <w:tcPr>
            <w:tcW w:w="0" w:type="dxa"/>
            <w:vAlign w:val="bottom"/>
          </w:tcPr>
          <w:p>
            <w:pPr>
              <w:spacing w:after="0"/>
              <w:rPr>
                <w:sz w:val="1"/>
                <w:szCs w:val="1"/>
                <w:color w:val="auto"/>
              </w:rPr>
            </w:pPr>
          </w:p>
        </w:tc>
      </w:tr>
      <w:tr>
        <w:trPr>
          <w:trHeight w:val="439"/>
        </w:trPr>
        <w:tc>
          <w:tcPr>
            <w:tcW w:w="72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536,332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425,354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210,928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(379,418)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(2,919,030)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8"/>
              <w:spacing w:after="0"/>
              <w:rPr>
                <w:sz w:val="20"/>
                <w:szCs w:val="20"/>
                <w:color w:val="auto"/>
              </w:rPr>
            </w:pPr>
            <w:r>
              <w:rPr>
                <w:rFonts w:ascii="Arial" w:cs="Arial" w:eastAsia="Arial" w:hAnsi="Arial"/>
                <w:sz w:val="18"/>
                <w:szCs w:val="18"/>
                <w:color w:val="auto"/>
              </w:rPr>
              <w:t>(8,905)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(20,103)</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(306,942)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(724,095)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(158,933)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(318,844)</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(3,407,108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5,580,801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8,180,447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12,287,059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4,106,612</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3,599,346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17,867,860</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12,287,059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4,106,612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40,925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43,689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200"/>
              <w:spacing w:after="0"/>
              <w:rPr>
                <w:sz w:val="20"/>
                <w:szCs w:val="20"/>
                <w:color w:val="auto"/>
              </w:rPr>
            </w:pPr>
            <w:r>
              <w:rPr>
                <w:rFonts w:ascii="Arial" w:cs="Arial" w:eastAsia="Arial" w:hAnsi="Arial"/>
                <w:sz w:val="18"/>
                <w:szCs w:val="18"/>
                <w:color w:val="auto"/>
              </w:rPr>
              <w:t>Income 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368,407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145,835</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665,000</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480" w:firstLine="8"/>
        <w:spacing w:after="0" w:line="378"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ind w:right="120"/>
        <w:spacing w:after="0" w:line="297" w:lineRule="auto"/>
        <w:rPr>
          <w:sz w:val="20"/>
          <w:szCs w:val="20"/>
          <w:color w:val="auto"/>
        </w:rPr>
      </w:pPr>
      <w:r>
        <w:rPr>
          <w:rFonts w:ascii="Arial" w:cs="Arial" w:eastAsia="Arial" w:hAnsi="Arial"/>
          <w:sz w:val="16"/>
          <w:szCs w:val="16"/>
          <w:color w:val="auto"/>
        </w:rPr>
        <w:t>HealthStream, Inc. (the “Company”) was incorporated in 1990 as a Tennessee corporation and is headquartered in Nashville, Tennessee. We operate our business in two segments: 1) HealthStream Learning and 2) HealthStream Research. Our HealthStream Learning products consist of Internet-based services and solutions to meet the ongoing training, information, and education needs of the healthcare community. These solutions provide, deliver and track computer based education for our customers in the United States through our software-as-a-service (SaaS) model. HealthStream Research products offer healthcare organizations a wide range of quality and satisfaction surveys, analyses of survey results, and other research-based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121"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Revenues are derived from providing services through our Internet-based learning products, provision of survey and research services, courseware subscriptions, professional services, content maintenance, custom courseware development and other education and training services.</w:t>
      </w:r>
    </w:p>
    <w:p>
      <w:pPr>
        <w:spacing w:after="0" w:line="16"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the Company’s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71"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Revenues derived from the delivery of services through the Company’s Internet-based learning products and courseware subscriptions are recognized ratably over the term of the subscription service agreement. Other training revenues are generally recognized upon the completion of training.</w:t>
      </w:r>
    </w:p>
    <w:p>
      <w:pPr>
        <w:spacing w:after="0" w:line="3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Fees for these services are billed upon initiation of the survey cycle, with progress billings made throughout the survey cycle.</w:t>
      </w:r>
    </w:p>
    <w:p>
      <w:pPr>
        <w:spacing w:after="0" w:line="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ind w:right="562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Principles of Consolidation</w:t>
      </w: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and cash equivalents to be unrestricted, highly liquid investments with initial maturities of less than three months.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received for registration fees is classified as restricted cash on the accompanying consolidated balance sheets. The use of this cash is restricted because it is held on behalf of the commercial supporter until services have been rendered, at which time the registration fees are used to pay certain expenses and fees for conducting those services. Excess registration funds are typically remitted to the commercial supporter or applied to other projects. Any deficiency in registration funds is billed to the commercial supporter.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Marketable Securities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Investments in marketable securities are classified as available-for-sale and are stated at fair market value, with the unrealized gains and losses, net of tax, reported in other comprehensive income (loss) on the accompanying consolidated balance sheets. Realized gains and losses and declines in market value judged to be other-than-temporary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available-for-sale are included in interest and other income on the accompanying consolidated statements of income. Premiums and discounts are amortized over the life of the related available-for-sale security as an adjustment to yield using the effective interest method.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 Deferred revenue represents amounts, which have been billed or collected, but not yet recognized in revenue.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and the amounts charged to bad debt expense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Allowance</w:t>
            </w:r>
          </w:p>
        </w:tc>
        <w:tc>
          <w:tcPr>
            <w:tcW w:w="19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Charged to Costs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97"/>
              </w:rPr>
              <w:t>Allowance Balance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Balance at</w:t>
            </w:r>
          </w:p>
        </w:tc>
        <w:tc>
          <w:tcPr>
            <w:tcW w:w="1920" w:type="dxa"/>
            <w:vAlign w:val="bottom"/>
            <w:gridSpan w:val="4"/>
            <w:vMerge w:val="continue"/>
          </w:tcPr>
          <w:p>
            <w:pPr>
              <w:spacing w:after="0"/>
              <w:rPr>
                <w:sz w:val="12"/>
                <w:szCs w:val="12"/>
                <w:color w:val="auto"/>
              </w:rPr>
            </w:pPr>
          </w:p>
        </w:tc>
        <w:tc>
          <w:tcPr>
            <w:tcW w:w="9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7"/>
              </w:rPr>
              <w:t>Write-offs</w:t>
            </w:r>
          </w:p>
        </w:tc>
        <w:tc>
          <w:tcPr>
            <w:tcW w:w="1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3300" w:type="dxa"/>
            <w:vAlign w:val="bottom"/>
            <w:gridSpan w:val="4"/>
          </w:tcPr>
          <w:p>
            <w:pPr>
              <w:ind w:left="1800"/>
              <w:spacing w:after="0"/>
              <w:rPr>
                <w:sz w:val="20"/>
                <w:szCs w:val="20"/>
                <w:color w:val="auto"/>
              </w:rPr>
            </w:pPr>
            <w:r>
              <w:rPr>
                <w:rFonts w:ascii="Arial" w:cs="Arial" w:eastAsia="Arial" w:hAnsi="Arial"/>
                <w:sz w:val="14"/>
                <w:szCs w:val="14"/>
                <w:b w:val="1"/>
                <w:bCs w:val="1"/>
                <w:color w:val="auto"/>
              </w:rPr>
              <w:t>Beginning of Period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and Expenses</w:t>
            </w:r>
          </w:p>
        </w:tc>
        <w:tc>
          <w:tcPr>
            <w:tcW w:w="9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at End of Period</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w w:val="87"/>
              </w:rPr>
              <w:t>Year ended December 31,</w:t>
            </w:r>
          </w:p>
        </w:tc>
        <w:tc>
          <w:tcPr>
            <w:tcW w:w="1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right"/>
              <w:ind w:right="2990"/>
              <w:spacing w:after="0"/>
              <w:rPr>
                <w:sz w:val="20"/>
                <w:szCs w:val="20"/>
                <w:color w:val="auto"/>
              </w:rPr>
            </w:pPr>
            <w:r>
              <w:rPr>
                <w:rFonts w:ascii="Arial" w:cs="Arial" w:eastAsia="Arial" w:hAnsi="Arial"/>
                <w:sz w:val="18"/>
                <w:szCs w:val="18"/>
                <w:color w:val="auto"/>
              </w:rPr>
              <w:t>2010</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140,559</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65,000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48,836</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156,723</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jc w:val="right"/>
              <w:ind w:right="2990"/>
              <w:spacing w:after="0"/>
              <w:rPr>
                <w:sz w:val="20"/>
                <w:szCs w:val="20"/>
                <w:color w:val="auto"/>
              </w:rPr>
            </w:pPr>
            <w:r>
              <w:rPr>
                <w:rFonts w:ascii="Arial" w:cs="Arial" w:eastAsia="Arial" w:hAnsi="Arial"/>
                <w:sz w:val="18"/>
                <w:szCs w:val="18"/>
                <w:color w:val="auto"/>
              </w:rPr>
              <w:t>2009</w:t>
            </w:r>
          </w:p>
        </w:tc>
        <w:tc>
          <w:tcPr>
            <w:tcW w:w="19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106,542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115,983</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140,559</w:t>
            </w:r>
          </w:p>
        </w:tc>
        <w:tc>
          <w:tcPr>
            <w:tcW w:w="0" w:type="dxa"/>
            <w:vAlign w:val="bottom"/>
          </w:tcPr>
          <w:p>
            <w:pPr>
              <w:spacing w:after="0"/>
              <w:rPr>
                <w:sz w:val="1"/>
                <w:szCs w:val="1"/>
                <w:color w:val="auto"/>
              </w:rPr>
            </w:pPr>
          </w:p>
        </w:tc>
      </w:tr>
      <w:tr>
        <w:trPr>
          <w:trHeight w:val="230"/>
        </w:trPr>
        <w:tc>
          <w:tcPr>
            <w:tcW w:w="3660" w:type="dxa"/>
            <w:vAlign w:val="bottom"/>
          </w:tcPr>
          <w:p>
            <w:pPr>
              <w:jc w:val="right"/>
              <w:ind w:right="2990"/>
              <w:spacing w:after="0"/>
              <w:rPr>
                <w:sz w:val="20"/>
                <w:szCs w:val="20"/>
                <w:color w:val="auto"/>
              </w:rPr>
            </w:pPr>
            <w:r>
              <w:rPr>
                <w:rFonts w:ascii="Arial" w:cs="Arial" w:eastAsia="Arial" w:hAnsi="Arial"/>
                <w:sz w:val="18"/>
                <w:szCs w:val="18"/>
                <w:color w:val="auto"/>
              </w:rPr>
              <w:t>2008</w:t>
            </w:r>
          </w:p>
        </w:tc>
        <w:tc>
          <w:tcPr>
            <w:tcW w:w="1920" w:type="dxa"/>
            <w:vAlign w:val="bottom"/>
            <w:gridSpan w:val="2"/>
          </w:tcPr>
          <w:p>
            <w:pPr>
              <w:ind w:left="180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72,895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130,000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96,353</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106,542</w:t>
            </w:r>
          </w:p>
        </w:tc>
        <w:tc>
          <w:tcPr>
            <w:tcW w:w="0" w:type="dxa"/>
            <w:vAlign w:val="bottom"/>
          </w:tcPr>
          <w:p>
            <w:pPr>
              <w:spacing w:after="0"/>
              <w:rPr>
                <w:sz w:val="1"/>
                <w:szCs w:val="1"/>
                <w:color w:val="auto"/>
              </w:rPr>
            </w:pPr>
          </w:p>
        </w:tc>
      </w:tr>
      <w:tr>
        <w:trPr>
          <w:trHeight w:val="391"/>
        </w:trPr>
        <w:tc>
          <w:tcPr>
            <w:tcW w:w="36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ind w:right="776"/>
              <w:spacing w:after="0"/>
              <w:rPr>
                <w:sz w:val="20"/>
                <w:szCs w:val="20"/>
                <w:color w:val="auto"/>
              </w:rPr>
            </w:pPr>
            <w:r>
              <w:rPr>
                <w:rFonts w:ascii="Arial" w:cs="Arial" w:eastAsia="Arial" w:hAnsi="Arial"/>
                <w:sz w:val="18"/>
                <w:szCs w:val="18"/>
                <w:color w:val="auto"/>
                <w:w w:val="99"/>
              </w:rPr>
              <w:t>38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Feature Enhancements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Capitalized software feature enhancements are stated on the basis of cost, and are presented net of accumulated amortization. The Company capitalizes costs incurred during the software development phase for projects when such costs are material. These assets are amortized using the straight-line method, generally over one to four years. The Company capitalized approximately $2.0 million and $1.3 million during 2010 and 2009, respectively. Maintenance and operating costs are expensed as incurred. As of December 31, 2010 and 2009, there were no capitalized internal development costs for computer software developed for resale.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$1,731,144 and $2,324,297 for the years ended December 31, 2010 and 2009,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Equipment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Goodwill represents the excess of purchase price over fair value of net tangible assets acquired. The Company measures goodwill for impairment at the reporting unit level using both income and market based models to determine the fair value of the reporting units. The Company will perform its goodwill impairment test whenever events or changes in facts or circumstances indicate that impairment may exist, or at least annually during the fourth quarter each year.</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Intangible assets acquired through acquisitions are comprised of content, contract rights, customer relationships, non-competition agreements and favorable lease rights. As of December 31, 2010 intangible assets with remaining unamortized balances include contract rights, customer relationships and non-competition agreements recorded in connection with the acquisitions of The Jackson Organization, Research Consultants, Inc. (TJO) and Data Management and Research, Inc. (DMR). Intangible assets are considered to have definite useful lives and are being amortized on a straight line basis over the expected periods to be benefited, generally three to five years for content, two to eight years for contract rights, customer lists and customer relationships, six months to four years for non-competition agreements, and over the lease term for favorable lease rights. The weighted average amortization period for definite lived intangible assets as of December 31, 2010 is 7.7 years. Intangible assets are reviewed for impairment whenever events or changes in facts or circumstances indicate that the carrying amount of the assets may not be recoverable. There were no impairments identified or recorded for the years ended December 31, 2010, 2009, or 2008.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Long-lived assets to be held for use are reviewed for events or changes in facts and circumstances, both internally and externally, which may indicate that an impairment of long-lived assets held for use are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property and equipment, capitalized software feature enhancements, other assets and intangible assets will be recoverable. There were no impairments identified or recorded for the years ended December 31, 2010, 2009, or 2008.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long-term portion of content development fees and other assets of a long-term nature.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2010, the Company has established a valuation allowance of $1.1 million for the portion of its net deferred tax assets that are not more likely than not expected to be realized.</w:t>
      </w:r>
    </w:p>
    <w:p>
      <w:pPr>
        <w:spacing w:after="0" w:line="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Support Liabilities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Commercial support liabilities represent grant funds received from entities supporting educational activities, in which we are the accredited provider. The funds are unrestricted, and are primarily used to pay for expenses associated with conducting the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maintains an accrual for service credits that may occur from our Internet-based learning products. The accrual is estimated using management’s judgment and analysis of potential risk of loss associated with downtime, system performance, or other contractual obligations associated with our hosted applications. At December 31, 2010, and 2009, the accrual for service credits balance was approximately $194,000 and $318,000, respectively, and is included on the accompanying consolidated balance sheets under the caption “accrued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liabilities represent the deferred rent liability associated with an operating lease for office space in Nashville, Tennessee.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2010, 2009, and 2008 was approximately $130,000, $137,000, and $284,000,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Product development costs include internal and external costs to develop and convert content for our Internet-based learning products. We capitalize the cost of content developed by third parties where the life expectancy is greater than one year and the anticipated cash flows from such content is expected to exceed its cost. The Company capitalized approximately $57,000 and $84,000 of content development costs during 2010 and 2009, respectively. Capitalized content development costs are included in the accompanying consolidated balance sheets under the captions “prepaid development fees” and “other assets.” We amortize content development over its expected life, which is generally one to three years. Content development costs that have been capitalized are subject to a periodic impairment review in accordance with our policy. The Company did not capitalize any internal web site development costs during 2010 or 2009, since the costs incurred were related to planning or operation of such products and sites.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2010, 2009, and 2008.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places its temporary excess cash investments in high quality, short-term money market instruments. At times, such investments may be in excess of the FDIC insurance limits.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2010, 2009, or 2008.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of December 31, 2010, the Company maintains a stock based compensation plan, which is described in Note 12. The Company accounts for stock based compensation using the fair-value based method for costs related to share-based payments, including stock options. The Company uses the Black Scholes option pricing model for calculating the fair value of awards issued under its stock based compensation plan. Stock based compensation cost is measured at the grant date, based on the fair value of the award that is ultimately expected to vest, and is recognized as an expense over the requisite service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 for financial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Cash and cash equivalents and restricted cash: </w:t>
      </w:r>
      <w:r>
        <w:rPr>
          <w:rFonts w:ascii="Arial" w:cs="Arial" w:eastAsia="Arial" w:hAnsi="Arial"/>
          <w:sz w:val="18"/>
          <w:szCs w:val="18"/>
          <w:color w:val="auto"/>
        </w:rPr>
        <w:t>The carrying amounts approximate the fair value because of the short-term maturity or short-term nature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instruments.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Accounts receivable, accounts receivable-unbilled, interest receivable, accounts payable, accrued liabilities and deferred revenue: </w:t>
      </w:r>
      <w:r>
        <w:rPr>
          <w:rFonts w:ascii="Arial" w:cs="Arial" w:eastAsia="Arial" w:hAnsi="Arial"/>
          <w:sz w:val="18"/>
          <w:szCs w:val="18"/>
          <w:color w:val="auto"/>
        </w:rPr>
        <w:t>The carrying amounts,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allowance for doubtful accounts, approximate the fair value because of the short-term nature of such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carrying amounts approximate the fair value based on quoted market prices. See Note 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Promissory note: </w:t>
      </w:r>
      <w:r>
        <w:rPr>
          <w:rFonts w:ascii="Arial" w:cs="Arial" w:eastAsia="Arial" w:hAnsi="Arial"/>
          <w:sz w:val="17"/>
          <w:szCs w:val="17"/>
          <w:color w:val="auto"/>
        </w:rPr>
        <w:t>The carrying amount approximates fair value based on current market rates for similar arrangements available to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2009, the Financial Accounting Standards Board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adoption of the guidance did not have an effect on the Company’s financial position, results of operations, or cash flows.</w:t>
      </w:r>
    </w:p>
    <w:p>
      <w:pPr>
        <w:spacing w:after="0" w:line="183" w:lineRule="exact"/>
        <w:rPr>
          <w:sz w:val="20"/>
          <w:szCs w:val="20"/>
          <w:color w:val="auto"/>
        </w:rPr>
      </w:pPr>
    </w:p>
    <w:p>
      <w:pPr>
        <w:ind w:right="89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ind w:right="80"/>
        <w:spacing w:after="0" w:line="259"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2010 and 2009 was 21,805,235 and 21,623,350, respectively. During February 2010, our Board of Directors authorized the Company to purchase up to $4.0 million of its common stock over a one year period. During 2010, the Company purchased 77,765 shares at an average price of $4.88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4,154,418</w:t>
            </w: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13,972,246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2,854,795</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21,766,915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21,457,417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21,707,364</w:t>
            </w: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721,109</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380,623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22,488,024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21,838,040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22,204,314</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years ended December 31, 2010, 2009, and 2008, the calculation of weighted average and equivalent shares excluded options and warrants that were anti-dilutive. The equivalent common shares related to such options and warrants were 397,875 in 2010, 1,478,664 in 2009, and 1,913,082 in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IN MARKETABLE SECURITIES</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December 31, 2010, the fair value of investments in marketable securities, which were all classified as current and available-for-sale, included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6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Unrealized Losses</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3,201,094</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$ 3,198,487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2,507,515</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(2,810)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2,504,705</w:t>
            </w:r>
          </w:p>
        </w:tc>
      </w:tr>
      <w:tr>
        <w:trPr>
          <w:trHeight w:val="27"/>
        </w:trPr>
        <w:tc>
          <w:tcPr>
            <w:tcW w:w="4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5,708,609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$ 5,703,192</w:t>
            </w:r>
          </w:p>
        </w:tc>
      </w:tr>
      <w:tr>
        <w:trPr>
          <w:trHeight w:val="20"/>
        </w:trPr>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debt securities at December 31, 2010 mature within one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Level 2 — Inputs other than quoted prices included in Level 1 that are observable for the asset or liability, either directly or indirectly. Level 2 inputs include quoted prices for similar assets or liabilities in active markets, or quoted market prices for identical or similar assets and liabilities in markets that are not active.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in which little or no market data exists, therefore requiring the Company to develop its own assumptions.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that are measured at fair value on a recurring basis as of December 31,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$ 5,703,192</w:t>
            </w: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investments in marketable securities consist of Corporate and Municipal debt securities classified as available for sale. The carrying amounts reported in the condensed consolidated balance sheets approximate the fair value of the Company’s investments in marketable securities based on quoted market prices.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and 2009, the Company did not have any financial liabilities that were subject to fair value measurements.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Goodwill is tested for impairment at least annually using a fair value method. The Company tests goodwill for impairment using both income and market based models.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additional impairment charges, which could adversely impact our operating results for the period in which such a determination is made. The Company performs its annual impairment evaluation of goodwill during the fourth quarter of each year and as changes in facts and circumstances indicate impairment exists. During the annual impairment evaluation in the fourth quarter of 2010 and 2009, the results of our goodwill impairment analysis indicated the fair value of our reporting units exceeded their carrying values. Therefore no impairment existed at December 31, 2010 and 2009.</w:t>
      </w:r>
    </w:p>
    <w:p>
      <w:pPr>
        <w:spacing w:after="0" w:line="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Goodwill for HealthStream Learning totaled $3,306,688 at December 31, 2010 and 2009, and goodwill for HealthStream Research totaled $17,840,176 at December 31, 2010 and 2009. There were no changes in the carrying amount of goodwill during the years ended December 31, 2010 and 2009. On January 1, 2002, upon the adoption of FASB guidance for goodwill and other intangible assets, the Company recorded a $5.0 million goodwill impairment charge for HealthStream Learning.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All intangible assets are considered to have finite useful lives. Customer related intangible assets include contract rights, customer lists, and customer relationships associated with our acquisitions of DMR and TJO. Other intangible assets include non-competition agreements associated with the same acquired entities. The intangibles are being amortized over their estimated useful lives, ranging from one to eight years. Amortization of intangible assets was approximately $947,000, $947,000, and $967,000, for the years ended December 31, 2010, 2009 and 2008,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6"/>
              </w:rPr>
              <w:t>As of December 31, 2010</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6"/>
              </w:rPr>
              <w:t>As of December 31, 2009</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0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6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1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(7,085,849)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$ 2,829,151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9,915,000</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(6,213,974)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$ 3,701,026</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972,142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rPr>
              <w:t>(957,479)</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14,663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972,142</w:t>
            </w:r>
          </w:p>
        </w:tc>
        <w:tc>
          <w:tcPr>
            <w:tcW w:w="1940" w:type="dxa"/>
            <w:vAlign w:val="bottom"/>
            <w:gridSpan w:val="3"/>
          </w:tcPr>
          <w:p>
            <w:pPr>
              <w:jc w:val="right"/>
              <w:ind w:right="520"/>
              <w:spacing w:after="0"/>
              <w:rPr>
                <w:sz w:val="20"/>
                <w:szCs w:val="20"/>
                <w:color w:val="auto"/>
              </w:rPr>
            </w:pPr>
            <w:r>
              <w:rPr>
                <w:rFonts w:ascii="Arial" w:cs="Arial" w:eastAsia="Arial" w:hAnsi="Arial"/>
                <w:sz w:val="18"/>
                <w:szCs w:val="18"/>
                <w:color w:val="auto"/>
              </w:rPr>
              <w:t>(882,222)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89,920</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10,887,142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(8,043,328)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$ 2,843,814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10,887,142</w:t>
            </w:r>
          </w:p>
        </w:tc>
        <w:tc>
          <w:tcPr>
            <w:tcW w:w="1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(7,096,196)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$ 3,790,946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the years ending December 31,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80" w:type="dxa"/>
            <w:vAlign w:val="bottom"/>
            <w:shd w:val="clear" w:color="auto" w:fill="CCEEFF"/>
          </w:tcPr>
          <w:p>
            <w:pPr>
              <w:jc w:val="right"/>
              <w:ind w:right="10030"/>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886,537</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jc w:val="right"/>
              <w:ind w:right="1003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871,875</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jc w:val="right"/>
              <w:ind w:right="10030"/>
              <w:spacing w:after="0"/>
              <w:rPr>
                <w:sz w:val="20"/>
                <w:szCs w:val="20"/>
                <w:color w:val="auto"/>
              </w:rPr>
            </w:pPr>
            <w:r>
              <w:rPr>
                <w:rFonts w:ascii="Arial" w:cs="Arial" w:eastAsia="Arial" w:hAnsi="Arial"/>
                <w:sz w:val="18"/>
                <w:szCs w:val="18"/>
                <w:color w:val="auto"/>
                <w:w w:val="84"/>
              </w:rPr>
              <w:t>2013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549,632</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jc w:val="right"/>
              <w:ind w:right="10030"/>
              <w:spacing w:after="0"/>
              <w:rPr>
                <w:sz w:val="20"/>
                <w:szCs w:val="20"/>
                <w:color w:val="auto"/>
              </w:rPr>
            </w:pPr>
            <w:r>
              <w:rPr>
                <w:rFonts w:ascii="Arial" w:cs="Arial" w:eastAsia="Arial" w:hAnsi="Arial"/>
                <w:sz w:val="18"/>
                <w:szCs w:val="18"/>
                <w:color w:val="auto"/>
                <w:w w:val="84"/>
              </w:rPr>
              <w:t>2014</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446,875</w:t>
            </w: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jc w:val="right"/>
              <w:ind w:right="10030"/>
              <w:spacing w:after="0"/>
              <w:rPr>
                <w:sz w:val="20"/>
                <w:szCs w:val="20"/>
                <w:color w:val="auto"/>
              </w:rPr>
            </w:pPr>
            <w:r>
              <w:rPr>
                <w:rFonts w:ascii="Arial" w:cs="Arial" w:eastAsia="Arial" w:hAnsi="Arial"/>
                <w:sz w:val="18"/>
                <w:szCs w:val="18"/>
                <w:color w:val="auto"/>
                <w:w w:val="84"/>
              </w:rPr>
              <w:t>2015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88,895</w:t>
            </w:r>
          </w:p>
        </w:tc>
        <w:tc>
          <w:tcPr>
            <w:tcW w:w="80" w:type="dxa"/>
            <w:vAlign w:val="bottom"/>
            <w:shd w:val="clear" w:color="auto" w:fill="CCEEFF"/>
          </w:tcPr>
          <w:p>
            <w:pPr>
              <w:spacing w:after="0"/>
              <w:rPr>
                <w:sz w:val="18"/>
                <w:szCs w:val="18"/>
                <w:color w:val="auto"/>
              </w:rPr>
            </w:pPr>
          </w:p>
        </w:tc>
      </w:tr>
      <w:tr>
        <w:trPr>
          <w:trHeight w:val="223"/>
        </w:trPr>
        <w:tc>
          <w:tcPr>
            <w:tcW w:w="10480" w:type="dxa"/>
            <w:vAlign w:val="bottom"/>
          </w:tcPr>
          <w:p>
            <w:pPr>
              <w:jc w:val="right"/>
              <w:ind w:right="981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2,843,814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CONTENT RIGHTS AND DEFERRED SERVICE CREDITS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2009, the Company entered into a renewal agreement with a customer in which the Company was provided continued rights to distribute and resell courseware owned by them. In exchange for the receipt of an exclusive license to distribute and resell this courseware, the Company provided the customer with service credits that can be exchanged for future purchases of the Company’s products and services. The value assigned to the content rights and the deferred service credits was $665,000, which represented the estimated fair value of the assets relinquished. The content rights are classified within prepaid development fees and other assets, and the deferred service credits are classified within accrued liabilities on our condensed consolidated balance sheets as of December 31, 2010 and 2009.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CONTENT RIGHTS AND DEFERRED SERVICE CREDITS (continued)</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These exchangeable service credits will be issued annually through December 31, 2011, and will expire twenty-four months after issuance. Any unused credits will be forfeited upon expiration. During the years ended December 31, 2010 and 2009, the Company issued exchangeable service credits of $100,000 and $465,000, respectively, in accordance with this agreement, and is obligated to issue remaining service credits of $100,000 in 2011. The content rights are being amortized on a straight-line basis through December 31, 2012. Revenues for products or services provided in exchange for these service credits will be recognized in accordance with our revenue recognition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COLLABORATIVE ARRANGEMENT</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23, 2010, the Company announced the formation of SimVentures, a collaborative arrangement between HealthStream and Laerdal Medical Corporation. SimVentures will offer products and services aimed at accelerating the global adoption of simulation-based learning by healthcare providers— with a focus on improving clinical competencies and patient outcomes. The Company will receive 50 percent of the profits or losses generated from the collaborative arrangement. A legal entity was not formed as part of the collaborative arrangement, therefore, the Company is accounting for SimVentures as a collaborative arrangement in accordance with applicable accounting guidance. SimVentures is currently in the product development phase, and sales activity is expected to commence during 2011. During the year ended December 31, 2010, the Company recorded approximately $413,000 of expenses related to the collaborative arrangement, which are primarily recorded in the product development category within the statements of income. The Company also recorded approximately $282,000 of capitalized software feature enhancements during 2010. SimVentures is included in the HealthStream Learning business segment.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provides services to healthcare organizations, pharmaceutical and medical device companies, and other members within the healthcare industry. These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authoring tools, courseware subscriptions, online training and content development, online sales training courses,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 HealthStream Research products and services include Patient Insights™, Employee Insights™, Physician Insights™, and Community Insights™ surveys, along with the Improvement Center™, national benchmarks, HCAHPS Improvement Library, consulting services, and other support tools.</w:t>
      </w:r>
    </w:p>
    <w:p>
      <w:pPr>
        <w:spacing w:after="0" w:line="70" w:lineRule="exact"/>
        <w:rPr>
          <w:sz w:val="20"/>
          <w:szCs w:val="20"/>
          <w:color w:val="auto"/>
        </w:rPr>
      </w:pPr>
    </w:p>
    <w:p>
      <w:pPr>
        <w:jc w:val="both"/>
        <w:ind w:right="340"/>
        <w:spacing w:after="0" w:line="257" w:lineRule="auto"/>
        <w:rPr>
          <w:sz w:val="20"/>
          <w:szCs w:val="20"/>
          <w:color w:val="auto"/>
        </w:rPr>
      </w:pPr>
      <w:r>
        <w:rPr>
          <w:rFonts w:ascii="Arial" w:cs="Arial" w:eastAsia="Arial" w:hAnsi="Arial"/>
          <w:sz w:val="18"/>
          <w:szCs w:val="18"/>
          <w:color w:val="auto"/>
        </w:rPr>
        <w:t>The following is the Company’s business segment information as of and for the years ended December 31, 2010, 2009 and 2008. 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2010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45,165,253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20,589,010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65,754,263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13,528,252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10,662,449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24,190,701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5,484,337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1,504,628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6,988,965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8,310,131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4,372,034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371,510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13,053,675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1,865,646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1,823,864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5,892,055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9,581,565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1,896,435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1,252,214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1,731,145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4,879,794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14,080,452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973,821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(7,994,710)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7,059,563</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18,730,859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26,701,566</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36,578,278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82,010,703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1,172,471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399,891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1,051,258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2,623,620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1,794,514</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2,043,752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9"/>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2009</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gridSpan w:val="3"/>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32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Unallocated</w:t>
            </w:r>
          </w:p>
        </w:tc>
        <w:tc>
          <w:tcPr>
            <w:tcW w:w="60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38,153,924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19,244,306</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$57,398,230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11,945,931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9,397,520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21,343,451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5,231,410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1,053,895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6,285,305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7,318,205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3,324,589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287,439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10,930,233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1,784,121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1,862,433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4,930,934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8,577,488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1,832,542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982,636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2,324,297</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5,139,475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10,041,715</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2,623,233</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(7,542,670)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5,122,278</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18,185,466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26,209,873</w:t>
            </w:r>
          </w:p>
        </w:tc>
        <w:tc>
          <w:tcPr>
            <w:tcW w:w="3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w w:val="86"/>
              </w:rPr>
              <w:t>26,606,941</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1,131,642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168,055</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487,600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1,787,297</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6"/>
              </w:rPr>
              <w:t>Payments associated with capitalized software feature enhancements</w:t>
            </w: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498,964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1,282,750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880"/>
              <w:spacing w:after="0"/>
              <w:rPr>
                <w:sz w:val="20"/>
                <w:szCs w:val="20"/>
                <w:color w:val="auto"/>
              </w:rPr>
            </w:pPr>
            <w:r>
              <w:rPr>
                <w:rFonts w:ascii="Arial" w:cs="Arial" w:eastAsia="Arial" w:hAnsi="Arial"/>
                <w:sz w:val="14"/>
                <w:szCs w:val="14"/>
                <w:b w:val="1"/>
                <w:bCs w:val="1"/>
                <w:color w:val="auto"/>
              </w:rPr>
              <w:t>Year ended December 31, 2008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Learning</w:t>
            </w:r>
          </w:p>
        </w:tc>
        <w:tc>
          <w:tcPr>
            <w:tcW w:w="5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Research</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gridSpan w:val="2"/>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32,831,640</w:t>
            </w: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18,767,903</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$51,599,543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10,616,573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9,036,877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19,653,450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4,634,664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1,035,290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5,669,954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7,087,094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3,522,928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210,040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1,617,432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1,889,971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4,644,888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8,152,291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1,714,119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1,002,527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2,105,622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4,822,268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7,161,758</w:t>
            </w: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2,280,310</w:t>
            </w:r>
          </w:p>
        </w:tc>
        <w:tc>
          <w:tcPr>
            <w:tcW w:w="3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1"/>
              </w:rPr>
              <w:t>(6,960,560)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2,481,518</w:t>
            </w:r>
          </w:p>
        </w:tc>
        <w:tc>
          <w:tcPr>
            <w:tcW w:w="0" w:type="dxa"/>
            <w:vAlign w:val="bottom"/>
          </w:tcPr>
          <w:p>
            <w:pPr>
              <w:spacing w:after="0"/>
              <w:rPr>
                <w:sz w:val="1"/>
                <w:szCs w:val="1"/>
                <w:color w:val="auto"/>
              </w:rPr>
            </w:pPr>
          </w:p>
        </w:tc>
      </w:tr>
      <w:tr>
        <w:trPr>
          <w:trHeight w:val="20"/>
        </w:trPr>
        <w:tc>
          <w:tcPr>
            <w:tcW w:w="5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16,027,451</w:t>
            </w:r>
          </w:p>
        </w:tc>
        <w:tc>
          <w:tcPr>
            <w:tcW w:w="56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27,018,000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9,751,430</w:t>
            </w:r>
          </w:p>
        </w:tc>
        <w:tc>
          <w:tcPr>
            <w:tcW w:w="60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594,816</w:t>
            </w: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118,328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425,454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1,138,598</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w w:val="96"/>
              </w:rPr>
              <w:t>Payments associated with capitalized software feature enhancements</w:t>
            </w:r>
          </w:p>
        </w:tc>
        <w:tc>
          <w:tcPr>
            <w:tcW w:w="4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46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513,540</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466,893</w:t>
            </w:r>
          </w:p>
        </w:tc>
        <w:tc>
          <w:tcPr>
            <w:tcW w:w="3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20" w:hanging="452"/>
        <w:spacing w:after="0" w:line="259"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feature enhancements, certain property and equipment, and intangible assets. Cash and cash equivalents and investments in marketable securities are not allocated to individual segments, and are included within Unallocated. A significant portion of property and equipment assets are included within Unallocated.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(benefit) for income taxes is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4"/>
                <w:szCs w:val="14"/>
                <w:color w:val="auto"/>
              </w:rPr>
            </w:pPr>
          </w:p>
        </w:tc>
        <w:tc>
          <w:tcPr>
            <w:tcW w:w="19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Year Ended December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145,697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116,401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Current state</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64,920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109,955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2,515,383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(8,134,543)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Deferred state</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158,287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(957,005)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2,884,287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(8,865,192)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(301,089)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380" w:type="dxa"/>
            <w:vAlign w:val="bottom"/>
            <w:vMerge w:val="restart"/>
          </w:tcPr>
          <w:p>
            <w:pPr>
              <w:jc w:val="right"/>
              <w:ind w:right="161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provision (benefit) for income taxes differs from the amounts computed by applying the federal statutory rate of 34% to the income before income taxes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00" w:type="dxa"/>
            <w:vAlign w:val="bottom"/>
            <w:vMerge w:val="restart"/>
          </w:tcPr>
          <w:p>
            <w:pPr>
              <w:spacing w:after="0"/>
              <w:rPr>
                <w:sz w:val="14"/>
                <w:szCs w:val="14"/>
                <w:color w:val="auto"/>
              </w:rPr>
            </w:pP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20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the statutory rate</w:t>
            </w:r>
          </w:p>
        </w:tc>
        <w:tc>
          <w:tcPr>
            <w:tcW w:w="2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$ 2,391,318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1,736,259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2920" w:type="dxa"/>
            <w:vAlign w:val="bottom"/>
            <w:gridSpan w:val="3"/>
          </w:tcPr>
          <w:p>
            <w:pPr>
              <w:jc w:val="right"/>
              <w:ind w:right="180"/>
              <w:spacing w:after="0"/>
              <w:rPr>
                <w:sz w:val="20"/>
                <w:szCs w:val="20"/>
                <w:color w:val="auto"/>
              </w:rPr>
            </w:pPr>
            <w:r>
              <w:rPr>
                <w:rFonts w:ascii="Arial" w:cs="Arial" w:eastAsia="Arial" w:hAnsi="Arial"/>
                <w:sz w:val="18"/>
                <w:szCs w:val="18"/>
                <w:color w:val="auto"/>
              </w:rPr>
              <w:t>309,152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202,223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183,817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229,484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Decrease in valuation allowance</w:t>
            </w:r>
          </w:p>
        </w:tc>
        <w:tc>
          <w:tcPr>
            <w:tcW w:w="19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(11,033,158)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(1,640,973)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$ 2,884,287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(8,865,192)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Management periodically assesses the realizability of its deferred tax assets, and to the extent that a recovery is not likely, a valuation allowance is established to reduce the deferred tax asset to the amount estimated to be recoverable. During 2009, the valuation allowance decreased $11,033,158, of which $9,091,548 was associated with the Company’s conclusion that substantially all of its deferred tax assets will be realized in future periods. During 2008, the Company released $375,467 of the valuation allowance. At December 31, 2010, a valuation allowance of $1,093,699 exists for the remaining portion of deferred tax assets, which are comprised of the portion of net operating loss carryforwards attributable to the exercises of stock options. Any future reductions of the valuation allowance associated with this deferred tax asset would be recognized as an increase to common stock.</w:t>
      </w:r>
    </w:p>
    <w:p>
      <w:pPr>
        <w:spacing w:after="0" w:line="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2010, the Company had federal and state net operating loss carryforwards of $24,645,179 and $19,781,583, respectively. These loss carryforwards will expire in years 2012 through 2024. As of December 31, 2010, $3,240,478 of the net operating loss carryforwards is attributable to the exercise of stock options, and if realized, the tax benefit will be recorded as an increase to common stock. The net operating loss carryforwards are subject to annual limitations under Internal Revenue Code Section 382. The annual limitations could result in the expiration of a portion of net operating loss and tax credit carryforwards before they are fully utilized.</w:t>
      </w:r>
    </w:p>
    <w:p>
      <w:pPr>
        <w:spacing w:after="0" w:line="80"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The Company has research and development tax credit carryforwards of $285,787 that expire in varying amounts through 2024. As of December 31, 2010, the Company has alternative minimum tax credit carryforwards of $360,754 that are available to offset future regular tax liabilities and they do not expire. Federal income tax payments of $191,000, $95,000 and $5,300, were made during the years ended December 31, 2010, 2009, and 2008, respectively. State income tax payments of $177,407, $50,835, and $41,560 were made during the years ended December 31, 2010, 2009, and 2008, respectively.</w:t>
      </w:r>
    </w:p>
    <w:p>
      <w:pPr>
        <w:spacing w:after="0" w:line="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December 31, 2010 and 2009,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2007 through 2010. Loss carryforwards and credit carryforwards generated or utilized in years earlier than 2007 are also subject to examination and adjustment. The Company has no income tax examinations in process.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59,544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707,050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Net operating loss carryforwards</w:t>
            </w:r>
          </w:p>
        </w:tc>
        <w:tc>
          <w:tcPr>
            <w:tcW w:w="2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3,015,898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2,320,194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3,829,395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3,080,656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(392,724)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current deferred tax assets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3,436,671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2,830,477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200"/>
              <w:spacing w:after="0"/>
              <w:rPr>
                <w:sz w:val="20"/>
                <w:szCs w:val="20"/>
                <w:color w:val="auto"/>
              </w:rPr>
            </w:pPr>
            <w:r>
              <w:rPr>
                <w:rFonts w:ascii="Arial" w:cs="Arial" w:eastAsia="Arial" w:hAnsi="Arial"/>
                <w:sz w:val="18"/>
                <w:szCs w:val="18"/>
                <w:color w:val="auto"/>
              </w:rPr>
              <w:t>Noncurrent deferred tax assets:</w:t>
            </w: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Research and development credits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285,787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Alternative minimum tax credits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360,754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operating loss carryforwards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6,265,284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9,721,833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7,436,919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10,678,495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Valuation allowance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(700,975)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Net noncurrent deferred tax assets</w:t>
            </w:r>
          </w:p>
        </w:tc>
        <w:tc>
          <w:tcPr>
            <w:tcW w:w="2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6,735,944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9,834,975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Deductible goodwill</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673,750</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291,565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Nondeductible intangible assets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917,010</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Total noncurrent deferred tax liabilities</w:t>
            </w:r>
          </w:p>
        </w:tc>
        <w:tc>
          <w:tcPr>
            <w:tcW w:w="2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1,389,408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1,208,575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5,346,536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8,626,400</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STOCK BASED COMPENSATION</w:t>
            </w: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980" w:type="dxa"/>
            <w:vAlign w:val="bottom"/>
            <w:gridSpan w:val="2"/>
            <w:vMerge w:val="continue"/>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stock based compensation expense recorded for the years ended December 31, 2010, 2009, and 2008, which is recorded in our statements of income,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22,722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45,479</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127,682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113,324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157,969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161,675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199,529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199,832</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337,095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324,947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368,280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663,519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660,522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771,560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2010 Stock Incentive Plan (the Plan) authorizes the grant of options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to annual vesting up to four years, beginning one year after the grant date. As of December 31, 2010, 1,372,500 shares of unissued common stock remained reserved for future grants under the Plan. The Company issues new shares of common stock when options are exercised.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fair value of options granted was estimated using the Black-Scholes method. The ranges of assumptions used for these estimates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2010</w:t>
            </w:r>
          </w:p>
        </w:tc>
        <w:tc>
          <w:tcPr>
            <w:tcW w:w="192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2009</w:t>
            </w:r>
          </w:p>
        </w:tc>
        <w:tc>
          <w:tcPr>
            <w:tcW w:w="192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2008</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1.88 — 2.49%</w:t>
            </w:r>
          </w:p>
        </w:tc>
        <w:tc>
          <w:tcPr>
            <w:tcW w:w="4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 — 3.22%</w:t>
            </w:r>
          </w:p>
        </w:tc>
        <w:tc>
          <w:tcPr>
            <w:tcW w:w="44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 — 3.56%</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 to 7</w:t>
            </w: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 to 7</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 to 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0-10%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0-20%</w:t>
            </w:r>
          </w:p>
        </w:tc>
        <w:tc>
          <w:tcPr>
            <w:tcW w:w="1920" w:type="dxa"/>
            <w:vAlign w:val="bottom"/>
            <w:gridSpan w:val="2"/>
          </w:tcPr>
          <w:p>
            <w:pPr>
              <w:jc w:val="right"/>
              <w:ind w:right="50"/>
              <w:spacing w:after="0"/>
              <w:rPr>
                <w:sz w:val="20"/>
                <w:szCs w:val="20"/>
                <w:color w:val="auto"/>
              </w:rPr>
            </w:pPr>
            <w:r>
              <w:rPr>
                <w:rFonts w:ascii="Arial" w:cs="Arial" w:eastAsia="Arial" w:hAnsi="Arial"/>
                <w:sz w:val="18"/>
                <w:szCs w:val="18"/>
                <w:color w:val="auto"/>
              </w:rPr>
              <w:t>0-20%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55%</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60%</w:t>
            </w:r>
          </w:p>
        </w:tc>
        <w:tc>
          <w:tcPr>
            <w:tcW w:w="19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Expected life</w:t>
      </w:r>
      <w:r>
        <w:rPr>
          <w:rFonts w:ascii="Arial" w:cs="Arial" w:eastAsia="Arial" w:hAnsi="Arial"/>
          <w:sz w:val="18"/>
          <w:szCs w:val="18"/>
          <w:color w:val="auto"/>
        </w:rPr>
        <w:t xml:space="preserve"> is the period of time the option is expected to remain outstanding, and is based on historical experience. The contractual option life ranges from eight to ten years. The Company estimated the expected life of options granted to members of management to be five years and seven to eight years for directors.</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u w:val="single" w:color="auto"/>
          <w:color w:val="auto"/>
        </w:rPr>
        <w:t>Volatility</w:t>
      </w:r>
      <w:r>
        <w:rPr>
          <w:rFonts w:ascii="Arial" w:cs="Arial" w:eastAsia="Arial" w:hAnsi="Arial"/>
          <w:sz w:val="17"/>
          <w:szCs w:val="17"/>
          <w:color w:val="auto"/>
        </w:rPr>
        <w:t xml:space="preserve"> is the measure of the amount by which the price is expected to fluctuate. The Company estimated volatility based on the actual historical volatility of the Company’s common stock, and management believes future volatility will be similar to the Company’s historical volatility experience.</w:t>
      </w:r>
    </w:p>
    <w:p>
      <w:pPr>
        <w:spacing w:after="0" w:line="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amortizes the fair value of all stock based awards, net of estimated forfeitures, on a straight-line basis over the requisite service period, which generally is the vesting period.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activity and various other information relative to stock options for the year ended December 31, 2010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1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60" w:type="dxa"/>
            <w:vAlign w:val="bottom"/>
          </w:tcPr>
          <w:p>
            <w:pPr>
              <w:spacing w:after="0"/>
              <w:rPr>
                <w:sz w:val="14"/>
                <w:szCs w:val="14"/>
                <w:color w:val="auto"/>
              </w:rPr>
            </w:pPr>
          </w:p>
        </w:tc>
        <w:tc>
          <w:tcPr>
            <w:tcW w:w="840" w:type="dxa"/>
            <w:vAlign w:val="bottom"/>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2,465,750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341,500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4.07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(259,650)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(69,500)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Outstanding — end of period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12,299,238</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1,527,200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7,694,660</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in the table above represents the total difference between the Company’s closing stock price on December 31, 2010 (the last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trading day of the year) of $8.04 and the option exercise price, multiplied by the number of in-the-money options as of December 31, 2010.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2010, total unrecognized compensation expense related to non-vested stock options was $950,377, net of estimated forfeitures, with a weighted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average expense recognition period of 2.2 years. The weighted average remaining contractual term of options outstanding at December 31, 2010 was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4.3 years. Options exercisable at December 31, 2010 have a weighted average remaining contractual term of 3.2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years ended December 31, 2010, 2009, and 2008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587,599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531,104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629,528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637,760</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547,628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61,617</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536,332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425,354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210,928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740" w:firstLine="8"/>
        <w:spacing w:after="0" w:line="378" w:lineRule="auto"/>
        <w:tabs>
          <w:tab w:leader="none" w:pos="27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ind w:right="80"/>
        <w:spacing w:after="0" w:line="259"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and 2009, the Company had the following debt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1720" w:type="dxa"/>
            <w:vAlign w:val="bottom"/>
            <w:gridSpan w:val="6"/>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Less current portion</w:t>
            </w:r>
          </w:p>
        </w:tc>
        <w:tc>
          <w:tcPr>
            <w:tcW w:w="50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(306,942)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During 2007, the Company financed the purchase of approximately $2.1 million in multi-year software licenses. As a result of this transaction, the Company entered into a promissory note loan agreement which was scheduled to be repaid in 36 payments due on a monthly basis beginning July 1, 2007. The promissory note included interest at an annual rate of 2.32%, and was unsecured. The promissory note was paid in full during 2010.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w:t>
      </w:r>
    </w:p>
    <w:p>
      <w:pPr>
        <w:spacing w:after="0" w:line="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$15.0 million, which matures on July 21, 2011. The obligations under the revolving credit facility are guaranteed by each of the Company’s subsidiaries. The Company’s borrowings under the revolving credit facility bear interest at the 30-Day LIBOR Rate plus a margin of either 190 or 220 basis points determined in accordance with a pricing grid, but has a minimum interest rate of not less than three percent. Principal is payable in full on the maturity date. The Company is required to pay a commitment fee of 25 basis points per annum of the average daily unused portion of the revolving credit facility.</w:t>
      </w:r>
    </w:p>
    <w:p>
      <w:pPr>
        <w:spacing w:after="0" w:line="5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 maximum total leverage ratio (consolidated debt/consolidated EBITDA) of 2.0 to 1.0;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funded debt to total capitalization may not exceed 40%;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tangible net worth may not be less than $1.00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2010, the Company believes it was in compliance with all covenants. There were no balances outstanding on the revolving credit facility as of December 31,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of December 31, 2010, the Company leased office facilities in Nashville, TN and Laurel, MD under agreements that expire before or during April 2017.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$1,756,000, $1,467,000, and $1,502,000, for the years ended December 31, 2010, 2009, and 2008, respectively. The Company also leases office equipment from third parties which are accounted for as capital leases.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rental payment commitments at December 31, 2010 under capital and non-cancelable operating leases, with initial terms of one year or more,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Capital Leases</w:t>
            </w: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Operating 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2012</w:t>
            </w: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885,589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2014</w:t>
            </w: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764,741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4,494</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5,663,465</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Less amounts representing interest</w:t>
            </w:r>
          </w:p>
        </w:tc>
        <w:tc>
          <w:tcPr>
            <w:tcW w:w="2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80" w:type="dxa"/>
            <w:vAlign w:val="bottom"/>
            <w:gridSpan w:val="2"/>
            <w:vMerge w:val="continue"/>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82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The carrying value of assets under capital leases, which are included with owned assets in the accompanying consolidated balance sheets, was $-0- and $7,500 at December 31, 2010 and 2009, respectively. Amortization of the assets under the capital leases is included in depreciation expense on the accompanying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 / 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2010.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2010.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2010, the Company’s internal control over financial reporting was effective based on those criteria.</w:t>
      </w:r>
    </w:p>
    <w:p>
      <w:pPr>
        <w:spacing w:after="0" w:line="80"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2010 that have materially affected, or that are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proxy statement for the 2011 Annual Meeting of Shareholders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2011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2011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2011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2011 Annual Meeting of Shareholders that we will file with the Securities and Exchange Commission within 120 days of the end of the fiscal year to which this report relates.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8" w:name="page59"/>
    <w:bookmarkEnd w:id="58"/>
    <w:p>
      <w:pPr>
        <w:spacing w:after="0" w:line="3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(a)(1) Financial Statements Reference is made to the financial statements included in Item 8 to this Report on Form 10-K.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500" w:type="dxa"/>
            <w:vAlign w:val="bottom"/>
            <w:tcBorders>
              <w:bottom w:val="single" w:sz="8" w:color="auto"/>
            </w:tcBorders>
          </w:tcPr>
          <w:p>
            <w:pPr>
              <w:ind w:left="49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w w:val="96"/>
              </w:rPr>
              <w:t>Stock Purchase Agreement, dated as of March 28, 2005, by and among HealthStream, Inc., Mel B. Thompson and Data Management &amp;</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Research, Inc.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Stock Purchase Agreement, dated as of March 12, 2007, by and among HealthStream, Inc., The Jackson Organization, Research Consultants,</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8"/>
              </w:rPr>
              <w:t>*10.3^</w:t>
            </w:r>
            <w:r>
              <w:rPr>
                <w:rFonts w:ascii="Arial" w:cs="Arial" w:eastAsia="Arial" w:hAnsi="Arial"/>
                <w:sz w:val="15"/>
                <w:szCs w:val="15"/>
                <w:color w:val="auto"/>
                <w:w w:val="98"/>
              </w:rPr>
              <w:t>(9)</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Stock Incentive Plan, effective as of May 27, 2010</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8"/>
              </w:rPr>
              <w:t>*10.5^</w:t>
            </w:r>
            <w:r>
              <w:rPr>
                <w:rFonts w:ascii="Arial" w:cs="Arial" w:eastAsia="Arial" w:hAnsi="Arial"/>
                <w:sz w:val="15"/>
                <w:szCs w:val="15"/>
                <w:color w:val="auto"/>
                <w:w w:val="98"/>
              </w:rPr>
              <w:t>(3)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Lease dated March 27, 1995, as amended June 6, 1995 and September 22, 1998, between Cummins Station LLC, as landlord, and NewOrder</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Media, Inc., as tenant</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10.10 </w:t>
            </w:r>
            <w:r>
              <w:rPr>
                <w:rFonts w:ascii="Arial" w:cs="Arial" w:eastAsia="Arial" w:hAnsi="Arial"/>
                <w:sz w:val="15"/>
                <w:szCs w:val="15"/>
                <w:color w:val="auto"/>
                <w:w w:val="99"/>
              </w:rPr>
              <w:t>(5)</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10.11 </w:t>
            </w:r>
            <w:r>
              <w:rPr>
                <w:rFonts w:ascii="Arial" w:cs="Arial" w:eastAsia="Arial" w:hAnsi="Arial"/>
                <w:sz w:val="15"/>
                <w:szCs w:val="15"/>
                <w:color w:val="auto"/>
                <w:w w:val="99"/>
              </w:rPr>
              <w:t>(6)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10.12 </w:t>
            </w:r>
            <w:r>
              <w:rPr>
                <w:rFonts w:ascii="Arial" w:cs="Arial" w:eastAsia="Arial" w:hAnsi="Arial"/>
                <w:sz w:val="15"/>
                <w:szCs w:val="15"/>
                <w:color w:val="auto"/>
                <w:w w:val="99"/>
              </w:rPr>
              <w:t>(7)</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10.13 </w:t>
            </w:r>
            <w:r>
              <w:rPr>
                <w:rFonts w:ascii="Arial" w:cs="Arial" w:eastAsia="Arial" w:hAnsi="Arial"/>
                <w:sz w:val="15"/>
                <w:szCs w:val="15"/>
                <w:color w:val="auto"/>
                <w:w w:val="99"/>
              </w:rPr>
              <w:t>(8)</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Subsidiaries of HealthStream, Inc.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77"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ectPr>
          <w:pgSz w:w="11900" w:h="16874" w:orient="portrait"/>
          <w:cols w:equalWidth="0" w:num="1">
            <w:col w:w="11420"/>
          </w:cols>
          <w:pgMar w:left="240" w:top="419" w:right="239" w:bottom="0" w:gutter="0" w:footer="0" w:header="0"/>
        </w:sectPr>
      </w:pPr>
    </w:p>
    <w:bookmarkStart w:id="59" w:name="page60"/>
    <w:bookmarkEnd w:id="59"/>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76" w:lineRule="exact"/>
        <w:rPr>
          <w:rFonts w:ascii="Arial" w:cs="Arial" w:eastAsia="Arial" w:hAnsi="Arial"/>
          <w:sz w:val="18"/>
          <w:szCs w:val="18"/>
          <w:color w:val="auto"/>
        </w:rPr>
      </w:pPr>
    </w:p>
    <w:p>
      <w:pPr>
        <w:ind w:left="572" w:hanging="572"/>
        <w:spacing w:after="0"/>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to Appendix B of the Company’s Definitive Proxy Statement filed with the SEC on April 29, 2010.</w:t>
      </w:r>
    </w:p>
    <w:p>
      <w:pPr>
        <w:spacing w:after="0" w:line="20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206"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23rd day of March, 2011.</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400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Title(s)</w:t>
            </w:r>
          </w:p>
        </w:tc>
        <w:tc>
          <w:tcPr>
            <w:tcW w:w="56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Robert A. Frist, Jr.</w:t>
            </w:r>
          </w:p>
        </w:tc>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Gerard M. Hayden, Jr.</w:t>
            </w:r>
          </w:p>
        </w:tc>
        <w:tc>
          <w:tcPr>
            <w:tcW w:w="5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0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Thompson Dent</w:t>
            </w:r>
          </w:p>
        </w:tc>
        <w:tc>
          <w:tcPr>
            <w:tcW w:w="580" w:type="dxa"/>
            <w:vAlign w:val="bottom"/>
          </w:tcPr>
          <w:p>
            <w:pPr>
              <w:spacing w:after="0"/>
              <w:rPr>
                <w:sz w:val="19"/>
                <w:szCs w:val="19"/>
                <w:color w:val="auto"/>
              </w:rPr>
            </w:pPr>
          </w:p>
        </w:tc>
        <w:tc>
          <w:tcPr>
            <w:tcW w:w="400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G</w:t>
            </w:r>
            <w:r>
              <w:rPr>
                <w:rFonts w:ascii="Arial" w:cs="Arial" w:eastAsia="Arial" w:hAnsi="Arial"/>
                <w:sz w:val="12"/>
                <w:szCs w:val="12"/>
                <w:color w:val="auto"/>
              </w:rPr>
              <w:t>ORDON</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Frank Gordon</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M</w:t>
            </w:r>
            <w:r>
              <w:rPr>
                <w:rFonts w:ascii="Arial" w:cs="Arial" w:eastAsia="Arial" w:hAnsi="Arial"/>
                <w:sz w:val="12"/>
                <w:szCs w:val="12"/>
                <w:color w:val="auto"/>
              </w:rPr>
              <w:t>ARTIN</w:t>
            </w:r>
            <w:r>
              <w:rPr>
                <w:rFonts w:ascii="Arial" w:cs="Arial" w:eastAsia="Arial" w:hAnsi="Arial"/>
                <w:sz w:val="18"/>
                <w:szCs w:val="18"/>
                <w:color w:val="auto"/>
              </w:rPr>
              <w:t xml:space="preserve"> H</w:t>
            </w:r>
            <w:r>
              <w:rPr>
                <w:rFonts w:ascii="Arial" w:cs="Arial" w:eastAsia="Arial" w:hAnsi="Arial"/>
                <w:sz w:val="12"/>
                <w:szCs w:val="12"/>
                <w:color w:val="auto"/>
              </w:rPr>
              <w:t>ARRIS</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C. Martin Harris</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EFFREY</w:t>
            </w:r>
            <w:r>
              <w:rPr>
                <w:rFonts w:ascii="Arial" w:cs="Arial" w:eastAsia="Arial" w:hAnsi="Arial"/>
                <w:sz w:val="18"/>
                <w:szCs w:val="18"/>
                <w:color w:val="auto"/>
              </w:rPr>
              <w:t xml:space="preserve"> L.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AREN</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Jeffrey L. McLaren</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ALE</w:t>
            </w:r>
            <w:r>
              <w:rPr>
                <w:rFonts w:ascii="Arial" w:cs="Arial" w:eastAsia="Arial" w:hAnsi="Arial"/>
                <w:sz w:val="18"/>
                <w:szCs w:val="18"/>
                <w:color w:val="auto"/>
              </w:rPr>
              <w:t xml:space="preserve"> P</w:t>
            </w:r>
            <w:r>
              <w:rPr>
                <w:rFonts w:ascii="Arial" w:cs="Arial" w:eastAsia="Arial" w:hAnsi="Arial"/>
                <w:sz w:val="12"/>
                <w:szCs w:val="12"/>
                <w:color w:val="auto"/>
              </w:rPr>
              <w:t>OLLEY</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Dale Polley</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INDA</w:t>
            </w:r>
            <w:r>
              <w:rPr>
                <w:rFonts w:ascii="Arial" w:cs="Arial" w:eastAsia="Arial" w:hAnsi="Arial"/>
                <w:sz w:val="18"/>
                <w:szCs w:val="18"/>
                <w:color w:val="auto"/>
              </w:rPr>
              <w:t xml:space="preserve"> R</w:t>
            </w:r>
            <w:r>
              <w:rPr>
                <w:rFonts w:ascii="Arial" w:cs="Arial" w:eastAsia="Arial" w:hAnsi="Arial"/>
                <w:sz w:val="12"/>
                <w:szCs w:val="12"/>
                <w:color w:val="auto"/>
              </w:rPr>
              <w:t>EBROVICK</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Linda Rebrovick</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HMERLING</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Michael Shmerling</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S</w:t>
            </w:r>
            <w:r>
              <w:rPr>
                <w:rFonts w:ascii="Arial" w:cs="Arial" w:eastAsia="Arial" w:hAnsi="Arial"/>
                <w:sz w:val="12"/>
                <w:szCs w:val="12"/>
                <w:color w:val="auto"/>
              </w:rPr>
              <w:t>TEAD</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William Stead</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EBORAH</w:t>
            </w:r>
            <w:r>
              <w:rPr>
                <w:rFonts w:ascii="Arial" w:cs="Arial" w:eastAsia="Arial" w:hAnsi="Arial"/>
                <w:sz w:val="18"/>
                <w:szCs w:val="18"/>
                <w:color w:val="auto"/>
              </w:rPr>
              <w:t xml:space="preserve"> T</w:t>
            </w:r>
            <w:r>
              <w:rPr>
                <w:rFonts w:ascii="Arial" w:cs="Arial" w:eastAsia="Arial" w:hAnsi="Arial"/>
                <w:sz w:val="12"/>
                <w:szCs w:val="12"/>
                <w:color w:val="auto"/>
              </w:rPr>
              <w:t>AYLOR</w:t>
            </w:r>
            <w:r>
              <w:rPr>
                <w:rFonts w:ascii="Arial" w:cs="Arial" w:eastAsia="Arial" w:hAnsi="Arial"/>
                <w:sz w:val="18"/>
                <w:szCs w:val="18"/>
                <w:color w:val="auto"/>
              </w:rPr>
              <w:t xml:space="preserve"> T</w:t>
            </w:r>
            <w:r>
              <w:rPr>
                <w:rFonts w:ascii="Arial" w:cs="Arial" w:eastAsia="Arial" w:hAnsi="Arial"/>
                <w:sz w:val="12"/>
                <w:szCs w:val="12"/>
                <w:color w:val="auto"/>
              </w:rPr>
              <w:t>ATE</w:t>
            </w:r>
          </w:p>
        </w:tc>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23, 2011</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Deborah Taylor Tate</w:t>
            </w:r>
          </w:p>
        </w:tc>
        <w:tc>
          <w:tcPr>
            <w:tcW w:w="5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00" w:type="dxa"/>
            <w:vAlign w:val="bottom"/>
          </w:tcPr>
          <w:p>
            <w:pPr>
              <w:spacing w:after="0"/>
              <w:rPr>
                <w:sz w:val="24"/>
                <w:szCs w:val="24"/>
                <w:color w:val="auto"/>
              </w:rPr>
            </w:pPr>
          </w:p>
        </w:tc>
        <w:tc>
          <w:tcPr>
            <w:tcW w:w="4580" w:type="dxa"/>
            <w:vAlign w:val="bottom"/>
            <w:gridSpan w:val="2"/>
          </w:tcPr>
          <w:p>
            <w:pPr>
              <w:jc w:val="right"/>
              <w:ind w:right="2691"/>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ind w:left="39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7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0500" w:type="dxa"/>
            <w:vAlign w:val="bottom"/>
            <w:vMerge w:val="restart"/>
          </w:tcPr>
          <w:p>
            <w:pPr>
              <w:ind w:left="4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0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 xml:space="preserve">2.1 </w:t>
            </w:r>
            <w:r>
              <w:rPr>
                <w:rFonts w:ascii="Arial" w:cs="Arial" w:eastAsia="Arial" w:hAnsi="Arial"/>
                <w:sz w:val="15"/>
                <w:szCs w:val="15"/>
                <w:color w:val="auto"/>
              </w:rPr>
              <w:t>(1)</w:t>
            </w:r>
          </w:p>
        </w:tc>
        <w:tc>
          <w:tcPr>
            <w:tcW w:w="220" w:type="dxa"/>
            <w:vAlign w:val="bottom"/>
          </w:tcPr>
          <w:p>
            <w:pPr>
              <w:spacing w:after="0"/>
              <w:rPr>
                <w:sz w:val="16"/>
                <w:szCs w:val="16"/>
                <w:color w:val="auto"/>
              </w:rPr>
            </w:pPr>
          </w:p>
        </w:tc>
        <w:tc>
          <w:tcPr>
            <w:tcW w:w="10500" w:type="dxa"/>
            <w:vAlign w:val="bottom"/>
          </w:tcPr>
          <w:p>
            <w:pPr>
              <w:spacing w:after="0" w:line="195" w:lineRule="exact"/>
              <w:rPr>
                <w:sz w:val="20"/>
                <w:szCs w:val="20"/>
                <w:color w:val="auto"/>
              </w:rPr>
            </w:pPr>
            <w:r>
              <w:rPr>
                <w:rFonts w:ascii="Arial" w:cs="Arial" w:eastAsia="Arial" w:hAnsi="Arial"/>
                <w:sz w:val="18"/>
                <w:szCs w:val="18"/>
                <w:color w:val="auto"/>
                <w:w w:val="96"/>
              </w:rPr>
              <w:t>Stock Purchase Agreement, dated as of March 28, 2005, by and among HealthStream, Inc., Mel B. Thompson and Data Management &amp;</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Research, Inc.</w:t>
            </w: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Stock Purchase Agreement, dated as of March 12, 2007, by and among HealthStream, Inc., The Jackson Organization, Research Consultants,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8"/>
              </w:rPr>
              <w:t>*10.3^</w:t>
            </w:r>
            <w:r>
              <w:rPr>
                <w:rFonts w:ascii="Arial" w:cs="Arial" w:eastAsia="Arial" w:hAnsi="Arial"/>
                <w:sz w:val="15"/>
                <w:szCs w:val="15"/>
                <w:color w:val="auto"/>
                <w:w w:val="98"/>
              </w:rPr>
              <w:t>(9)</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2010 Stock Incentive Plan, effective as of May 27, 2010</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8"/>
              </w:rPr>
              <w:t>*10.5^</w:t>
            </w:r>
            <w:r>
              <w:rPr>
                <w:rFonts w:ascii="Arial" w:cs="Arial" w:eastAsia="Arial" w:hAnsi="Arial"/>
                <w:sz w:val="15"/>
                <w:szCs w:val="15"/>
                <w:color w:val="auto"/>
                <w:w w:val="98"/>
              </w:rPr>
              <w:t>(3)</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2"/>
              </w:rPr>
              <w:t>Lease dated March 27, 1995, as amended June 6, 1995 and September 22, 1998, between Cummins Station LLC, as landlord, and NewOrder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Media, Inc., as tenant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Non-Qualified Stock Option Agreement (Employees)</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Incentive Stock Option Agreement (Employees)</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5"/>
                <w:szCs w:val="15"/>
                <w:color w:val="auto"/>
              </w:rPr>
              <w:t>(4)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Form of HealthStream, Inc. Non-Qualified Stock Option Agreement (Directors)</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10.10 </w:t>
            </w:r>
            <w:r>
              <w:rPr>
                <w:rFonts w:ascii="Arial" w:cs="Arial" w:eastAsia="Arial" w:hAnsi="Arial"/>
                <w:sz w:val="15"/>
                <w:szCs w:val="15"/>
                <w:color w:val="auto"/>
                <w:w w:val="99"/>
              </w:rPr>
              <w:t>(5)</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10.11 </w:t>
            </w:r>
            <w:r>
              <w:rPr>
                <w:rFonts w:ascii="Arial" w:cs="Arial" w:eastAsia="Arial" w:hAnsi="Arial"/>
                <w:sz w:val="15"/>
                <w:szCs w:val="15"/>
                <w:color w:val="auto"/>
                <w:w w:val="99"/>
              </w:rPr>
              <w:t>(6)</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10.12 </w:t>
            </w:r>
            <w:r>
              <w:rPr>
                <w:rFonts w:ascii="Arial" w:cs="Arial" w:eastAsia="Arial" w:hAnsi="Arial"/>
                <w:sz w:val="15"/>
                <w:szCs w:val="15"/>
                <w:color w:val="auto"/>
                <w:w w:val="99"/>
              </w:rPr>
              <w:t>(7)</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w w:val="99"/>
              </w:rPr>
              <w:t xml:space="preserve">10.13 </w:t>
            </w:r>
            <w:r>
              <w:rPr>
                <w:rFonts w:ascii="Arial" w:cs="Arial" w:eastAsia="Arial" w:hAnsi="Arial"/>
                <w:sz w:val="15"/>
                <w:szCs w:val="15"/>
                <w:color w:val="auto"/>
                <w:w w:val="99"/>
              </w:rPr>
              <w:t>(8)</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Subsidiaries of HealthStream, Inc.</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77"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ectPr>
          <w:pgSz w:w="11900" w:h="16838" w:orient="portrait"/>
          <w:cols w:equalWidth="0" w:num="1">
            <w:col w:w="11420"/>
          </w:cols>
          <w:pgMar w:left="240" w:top="419" w:right="239" w:bottom="0" w:gutter="0" w:footer="0" w:header="0"/>
        </w:sectPr>
      </w:pPr>
    </w:p>
    <w:bookmarkStart w:id="62" w:name="page63"/>
    <w:bookmarkEnd w:id="62"/>
    <w:p>
      <w:pPr>
        <w:ind w:left="572" w:hanging="572"/>
        <w:spacing w:after="0"/>
        <w:tabs>
          <w:tab w:leader="none" w:pos="572"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Incorporated by reference to Appendix B of the Company’s Definitive Proxy Statement filed with the SEC on April 29, 2010.</w:t>
      </w:r>
    </w:p>
    <w:p>
      <w:pPr>
        <w:sectPr>
          <w:pgSz w:w="11900" w:h="16838" w:orient="portrait"/>
          <w:cols w:equalWidth="0" w:num="1">
            <w:col w:w="10211"/>
          </w:cols>
          <w:pgMar w:left="248" w:top="125"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10.13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color w:val="auto"/>
        </w:rPr>
        <w:t>Director Compensation</w:t>
      </w:r>
      <w:r>
        <w:rPr>
          <w:rFonts w:ascii="Arial" w:cs="Arial" w:eastAsia="Arial" w:hAnsi="Arial"/>
          <w:sz w:val="16"/>
          <w:szCs w:val="16"/>
          <w:color w:val="auto"/>
        </w:rPr>
        <w:t>. Directors who are employees of the Company do not receive additional compensation for serving as directors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current rates of cash compensation for the Company’s non-employee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60" w:type="dxa"/>
            <w:vAlign w:val="bottom"/>
            <w:gridSpan w:val="2"/>
          </w:tcPr>
          <w:p>
            <w:pPr>
              <w:spacing w:after="0"/>
              <w:rPr>
                <w:sz w:val="20"/>
                <w:szCs w:val="20"/>
                <w:color w:val="auto"/>
              </w:rPr>
            </w:pPr>
            <w:r>
              <w:rPr>
                <w:rFonts w:ascii="Arial" w:cs="Arial" w:eastAsia="Arial" w:hAnsi="Arial"/>
                <w:sz w:val="14"/>
                <w:szCs w:val="14"/>
                <w:b w:val="1"/>
                <w:bCs w:val="1"/>
                <w:color w:val="auto"/>
              </w:rPr>
              <w:t>Retainers and Fees</w:t>
            </w:r>
          </w:p>
        </w:tc>
        <w:tc>
          <w:tcPr>
            <w:tcW w:w="1260" w:type="dxa"/>
            <w:vAlign w:val="bottom"/>
            <w:gridSpan w:val="3"/>
          </w:tcPr>
          <w:p>
            <w:pPr>
              <w:ind w:left="5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fee</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Board meeting fee</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Committee chair meeting fee</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Committee member meeting fee</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 addition to the cash compensation set forth above, each non-employee director receives a nondiscretionary annual grant of a non-qualified option for the purchase of 15,000 shares of the Company’s common stock. The option is granted in connection with our Annual Meeting of Shareholders, vests over a three year period, and has an exercise price equal to the fair market value of the stock on the grant date.</w:t>
      </w:r>
    </w:p>
    <w:p>
      <w:pPr>
        <w:spacing w:after="0" w:line="69" w:lineRule="exact"/>
        <w:rPr>
          <w:sz w:val="20"/>
          <w:szCs w:val="20"/>
          <w:color w:val="auto"/>
        </w:rPr>
      </w:pPr>
    </w:p>
    <w:p>
      <w:pPr>
        <w:ind w:right="580" w:firstLine="8"/>
        <w:spacing w:after="0" w:line="282" w:lineRule="auto"/>
        <w:tabs>
          <w:tab w:leader="none" w:pos="21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the fiscal 2010 performance bonuses provided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including the individuals who the Company expects to be its Named Executive Officers for 2011.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5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Current Salary</w:t>
            </w: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w w:val="96"/>
              </w:rPr>
              <w:t>Fiscal 2010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230,000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Arthur E. Newman</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217,500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222,500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Kevin P. O’Hara</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212,500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212,500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Jeffrey S. Doster</w:t>
            </w:r>
          </w:p>
        </w:tc>
        <w:tc>
          <w:tcPr>
            <w:tcW w:w="7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212,500</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Michael Sousa</w:t>
            </w:r>
          </w:p>
        </w:tc>
        <w:tc>
          <w:tcPr>
            <w:tcW w:w="7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185,000</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40" w:firstLine="8"/>
        <w:spacing w:after="0" w:line="266" w:lineRule="auto"/>
        <w:tabs>
          <w:tab w:leader="none" w:pos="27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our proxy statement for the 2011 Annual Meeting of Shareholders that we will file with the Securities and Exchange Commission within 120 days of the end of the fiscal year to which this report relates.</w:t>
      </w:r>
    </w:p>
    <w:p>
      <w:pPr>
        <w:sectPr>
          <w:pgSz w:w="11900" w:h="16838" w:orient="portrait"/>
          <w:cols w:equalWidth="0" w:num="1">
            <w:col w:w="11420"/>
          </w:cols>
          <w:pgMar w:left="240" w:top="125"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w w:val="98"/>
              </w:rPr>
              <w:t>EXHIBIT 21.1</w:t>
            </w:r>
          </w:p>
        </w:tc>
      </w:tr>
      <w:tr>
        <w:trPr>
          <w:trHeight w:val="540"/>
        </w:trPr>
        <w:tc>
          <w:tcPr>
            <w:tcW w:w="20" w:type="dxa"/>
            <w:vAlign w:val="bottom"/>
          </w:tcPr>
          <w:p>
            <w:pPr>
              <w:spacing w:after="0"/>
              <w:rPr>
                <w:sz w:val="24"/>
                <w:szCs w:val="24"/>
                <w:color w:val="auto"/>
              </w:rPr>
            </w:pPr>
          </w:p>
        </w:tc>
        <w:tc>
          <w:tcPr>
            <w:tcW w:w="9580" w:type="dxa"/>
            <w:vAlign w:val="bottom"/>
          </w:tcPr>
          <w:p>
            <w:pPr>
              <w:ind w:left="3900"/>
              <w:spacing w:after="0"/>
              <w:rPr>
                <w:sz w:val="20"/>
                <w:szCs w:val="20"/>
                <w:color w:val="auto"/>
              </w:rPr>
            </w:pPr>
            <w:r>
              <w:rPr>
                <w:rFonts w:ascii="Arial" w:cs="Arial" w:eastAsia="Arial" w:hAnsi="Arial"/>
                <w:sz w:val="18"/>
                <w:szCs w:val="18"/>
                <w:b w:val="1"/>
                <w:bCs w:val="1"/>
                <w:color w:val="auto"/>
              </w:rPr>
              <w:t>SUBSIDIARIES OF HEALTHSTREAM, INC.</w:t>
            </w: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State or Other</w:t>
            </w: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8"/>
              </w:rPr>
              <w:t>Jurisdiction of</w:t>
            </w: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Incorporation or</w:t>
            </w:r>
          </w:p>
        </w:tc>
      </w:tr>
      <w:tr>
        <w:trPr>
          <w:trHeight w:val="167"/>
        </w:trPr>
        <w:tc>
          <w:tcPr>
            <w:tcW w:w="20" w:type="dxa"/>
            <w:vAlign w:val="bottom"/>
          </w:tcPr>
          <w:p>
            <w:pPr>
              <w:spacing w:after="0"/>
              <w:rPr>
                <w:sz w:val="14"/>
                <w:szCs w:val="14"/>
                <w:color w:val="auto"/>
              </w:rPr>
            </w:pPr>
          </w:p>
        </w:tc>
        <w:tc>
          <w:tcPr>
            <w:tcW w:w="9580" w:type="dxa"/>
            <w:vAlign w:val="bottom"/>
          </w:tcPr>
          <w:p>
            <w:pPr>
              <w:ind w:left="3680"/>
              <w:spacing w:after="0"/>
              <w:rPr>
                <w:sz w:val="20"/>
                <w:szCs w:val="20"/>
                <w:color w:val="auto"/>
              </w:rPr>
            </w:pPr>
            <w:r>
              <w:rPr>
                <w:rFonts w:ascii="Arial" w:cs="Arial" w:eastAsia="Arial" w:hAnsi="Arial"/>
                <w:sz w:val="14"/>
                <w:szCs w:val="14"/>
                <w:color w:val="auto"/>
              </w:rPr>
              <w:t>Names Under Which We Do Business</w:t>
            </w:r>
          </w:p>
        </w:tc>
        <w:tc>
          <w:tcPr>
            <w:tcW w:w="58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color w:val="auto"/>
                <w:w w:val="95"/>
              </w:rPr>
              <w:t>Organization</w:t>
            </w:r>
          </w:p>
        </w:tc>
      </w:tr>
      <w:tr>
        <w:trPr>
          <w:trHeight w:val="224"/>
        </w:trPr>
        <w:tc>
          <w:tcPr>
            <w:tcW w:w="20" w:type="dxa"/>
            <w:vAlign w:val="bottom"/>
          </w:tcPr>
          <w:p>
            <w:pPr>
              <w:spacing w:after="0"/>
              <w:rPr>
                <w:sz w:val="19"/>
                <w:szCs w:val="19"/>
                <w:color w:val="auto"/>
              </w:rPr>
            </w:pPr>
          </w:p>
        </w:tc>
        <w:tc>
          <w:tcPr>
            <w:tcW w:w="9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Education Design, Inc.</w:t>
            </w:r>
          </w:p>
        </w:tc>
        <w:tc>
          <w:tcPr>
            <w:tcW w:w="580" w:type="dxa"/>
            <w:vAlign w:val="bottom"/>
          </w:tcPr>
          <w:p>
            <w:pPr>
              <w:spacing w:after="0"/>
              <w:rPr>
                <w:sz w:val="19"/>
                <w:szCs w:val="19"/>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0"/>
              </w:rPr>
              <w:t>Tennessee</w:t>
            </w:r>
          </w:p>
        </w:tc>
        <w:tc>
          <w:tcPr>
            <w:tcW w:w="20" w:type="dxa"/>
            <w:vAlign w:val="bottom"/>
          </w:tcPr>
          <w:p>
            <w:pPr>
              <w:spacing w:after="0"/>
              <w:rPr>
                <w:sz w:val="19"/>
                <w:szCs w:val="19"/>
                <w:color w:val="auto"/>
              </w:rPr>
            </w:pPr>
          </w:p>
        </w:tc>
      </w:tr>
      <w:tr>
        <w:trPr>
          <w:trHeight w:val="418"/>
        </w:trPr>
        <w:tc>
          <w:tcPr>
            <w:tcW w:w="9600" w:type="dxa"/>
            <w:vAlign w:val="bottom"/>
            <w:gridSpan w:val="2"/>
          </w:tcPr>
          <w:p>
            <w:pPr>
              <w:spacing w:after="0"/>
              <w:rPr>
                <w:sz w:val="20"/>
                <w:szCs w:val="20"/>
                <w:color w:val="auto"/>
              </w:rPr>
            </w:pPr>
            <w:r>
              <w:rPr>
                <w:rFonts w:ascii="Arial" w:cs="Arial" w:eastAsia="Arial" w:hAnsi="Arial"/>
                <w:sz w:val="18"/>
                <w:szCs w:val="18"/>
                <w:color w:val="auto"/>
              </w:rPr>
              <w:t>Data Management &amp; Research, Inc.</w:t>
            </w:r>
          </w:p>
        </w:tc>
        <w:tc>
          <w:tcPr>
            <w:tcW w:w="580" w:type="dxa"/>
            <w:vAlign w:val="bottom"/>
          </w:tcPr>
          <w:p>
            <w:pPr>
              <w:spacing w:after="0"/>
              <w:rPr>
                <w:sz w:val="24"/>
                <w:szCs w:val="2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Tennessee</w:t>
            </w:r>
          </w:p>
        </w:tc>
      </w:tr>
      <w:tr>
        <w:trPr>
          <w:trHeight w:val="432"/>
        </w:trPr>
        <w:tc>
          <w:tcPr>
            <w:tcW w:w="9600" w:type="dxa"/>
            <w:vAlign w:val="bottom"/>
            <w:gridSpan w:val="2"/>
          </w:tcPr>
          <w:p>
            <w:pPr>
              <w:spacing w:after="0"/>
              <w:rPr>
                <w:sz w:val="20"/>
                <w:szCs w:val="20"/>
                <w:color w:val="auto"/>
              </w:rPr>
            </w:pPr>
            <w:r>
              <w:rPr>
                <w:rFonts w:ascii="Arial" w:cs="Arial" w:eastAsia="Arial" w:hAnsi="Arial"/>
                <w:sz w:val="18"/>
                <w:szCs w:val="18"/>
                <w:color w:val="auto"/>
              </w:rPr>
              <w:t>The Jackson Organization, Research Consultants, Inc.</w:t>
            </w:r>
          </w:p>
        </w:tc>
        <w:tc>
          <w:tcPr>
            <w:tcW w:w="580" w:type="dxa"/>
            <w:vAlign w:val="bottom"/>
          </w:tcPr>
          <w:p>
            <w:pPr>
              <w:spacing w:after="0"/>
              <w:rPr>
                <w:sz w:val="24"/>
                <w:szCs w:val="24"/>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432"/>
        </w:trPr>
        <w:tc>
          <w:tcPr>
            <w:tcW w:w="960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580" w:type="dxa"/>
            <w:vAlign w:val="bottom"/>
          </w:tcPr>
          <w:p>
            <w:pPr>
              <w:spacing w:after="0"/>
              <w:rPr>
                <w:sz w:val="24"/>
                <w:szCs w:val="2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Tennessee</w:t>
            </w:r>
          </w:p>
        </w:tc>
      </w:tr>
      <w:tr>
        <w:trPr>
          <w:trHeight w:val="432"/>
        </w:trPr>
        <w:tc>
          <w:tcPr>
            <w:tcW w:w="960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580" w:type="dxa"/>
            <w:vAlign w:val="bottom"/>
          </w:tcPr>
          <w:p>
            <w:pPr>
              <w:spacing w:after="0"/>
              <w:rPr>
                <w:sz w:val="24"/>
                <w:szCs w:val="2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Tennessee</w:t>
            </w:r>
          </w:p>
        </w:tc>
      </w:tr>
    </w:tbl>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ind w:right="2740" w:firstLine="2731"/>
        <w:spacing w:after="0" w:line="375"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Registration Statement (Form S-8 No. 333-167241) pertaining to the 2010 Stock Incentive Plan of HealthStream, Inc. and Registration Statement (Form S-8 No. 333-37440) pertaining to the 1994 Employee Stock Option Plan, 2000 Stock Incentive Plan and Employee Stock Purchase Plan of HealthStream, Inc. of our report dated March 23, 2011, with respect to the consolidated financial statements of HealthStream, Inc. included in this Annual Report (Form 10-K) for the year ended December 31, 2010.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2011</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2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23,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23,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2010, as filed with the Securities and Exchange Commission on the date hereof (the “Report”), Robert A. Frist, Jr., Chief Executive Officer of the Company certifies, pursuant to 18 U.S.C.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23, 2011</w:t>
      </w:r>
    </w:p>
    <w:p>
      <w:pPr>
        <w:sectPr>
          <w:pgSz w:w="11900" w:h="16838" w:orient="portrait"/>
          <w:cols w:equalWidth="0" w:num="1">
            <w:col w:w="11420"/>
          </w:cols>
          <w:pgMar w:left="240" w:top="557"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2010,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-130810</wp:posOffset>
            </wp:positionV>
            <wp:extent cx="26587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23, 2011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emdash "/>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3"/>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3"/>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9"/>
    </w:lvl>
  </w:abstractNum>
  <w:abstractNum w:abstractNumId="23">
    <w:nsid w:val="189A769B"/>
    <w:multiLevelType w:val="hybridMultilevel"/>
    <w:lvl w:ilvl="0">
      <w:lvlJc w:val="left"/>
      <w:lvlText w:val="%1."/>
      <w:numFmt w:val="upperLetter"/>
      <w:start w:val="35"/>
    </w:lvl>
  </w:abstractNum>
  <w:abstractNum w:abstractNumId="24">
    <w:nsid w:val="54E49EB4"/>
    <w:multiLevelType w:val="hybridMultilevel"/>
    <w:lvl w:ilvl="0">
      <w:lvlJc w:val="left"/>
      <w:lvlText w:val="%1."/>
      <w:numFmt w:val="upperLetter"/>
      <w:start w:val="6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2019-12-10T19:53:44Z</dcterms:created>
  <dcterms:modified xsi:type="dcterms:W3CDTF">2019-12-10T19:53:44Z</dcterms:modified>
</cp:coreProperties>
</file>