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32" w:lineRule="exact"/>
        <w:rPr>
          <w:sz w:val="20"/>
          <w:szCs w:val="20"/>
          <w:color w:val="auto"/>
        </w:rPr>
      </w:pPr>
    </w:p>
    <w:p>
      <w:pPr>
        <w:ind w:left="1380" w:right="32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54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7"/>
          <w:szCs w:val="17"/>
          <w:b w:val="1"/>
          <w:bCs w:val="1"/>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000-27701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460" w:type="dxa"/>
            <w:vAlign w:val="bottom"/>
          </w:tcPr>
          <w:p>
            <w:pPr>
              <w:jc w:val="center"/>
              <w:ind w:right="1530"/>
              <w:spacing w:after="0"/>
              <w:rPr>
                <w:sz w:val="20"/>
                <w:szCs w:val="20"/>
                <w:color w:val="auto"/>
              </w:rPr>
            </w:pPr>
            <w:r>
              <w:rPr>
                <w:rFonts w:ascii="Arial" w:cs="Arial" w:eastAsia="Arial" w:hAnsi="Arial"/>
                <w:sz w:val="18"/>
                <w:szCs w:val="18"/>
                <w:b w:val="1"/>
                <w:bCs w:val="1"/>
                <w:color w:val="auto"/>
                <w:w w:val="81"/>
              </w:rPr>
              <w:t>Tennessee</w:t>
            </w:r>
          </w:p>
        </w:tc>
        <w:tc>
          <w:tcPr>
            <w:tcW w:w="4220" w:type="dxa"/>
            <w:vAlign w:val="bottom"/>
          </w:tcPr>
          <w:p>
            <w:pPr>
              <w:jc w:val="right"/>
              <w:ind w:right="750"/>
              <w:spacing w:after="0"/>
              <w:rPr>
                <w:sz w:val="20"/>
                <w:szCs w:val="20"/>
                <w:color w:val="auto"/>
              </w:rPr>
            </w:pPr>
            <w:r>
              <w:rPr>
                <w:rFonts w:ascii="Arial" w:cs="Arial" w:eastAsia="Arial" w:hAnsi="Arial"/>
                <w:sz w:val="18"/>
                <w:szCs w:val="18"/>
                <w:b w:val="1"/>
                <w:bCs w:val="1"/>
                <w:color w:val="auto"/>
              </w:rPr>
              <w:t>62-1443555</w:t>
            </w:r>
          </w:p>
        </w:tc>
      </w:tr>
      <w:tr>
        <w:trPr>
          <w:trHeight w:val="216"/>
        </w:trPr>
        <w:tc>
          <w:tcPr>
            <w:tcW w:w="4460" w:type="dxa"/>
            <w:vAlign w:val="bottom"/>
          </w:tcPr>
          <w:p>
            <w:pPr>
              <w:ind w:left="340"/>
              <w:spacing w:after="0"/>
              <w:rPr>
                <w:sz w:val="20"/>
                <w:szCs w:val="20"/>
                <w:color w:val="auto"/>
              </w:rPr>
            </w:pPr>
            <w:r>
              <w:rPr>
                <w:rFonts w:ascii="Arial" w:cs="Arial" w:eastAsia="Arial" w:hAnsi="Arial"/>
                <w:sz w:val="18"/>
                <w:szCs w:val="18"/>
                <w:i w:val="1"/>
                <w:iCs w:val="1"/>
                <w:color w:val="auto"/>
              </w:rPr>
              <w:t>(State or other jurisdiction of</w:t>
            </w:r>
          </w:p>
        </w:tc>
        <w:tc>
          <w:tcPr>
            <w:tcW w:w="4220" w:type="dxa"/>
            <w:vAlign w:val="bottom"/>
          </w:tcPr>
          <w:p>
            <w:pPr>
              <w:jc w:val="center"/>
              <w:ind w:left="155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30"/>
        </w:trPr>
        <w:tc>
          <w:tcPr>
            <w:tcW w:w="4460" w:type="dxa"/>
            <w:vAlign w:val="bottom"/>
          </w:tcPr>
          <w:p>
            <w:pPr>
              <w:jc w:val="center"/>
              <w:ind w:right="1550"/>
              <w:spacing w:after="0"/>
              <w:rPr>
                <w:sz w:val="20"/>
                <w:szCs w:val="20"/>
                <w:color w:val="auto"/>
              </w:rPr>
            </w:pPr>
            <w:r>
              <w:rPr>
                <w:rFonts w:ascii="Arial" w:cs="Arial" w:eastAsia="Arial" w:hAnsi="Arial"/>
                <w:sz w:val="18"/>
                <w:szCs w:val="18"/>
                <w:i w:val="1"/>
                <w:iCs w:val="1"/>
                <w:color w:val="auto"/>
                <w:w w:val="94"/>
              </w:rPr>
              <w:t>incorporation or organization)</w:t>
            </w:r>
          </w:p>
        </w:tc>
        <w:tc>
          <w:tcPr>
            <w:tcW w:w="4220" w:type="dxa"/>
            <w:vAlign w:val="bottom"/>
          </w:tcPr>
          <w:p>
            <w:pPr>
              <w:spacing w:after="0"/>
              <w:rPr>
                <w:sz w:val="20"/>
                <w:szCs w:val="20"/>
                <w:color w:val="auto"/>
              </w:rPr>
            </w:pPr>
          </w:p>
        </w:tc>
      </w:tr>
      <w:tr>
        <w:trPr>
          <w:trHeight w:val="414"/>
        </w:trPr>
        <w:tc>
          <w:tcPr>
            <w:tcW w:w="4460" w:type="dxa"/>
            <w:vAlign w:val="bottom"/>
          </w:tcPr>
          <w:p>
            <w:pPr>
              <w:jc w:val="center"/>
              <w:ind w:right="1530"/>
              <w:spacing w:after="0"/>
              <w:rPr>
                <w:sz w:val="20"/>
                <w:szCs w:val="20"/>
                <w:color w:val="auto"/>
              </w:rPr>
            </w:pPr>
            <w:r>
              <w:rPr>
                <w:rFonts w:ascii="Arial" w:cs="Arial" w:eastAsia="Arial" w:hAnsi="Arial"/>
                <w:sz w:val="18"/>
                <w:szCs w:val="18"/>
                <w:b w:val="1"/>
                <w:bCs w:val="1"/>
                <w:color w:val="auto"/>
                <w:w w:val="89"/>
              </w:rPr>
              <w:t>209 10th Avenue South, Suite 450</w:t>
            </w:r>
          </w:p>
        </w:tc>
        <w:tc>
          <w:tcPr>
            <w:tcW w:w="4220" w:type="dxa"/>
            <w:vAlign w:val="bottom"/>
          </w:tcPr>
          <w:p>
            <w:pPr>
              <w:spacing w:after="0"/>
              <w:rPr>
                <w:sz w:val="24"/>
                <w:szCs w:val="24"/>
                <w:color w:val="auto"/>
              </w:rPr>
            </w:pPr>
          </w:p>
        </w:tc>
      </w:tr>
      <w:tr>
        <w:trPr>
          <w:trHeight w:val="220"/>
        </w:trPr>
        <w:tc>
          <w:tcPr>
            <w:tcW w:w="4460" w:type="dxa"/>
            <w:vAlign w:val="bottom"/>
          </w:tcPr>
          <w:p>
            <w:pPr>
              <w:jc w:val="center"/>
              <w:ind w:right="1530"/>
              <w:spacing w:after="0"/>
              <w:rPr>
                <w:sz w:val="20"/>
                <w:szCs w:val="20"/>
                <w:color w:val="auto"/>
              </w:rPr>
            </w:pPr>
            <w:r>
              <w:rPr>
                <w:rFonts w:ascii="Arial" w:cs="Arial" w:eastAsia="Arial" w:hAnsi="Arial"/>
                <w:sz w:val="18"/>
                <w:szCs w:val="18"/>
                <w:b w:val="1"/>
                <w:bCs w:val="1"/>
                <w:color w:val="auto"/>
                <w:w w:val="85"/>
              </w:rPr>
              <w:t>Nashville, Tennessee</w:t>
            </w:r>
          </w:p>
        </w:tc>
        <w:tc>
          <w:tcPr>
            <w:tcW w:w="4220" w:type="dxa"/>
            <w:vAlign w:val="bottom"/>
          </w:tcPr>
          <w:p>
            <w:pPr>
              <w:jc w:val="right"/>
              <w:ind w:right="950"/>
              <w:spacing w:after="0"/>
              <w:rPr>
                <w:sz w:val="20"/>
                <w:szCs w:val="20"/>
                <w:color w:val="auto"/>
              </w:rPr>
            </w:pPr>
            <w:r>
              <w:rPr>
                <w:rFonts w:ascii="Arial" w:cs="Arial" w:eastAsia="Arial" w:hAnsi="Arial"/>
                <w:sz w:val="18"/>
                <w:szCs w:val="18"/>
                <w:b w:val="1"/>
                <w:bCs w:val="1"/>
                <w:color w:val="auto"/>
              </w:rPr>
              <w:t>37203</w:t>
            </w:r>
          </w:p>
        </w:tc>
      </w:tr>
      <w:tr>
        <w:trPr>
          <w:trHeight w:val="230"/>
        </w:trPr>
        <w:tc>
          <w:tcPr>
            <w:tcW w:w="4460" w:type="dxa"/>
            <w:vAlign w:val="bottom"/>
          </w:tcPr>
          <w:p>
            <w:pPr>
              <w:jc w:val="center"/>
              <w:ind w:right="155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4220" w:type="dxa"/>
            <w:vAlign w:val="bottom"/>
          </w:tcPr>
          <w:p>
            <w:pPr>
              <w:jc w:val="center"/>
              <w:ind w:left="159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580" w:type="dxa"/>
            <w:vAlign w:val="bottom"/>
          </w:tcPr>
          <w:p>
            <w:pPr>
              <w:spacing w:after="0"/>
              <w:rPr>
                <w:sz w:val="14"/>
                <w:szCs w:val="14"/>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0"/>
              </w:rPr>
              <w:t>Common Stock, No Par Value</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88" w:lineRule="exact"/>
        <w:rPr>
          <w:sz w:val="20"/>
          <w:szCs w:val="20"/>
          <w:color w:val="auto"/>
        </w:rPr>
      </w:pPr>
    </w:p>
    <w:p>
      <w:pPr>
        <w:ind w:right="206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of 15(d) of the Act. Yes o No </w:t>
      </w:r>
      <w:r>
        <w:rPr>
          <w:rFonts w:ascii="MS PGothic" w:cs="MS PGothic" w:eastAsia="MS PGothic" w:hAnsi="MS PGothic"/>
          <w:sz w:val="16"/>
          <w:szCs w:val="16"/>
          <w:color w:val="auto"/>
        </w:rPr>
        <w:t>☑</w:t>
      </w:r>
    </w:p>
    <w:p>
      <w:pPr>
        <w:spacing w:after="0" w:line="74" w:lineRule="exact"/>
        <w:rPr>
          <w:sz w:val="20"/>
          <w:szCs w:val="20"/>
          <w:color w:val="auto"/>
        </w:rPr>
      </w:pPr>
    </w:p>
    <w:p>
      <w:pPr>
        <w:ind w:right="4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962"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97" w:lineRule="exact"/>
        <w:rPr>
          <w:sz w:val="20"/>
          <w:szCs w:val="20"/>
          <w:color w:val="auto"/>
        </w:rPr>
      </w:pPr>
    </w:p>
    <w:p>
      <w:pPr>
        <w:sectPr>
          <w:pgSz w:w="11900" w:h="16838" w:orient="portrait"/>
          <w:cols w:equalWidth="0" w:num="4">
            <w:col w:w="1840" w:space="720"/>
            <w:col w:w="1400" w:space="720"/>
            <w:col w:w="3800" w:space="720"/>
            <w:col w:w="2220"/>
          </w:cols>
          <w:pgMar w:left="240" w:top="122" w:right="239" w:bottom="962"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market value of the Common Stock issued and outstanding and held by non-affiliates of the Registrant, based upon the closing sales price for the Common Stock on the NASDAQ Global Stock Market on June 30, 2008 was $44,073,357. All executive officers and directors of the registrant have been deemed, solely for the purpose of the foregoing calculation, to be “affiliates”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March 24, 2009, there were 21,382,055 shares of the Registrant’s common stock outstanding.</w:t>
      </w:r>
    </w:p>
    <w:p>
      <w:pPr>
        <w:spacing w:after="0" w:line="2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Portions of the Registrant’s definitive Proxy Statement for its 2009 Annual Meeting of Shareholders are incorporated by reference into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577850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962"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40" w:type="dxa"/>
            <w:vAlign w:val="bottom"/>
            <w:gridSpan w:val="10"/>
          </w:tcPr>
          <w:p>
            <w:pPr>
              <w:jc w:val="center"/>
              <w:ind w:right="3840"/>
              <w:spacing w:after="0"/>
              <w:rPr>
                <w:sz w:val="20"/>
                <w:szCs w:val="20"/>
                <w:color w:val="auto"/>
              </w:rPr>
            </w:pPr>
            <w:r>
              <w:rPr>
                <w:rFonts w:ascii="Arial" w:cs="Arial" w:eastAsia="Arial" w:hAnsi="Arial"/>
                <w:sz w:val="18"/>
                <w:szCs w:val="18"/>
                <w:b w:val="1"/>
                <w:bCs w:val="1"/>
                <w:color w:val="auto"/>
              </w:rPr>
              <w:t>HEALTHSTREAM, INC.</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10"/>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12"/>
          </w:tcPr>
          <w:p>
            <w:pPr>
              <w:jc w:val="center"/>
              <w:ind w:right="3000"/>
              <w:spacing w:after="0"/>
              <w:rPr>
                <w:sz w:val="20"/>
                <w:szCs w:val="20"/>
                <w:color w:val="auto"/>
              </w:rPr>
            </w:pPr>
            <w:r>
              <w:rPr>
                <w:rFonts w:ascii="Arial" w:cs="Arial" w:eastAsia="Arial" w:hAnsi="Arial"/>
                <w:sz w:val="18"/>
                <w:szCs w:val="18"/>
                <w:b w:val="1"/>
                <w:bCs w:val="1"/>
                <w:color w:val="auto"/>
                <w:w w:val="99"/>
              </w:rPr>
              <w:t>ANNUAL REPORT ON FORM 10-K</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460" w:type="dxa"/>
            <w:vAlign w:val="bottom"/>
            <w:gridSpan w:val="7"/>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46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17"/>
                <w:szCs w:val="17"/>
                <w:color w:val="auto"/>
              </w:rPr>
            </w:pPr>
          </w:p>
        </w:tc>
        <w:tc>
          <w:tcPr>
            <w:tcW w:w="920" w:type="dxa"/>
            <w:vAlign w:val="bottom"/>
            <w:gridSpan w:val="5"/>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Item 1A.</w:t>
              </w:r>
            </w:hyperlink>
          </w:p>
        </w:tc>
        <w:tc>
          <w:tcPr>
            <w:tcW w:w="800" w:type="dxa"/>
            <w:vAlign w:val="bottom"/>
            <w:gridSpan w:val="3"/>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8520" w:type="dxa"/>
            <w:vAlign w:val="bottom"/>
            <w:gridSpan w:val="17"/>
          </w:tcPr>
          <w:p>
            <w:pPr>
              <w:spacing w:after="0"/>
              <w:rPr>
                <w:sz w:val="17"/>
                <w:szCs w:val="17"/>
                <w:color w:val="auto"/>
              </w:rPr>
            </w:pPr>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9">
              <w:r>
                <w:rPr>
                  <w:rFonts w:ascii="Arial" w:cs="Arial" w:eastAsia="Arial" w:hAnsi="Arial"/>
                  <w:sz w:val="18"/>
                  <w:szCs w:val="18"/>
                  <w:color w:val="0000EE"/>
                  <w:w w:val="83"/>
                </w:rPr>
                <w:t>Item 1B.</w:t>
              </w:r>
            </w:hyperlink>
          </w:p>
        </w:tc>
        <w:tc>
          <w:tcPr>
            <w:tcW w:w="860" w:type="dxa"/>
            <w:vAlign w:val="bottom"/>
            <w:gridSpan w:val="4"/>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Unresolved Staff Comments</w:t>
              </w:r>
            </w:hyperlink>
          </w:p>
        </w:tc>
        <w:tc>
          <w:tcPr>
            <w:tcW w:w="7380" w:type="dxa"/>
            <w:vAlign w:val="bottom"/>
            <w:gridSpan w:val="12"/>
          </w:tcPr>
          <w:p>
            <w:pPr>
              <w:spacing w:after="0"/>
              <w:rPr>
                <w:sz w:val="17"/>
                <w:szCs w:val="17"/>
                <w:color w:val="auto"/>
              </w:rPr>
            </w:pPr>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940" w:type="dxa"/>
            <w:vAlign w:val="bottom"/>
            <w:gridSpan w:val="6"/>
          </w:tcPr>
          <w:p>
            <w:pPr>
              <w:spacing w:after="0"/>
              <w:rPr>
                <w:sz w:val="17"/>
                <w:szCs w:val="17"/>
                <w:color w:val="auto"/>
              </w:rPr>
            </w:pPr>
          </w:p>
        </w:tc>
        <w:tc>
          <w:tcPr>
            <w:tcW w:w="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Properties</w:t>
              </w:r>
            </w:hyperlink>
          </w:p>
        </w:tc>
        <w:tc>
          <w:tcPr>
            <w:tcW w:w="8680" w:type="dxa"/>
            <w:vAlign w:val="bottom"/>
            <w:gridSpan w:val="18"/>
          </w:tcPr>
          <w:p>
            <w:pPr>
              <w:spacing w:after="0"/>
              <w:rPr>
                <w:sz w:val="17"/>
                <w:szCs w:val="17"/>
                <w:color w:val="auto"/>
              </w:rPr>
            </w:pPr>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3.</w:t>
              </w:r>
            </w:hyperlink>
          </w:p>
        </w:tc>
        <w:tc>
          <w:tcPr>
            <w:tcW w:w="940" w:type="dxa"/>
            <w:vAlign w:val="bottom"/>
            <w:gridSpan w:val="6"/>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Proceedings</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4.</w:t>
              </w:r>
            </w:hyperlink>
          </w:p>
        </w:tc>
        <w:tc>
          <w:tcPr>
            <w:tcW w:w="940" w:type="dxa"/>
            <w:vAlign w:val="bottom"/>
            <w:gridSpan w:val="6"/>
          </w:tcPr>
          <w:p>
            <w:pPr>
              <w:spacing w:after="0"/>
              <w:rPr>
                <w:sz w:val="17"/>
                <w:szCs w:val="17"/>
                <w:color w:val="auto"/>
              </w:rPr>
            </w:pPr>
          </w:p>
        </w:tc>
        <w:tc>
          <w:tcPr>
            <w:tcW w:w="378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Submission of Matters to a Vote of Security Holders</w:t>
              </w:r>
            </w:hyperlink>
          </w:p>
        </w:tc>
        <w:tc>
          <w:tcPr>
            <w:tcW w:w="5660" w:type="dxa"/>
            <w:vAlign w:val="bottom"/>
            <w:gridSpan w:val="8"/>
          </w:tcPr>
          <w:p>
            <w:pPr>
              <w:spacing w:after="0"/>
              <w:rPr>
                <w:sz w:val="17"/>
                <w:szCs w:val="17"/>
                <w:color w:val="auto"/>
              </w:rPr>
            </w:pPr>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1460" w:type="dxa"/>
            <w:vAlign w:val="bottom"/>
            <w:gridSpan w:val="7"/>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80" w:type="dxa"/>
            <w:vAlign w:val="bottom"/>
            <w:tcBorders>
              <w:top w:val="single" w:sz="8" w:color="0000EE"/>
            </w:tcBorders>
            <w:gridSpan w:val="2"/>
          </w:tcPr>
          <w:p>
            <w:pPr>
              <w:spacing w:after="0"/>
              <w:rPr>
                <w:sz w:val="17"/>
                <w:szCs w:val="17"/>
                <w:color w:val="auto"/>
              </w:rPr>
            </w:pPr>
          </w:p>
        </w:tc>
        <w:tc>
          <w:tcPr>
            <w:tcW w:w="860" w:type="dxa"/>
            <w:vAlign w:val="bottom"/>
            <w:gridSpan w:val="4"/>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Item 6.</w:t>
              </w:r>
            </w:hyperlink>
          </w:p>
        </w:tc>
        <w:tc>
          <w:tcPr>
            <w:tcW w:w="940" w:type="dxa"/>
            <w:vAlign w:val="bottom"/>
            <w:gridSpan w:val="6"/>
          </w:tcPr>
          <w:p>
            <w:pPr>
              <w:spacing w:after="0"/>
              <w:rPr>
                <w:sz w:val="17"/>
                <w:szCs w:val="17"/>
                <w:color w:val="auto"/>
              </w:rPr>
            </w:pPr>
          </w:p>
        </w:tc>
        <w:tc>
          <w:tcPr>
            <w:tcW w:w="17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4"/>
          </w:tcPr>
          <w:p>
            <w:pPr>
              <w:spacing w:after="0"/>
              <w:rPr>
                <w:sz w:val="17"/>
                <w:szCs w:val="17"/>
                <w:color w:val="auto"/>
              </w:rPr>
            </w:pPr>
          </w:p>
        </w:tc>
        <w:tc>
          <w:tcPr>
            <w:tcW w:w="1360" w:type="dxa"/>
            <w:vAlign w:val="bottom"/>
          </w:tcPr>
          <w:p>
            <w:pPr>
              <w:spacing w:after="0"/>
              <w:rPr>
                <w:sz w:val="17"/>
                <w:szCs w:val="17"/>
                <w:color w:val="auto"/>
              </w:rPr>
            </w:pPr>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1">
              <w:r>
                <w:rPr>
                  <w:rFonts w:ascii="Arial" w:cs="Arial" w:eastAsia="Arial" w:hAnsi="Arial"/>
                  <w:sz w:val="18"/>
                  <w:szCs w:val="18"/>
                  <w:color w:val="0000EE"/>
                  <w:w w:val="90"/>
                </w:rPr>
                <w:t>Item 7.</w:t>
              </w:r>
            </w:hyperlink>
          </w:p>
        </w:tc>
        <w:tc>
          <w:tcPr>
            <w:tcW w:w="940" w:type="dxa"/>
            <w:vAlign w:val="bottom"/>
            <w:gridSpan w:val="6"/>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4"/>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Item 7A.</w:t>
              </w:r>
            </w:hyperlink>
          </w:p>
        </w:tc>
        <w:tc>
          <w:tcPr>
            <w:tcW w:w="800" w:type="dxa"/>
            <w:vAlign w:val="bottom"/>
            <w:gridSpan w:val="3"/>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Item 8.</w:t>
              </w:r>
            </w:hyperlink>
          </w:p>
        </w:tc>
        <w:tc>
          <w:tcPr>
            <w:tcW w:w="140" w:type="dxa"/>
            <w:vAlign w:val="bottom"/>
            <w:tcBorders>
              <w:top w:val="single" w:sz="8" w:color="0000EE"/>
            </w:tcBorders>
            <w:gridSpan w:val="3"/>
          </w:tcPr>
          <w:p>
            <w:pPr>
              <w:spacing w:after="0"/>
              <w:rPr>
                <w:sz w:val="17"/>
                <w:szCs w:val="17"/>
                <w:color w:val="auto"/>
              </w:rPr>
            </w:pPr>
          </w:p>
        </w:tc>
        <w:tc>
          <w:tcPr>
            <w:tcW w:w="800" w:type="dxa"/>
            <w:vAlign w:val="bottom"/>
            <w:gridSpan w:val="3"/>
          </w:tcPr>
          <w:p>
            <w:pPr>
              <w:spacing w:after="0"/>
              <w:rPr>
                <w:sz w:val="17"/>
                <w:szCs w:val="17"/>
                <w:color w:val="auto"/>
              </w:rPr>
            </w:pPr>
          </w:p>
        </w:tc>
        <w:tc>
          <w:tcPr>
            <w:tcW w:w="33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3"/>
          </w:tcPr>
          <w:p>
            <w:pPr>
              <w:spacing w:after="0"/>
              <w:rPr>
                <w:sz w:val="17"/>
                <w:szCs w:val="17"/>
                <w:color w:val="auto"/>
              </w:rPr>
            </w:pPr>
          </w:p>
        </w:tc>
        <w:tc>
          <w:tcPr>
            <w:tcW w:w="5080" w:type="dxa"/>
            <w:vAlign w:val="bottom"/>
            <w:gridSpan w:val="6"/>
          </w:tcPr>
          <w:p>
            <w:pPr>
              <w:spacing w:after="0"/>
              <w:rPr>
                <w:sz w:val="17"/>
                <w:szCs w:val="17"/>
                <w:color w:val="auto"/>
              </w:rPr>
            </w:pPr>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9.</w:t>
              </w:r>
            </w:hyperlink>
          </w:p>
        </w:tc>
        <w:tc>
          <w:tcPr>
            <w:tcW w:w="940" w:type="dxa"/>
            <w:vAlign w:val="bottom"/>
            <w:gridSpan w:val="6"/>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Changes in and Disagreements with Accountants on Accounting and Financial Disclosure</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Borders>
              <w:bottom w:val="single" w:sz="8" w:color="0000EE"/>
            </w:tcBorders>
            <w:gridSpan w:val="6"/>
          </w:tcPr>
          <w:p>
            <w:pPr>
              <w:spacing w:after="0" w:line="196" w:lineRule="exact"/>
              <w:rPr>
                <w:rFonts w:ascii="Arial" w:cs="Arial" w:eastAsia="Arial" w:hAnsi="Arial"/>
                <w:sz w:val="18"/>
                <w:szCs w:val="18"/>
                <w:color w:val="0000EE"/>
                <w:w w:val="95"/>
              </w:rPr>
            </w:pPr>
            <w:hyperlink w:anchor="page55">
              <w:r>
                <w:rPr>
                  <w:rFonts w:ascii="Arial" w:cs="Arial" w:eastAsia="Arial" w:hAnsi="Arial"/>
                  <w:sz w:val="18"/>
                  <w:szCs w:val="18"/>
                  <w:color w:val="0000EE"/>
                  <w:w w:val="95"/>
                </w:rPr>
                <w:t>Item 9A(T).</w:t>
              </w:r>
            </w:hyperlink>
          </w:p>
        </w:tc>
        <w:tc>
          <w:tcPr>
            <w:tcW w:w="58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Controls and Procedures</w:t>
              </w:r>
            </w:hyperlink>
          </w:p>
        </w:tc>
        <w:tc>
          <w:tcPr>
            <w:tcW w:w="7660" w:type="dxa"/>
            <w:vAlign w:val="bottom"/>
            <w:gridSpan w:val="14"/>
          </w:tcPr>
          <w:p>
            <w:pPr>
              <w:spacing w:after="0"/>
              <w:rPr>
                <w:sz w:val="17"/>
                <w:szCs w:val="17"/>
                <w:color w:val="auto"/>
              </w:rPr>
            </w:pPr>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600" w:type="dxa"/>
            <w:vAlign w:val="bottom"/>
            <w:gridSpan w:val="3"/>
          </w:tcPr>
          <w:p>
            <w:pPr>
              <w:spacing w:after="0" w:line="196" w:lineRule="exact"/>
              <w:rPr>
                <w:rFonts w:ascii="Arial" w:cs="Arial" w:eastAsia="Arial" w:hAnsi="Arial"/>
                <w:sz w:val="18"/>
                <w:szCs w:val="18"/>
                <w:color w:val="0000EE"/>
                <w:w w:val="83"/>
              </w:rPr>
            </w:pPr>
            <w:hyperlink w:anchor="page55">
              <w:r>
                <w:rPr>
                  <w:rFonts w:ascii="Arial" w:cs="Arial" w:eastAsia="Arial" w:hAnsi="Arial"/>
                  <w:sz w:val="18"/>
                  <w:szCs w:val="18"/>
                  <w:color w:val="0000EE"/>
                  <w:w w:val="83"/>
                </w:rPr>
                <w:t>Item 9B.</w:t>
              </w:r>
            </w:hyperlink>
          </w:p>
        </w:tc>
        <w:tc>
          <w:tcPr>
            <w:tcW w:w="860" w:type="dxa"/>
            <w:vAlign w:val="bottom"/>
            <w:gridSpan w:val="4"/>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6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PART III</w:t>
              </w:r>
            </w:hyperlink>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top w:val="single" w:sz="8" w:color="0000EE"/>
            </w:tcBorders>
            <w:gridSpan w:val="4"/>
          </w:tcPr>
          <w:p>
            <w:pPr>
              <w:spacing w:after="0" w:line="196" w:lineRule="exact"/>
              <w:rPr>
                <w:rFonts w:ascii="Arial" w:cs="Arial" w:eastAsia="Arial" w:hAnsi="Arial"/>
                <w:sz w:val="18"/>
                <w:szCs w:val="18"/>
                <w:color w:val="0000EE"/>
                <w:w w:val="98"/>
              </w:rPr>
            </w:pPr>
            <w:hyperlink w:anchor="page56">
              <w:r>
                <w:rPr>
                  <w:rFonts w:ascii="Arial" w:cs="Arial" w:eastAsia="Arial" w:hAnsi="Arial"/>
                  <w:sz w:val="18"/>
                  <w:szCs w:val="18"/>
                  <w:color w:val="0000EE"/>
                  <w:w w:val="98"/>
                </w:rPr>
                <w:t>Item 10.</w:t>
              </w:r>
            </w:hyperlink>
          </w:p>
        </w:tc>
        <w:tc>
          <w:tcPr>
            <w:tcW w:w="800" w:type="dxa"/>
            <w:vAlign w:val="bottom"/>
            <w:gridSpan w:val="3"/>
          </w:tcPr>
          <w:p>
            <w:pPr>
              <w:spacing w:after="0"/>
              <w:rPr>
                <w:sz w:val="17"/>
                <w:szCs w:val="17"/>
                <w:color w:val="auto"/>
              </w:rPr>
            </w:pPr>
          </w:p>
        </w:tc>
        <w:tc>
          <w:tcPr>
            <w:tcW w:w="94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Directors, Executive Officers and Corporate Governance</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11.</w:t>
              </w:r>
            </w:hyperlink>
          </w:p>
        </w:tc>
        <w:tc>
          <w:tcPr>
            <w:tcW w:w="94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Executive Compensation</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12.</w:t>
              </w:r>
            </w:hyperlink>
          </w:p>
        </w:tc>
        <w:tc>
          <w:tcPr>
            <w:tcW w:w="94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13.</w:t>
              </w:r>
            </w:hyperlink>
          </w:p>
        </w:tc>
        <w:tc>
          <w:tcPr>
            <w:tcW w:w="94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Certain Relationships and Related Transactions, and Director Independence</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Borders>
              <w:right w:val="single" w:sz="8" w:color="0000EE"/>
            </w:tcBorders>
            <w:gridSpan w:val="2"/>
            <w:shd w:val="clear" w:color="auto" w:fill="0000EE"/>
          </w:tcPr>
          <w:p>
            <w:pPr>
              <w:spacing w:after="0" w:line="20" w:lineRule="exact"/>
              <w:rPr>
                <w:sz w:val="1"/>
                <w:szCs w:val="1"/>
                <w:color w:val="auto"/>
              </w:rPr>
            </w:pPr>
          </w:p>
        </w:tc>
        <w:tc>
          <w:tcPr>
            <w:tcW w:w="21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398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14.</w:t>
              </w:r>
            </w:hyperlink>
          </w:p>
        </w:tc>
        <w:tc>
          <w:tcPr>
            <w:tcW w:w="944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Accounting Fees and Services</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PART IV</w:t>
              </w:r>
            </w:hyperlink>
          </w:p>
        </w:tc>
        <w:tc>
          <w:tcPr>
            <w:tcW w:w="7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60" w:type="dxa"/>
            <w:vAlign w:val="bottom"/>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Item 15.</w:t>
              </w:r>
            </w:hyperlink>
          </w:p>
        </w:tc>
        <w:tc>
          <w:tcPr>
            <w:tcW w:w="944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Exhibits, Financial Statement Schedules</w:t>
              </w:r>
            </w:hyperlink>
          </w:p>
        </w:tc>
        <w:tc>
          <w:tcPr>
            <w:tcW w:w="520" w:type="dxa"/>
            <w:vAlign w:val="bottom"/>
          </w:tcPr>
          <w:p>
            <w:pPr>
              <w:jc w:val="right"/>
              <w:ind w:right="131"/>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00" w:type="dxa"/>
            <w:vAlign w:val="bottom"/>
            <w:tcBorders>
              <w:top w:val="single" w:sz="8" w:color="0000EE"/>
            </w:tcBorders>
            <w:gridSpan w:val="10"/>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6540" w:type="dxa"/>
            <w:vAlign w:val="bottom"/>
            <w:gridSpan w:val="10"/>
          </w:tcPr>
          <w:p>
            <w:pPr>
              <w:spacing w:after="0"/>
              <w:rPr>
                <w:sz w:val="24"/>
                <w:szCs w:val="24"/>
                <w:color w:val="auto"/>
              </w:rPr>
            </w:pPr>
          </w:p>
        </w:tc>
        <w:tc>
          <w:tcPr>
            <w:tcW w:w="52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EX-10.13</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Although we believe that the expectations reflected in the forward-looking statements are reasonable, HealthStream’s actual results may differ significantly from those projected in the forward-looking statements. Factors that might cause or contribute to such differences include, but are not limited to, those discussed in the section “Risk Factors” in Item 1A of this Annual Report on Form 10-K and elsewhere in this document. In addition, factors that we are not currently aware of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10-K. HealthStream undertakes no obligation to publicly release any revisions to the forward-looking statements or reflect events or circumstances after the date of this document.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HISTORY</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HealthStream, Inc. (HealthStream or the Company) provides Internet-based learning and research solutions to meet the training, information, and education needs of the healthcare industry. Our learning products are used by healthcare organizations to meet a broad range of their training and assessment needs, while our research products provide our customers information about patients’ experiences, workforce challenges, physician relations, and community perceptions of their services. HealthStream’s customers include healthcare organizations, pharmaceutical and medical device companies, and other members of the healthcare industry. Our customer base across both learning and research business units includes over 2,400 healthcare organizations (predominately acute-care facilities) throughout the United States.</w:t>
      </w:r>
    </w:p>
    <w:p>
      <w:pPr>
        <w:spacing w:after="0" w:line="8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The Company’s flagship learning product is the HealthStream Learning Center</w:t>
      </w:r>
      <w:r>
        <w:rPr>
          <w:rFonts w:ascii="Arial" w:cs="Arial" w:eastAsia="Arial" w:hAnsi="Arial"/>
          <w:sz w:val="14"/>
          <w:szCs w:val="14"/>
          <w:color w:val="auto"/>
        </w:rPr>
        <w:t>®</w:t>
      </w:r>
      <w:r>
        <w:rPr>
          <w:rFonts w:ascii="Arial" w:cs="Arial" w:eastAsia="Arial" w:hAnsi="Arial"/>
          <w:sz w:val="17"/>
          <w:szCs w:val="17"/>
          <w:color w:val="auto"/>
        </w:rPr>
        <w:t xml:space="preserve"> (HLC), our proprietary, Internet-based learning platform, which at December 31, 2008 had approximately 1,855,000 contracted hospital-based subscribers. We deliver educational and training courseware to our customers through the HLC platform. We also provide development and delivery of education initiatives to, and on behalf of, pharmaceutical and medical device companies to reach hospital-based healthcare professionals, including physicians and industry sales representatives. Our research products were added as a result of our acquisitions of Data Management &amp; Research, Inc. (DMR) in March 2005 and The Jackson Organization, Research Consultants, Inc. (TJO) in March 2007, which expanded our service offerings to include quality and satisfaction surveys, data analyses of survey results, and other research-based measurement tools focused on patients, physicians, employees, and members of the community.</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Headquartered in Nashville, Tennessee, the Company was incorporated in 1990 and began providing its Internet-based solutions in 1999 and providing its survey and research solutions in 2005. Including satellite offices in Laurel, Maryland and Franklin, Tennessee, HealthStream had approximately 300 full-time and 100 part-time employees as of December 31, 2008. From an initial focus on technology-based training, HealthStream has evolved to provide full-service delivery of education, training, research, and information to healthcare organizations.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According to the deputy director of the National Health Statistics Group at the Centers for Medicare and Medicaid Services (CMS), spending in the healthcare industry reached approximately $2.2 trillion in 2007, or 16.2 percent of the gross domestic product. Hospital care expenditures accounted for approximately 32 percent of the $2.2 trillion industry. Approximately 10.4 million professionals are employed in the healthcare segment of the domestic economy, with approximately 5.3 million employed in hospitals, our target market for our learning and research products.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of the 5.3 million hospital-based healthcare professionals that work in the nation’s approximately 5,000 acute-care hospitals are required by federal mandates and accrediting bodies to complete training in a number of areas. This training includes safety training mandated by both the Occupational Safety and Health Administration (OSHA) and The Joint Commission, as well as training on patient information confidentiality required under the Health Insurance Portability and Accountability Act (HIPAA).</w:t>
      </w:r>
    </w:p>
    <w:p>
      <w:pPr>
        <w:spacing w:after="0" w:line="7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hospitals, staffing issues and personnel shortages have also contributed to the need for facility based workforce development as well as additional competency based training. The 2007 American Hospital Association (AHA) Survey of Hospital Leaders reported that there were approximately 116,000 vacancies for registered nurses (RNs) in the nation’s hospitals. Moreover, approximately 44% of hospitals indicated that recruitment of RNs had grown more difficult in the last year according to the same report. It is estimated that the shortage of RNs in the United States will increase to 340,000 by the year 2020 and will increase at three times the current rate over the next 13 years (</w:t>
      </w:r>
      <w:r>
        <w:rPr>
          <w:rFonts w:ascii="Arial" w:cs="Arial" w:eastAsia="Arial" w:hAnsi="Arial"/>
          <w:sz w:val="17"/>
          <w:szCs w:val="17"/>
          <w:i w:val="1"/>
          <w:iCs w:val="1"/>
          <w:u w:val="single" w:color="auto"/>
          <w:color w:val="auto"/>
        </w:rPr>
        <w:t>Health Affairs</w:t>
      </w:r>
      <w:r>
        <w:rPr>
          <w:rFonts w:ascii="Arial" w:cs="Arial" w:eastAsia="Arial" w:hAnsi="Arial"/>
          <w:sz w:val="17"/>
          <w:szCs w:val="17"/>
          <w:color w:val="auto"/>
        </w:rPr>
        <w:t>, January/February, 2007). We believe that offering training and education for hospital personnel is increasingly being utilized as a retention and recruitment incentive.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Many healthcare professionals use continuing education to keep abreast of the latest developments and meet licensing, certification, and credentialing requirements. Continuing education requirements include continuing education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for education and training for those audiences that use their products in healthcare organizations.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large portion of the nation’s hospitals utilize research and survey tools to gain valuable insight about patients’ experiences, to assess workforce competency and engagement, to determine the status of physician relations and to measure the perceptions about the hospitals in the communities they serve. Industry-wide, interest is increasing in research, due, in part, to the CAHPS</w:t>
      </w:r>
      <w:r>
        <w:rPr>
          <w:rFonts w:ascii="Arial" w:cs="Arial" w:eastAsia="Arial" w:hAnsi="Arial"/>
          <w:sz w:val="15"/>
          <w:szCs w:val="15"/>
          <w:color w:val="auto"/>
        </w:rPr>
        <w:t>®</w:t>
      </w:r>
      <w:r>
        <w:rPr>
          <w:rFonts w:ascii="Arial" w:cs="Arial" w:eastAsia="Arial" w:hAnsi="Arial"/>
          <w:sz w:val="18"/>
          <w:szCs w:val="18"/>
          <w:color w:val="auto"/>
        </w:rPr>
        <w:t xml:space="preserve"> (Consumer Assessment of Healthcare Providers and Systems) Hospital Survey launched by CMS in partnership with the Agency for Healthcare Research and Quality (AHRQ). According to the Deficit Reduction Act of 2005, hospitals must submit data for certain required quality measures—which for inpatients includes the CAHPS</w:t>
      </w:r>
      <w:r>
        <w:rPr>
          <w:rFonts w:ascii="Arial" w:cs="Arial" w:eastAsia="Arial" w:hAnsi="Arial"/>
          <w:sz w:val="15"/>
          <w:szCs w:val="15"/>
          <w:color w:val="auto"/>
        </w:rPr>
        <w:t>®</w:t>
      </w:r>
      <w:r>
        <w:rPr>
          <w:rFonts w:ascii="Arial" w:cs="Arial" w:eastAsia="Arial" w:hAnsi="Arial"/>
          <w:sz w:val="18"/>
          <w:szCs w:val="18"/>
          <w:color w:val="auto"/>
        </w:rPr>
        <w:t xml:space="preserve"> Hospital Survey—in order to receive the full market basket increase to their reimbursement payment rates from CMS. Hospitals that fail to submit this survey data will incur a reduction of two percentage points in the inpatient market basket update amount for the following federal fiscal year. We are designated as a certified vendor and offer CAHPS</w:t>
      </w:r>
      <w:r>
        <w:rPr>
          <w:rFonts w:ascii="Arial" w:cs="Arial" w:eastAsia="Arial" w:hAnsi="Arial"/>
          <w:sz w:val="15"/>
          <w:szCs w:val="15"/>
          <w:color w:val="auto"/>
        </w:rPr>
        <w:t>®</w:t>
      </w:r>
      <w:r>
        <w:rPr>
          <w:rFonts w:ascii="Arial" w:cs="Arial" w:eastAsia="Arial" w:hAnsi="Arial"/>
          <w:sz w:val="18"/>
          <w:szCs w:val="18"/>
          <w:color w:val="auto"/>
        </w:rPr>
        <w:t xml:space="preserve"> Hospital Survey services.</w:t>
      </w:r>
    </w:p>
    <w:p>
      <w:pPr>
        <w:spacing w:after="0" w:line="8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Finally, the hospital industry continues to operate under intense pressure to reduce costs as a result of reductions in government reimbursement rates and increased focus on cost containment consistent with participation of patients in managed care programs. In addition, hospitals, as well as pharmaceutical and medical device companies,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HEALTHSTREAM’S SOLUTIONS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HealthStream’s products and services are organized into two segments, 1) HealthStream Learning and 2) HealthStream Research, which collectively help healthcare organizations meet their ongoing training, education, information, and compliance needs. Our objective is to better support our healthcare organization customers in their efforts to transform insight into action as they measure and benchmark key data points for their constituencies and then incorporate the results into training and improvement through our learning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Learning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Within HealthStream Learning, we bring training and education content together with administrative and management tools through our Internet-based platforms, the HealthStream Learning Center</w:t>
      </w:r>
      <w:r>
        <w:rPr>
          <w:rFonts w:ascii="Arial" w:cs="Arial" w:eastAsia="Arial" w:hAnsi="Arial"/>
          <w:sz w:val="14"/>
          <w:szCs w:val="14"/>
          <w:color w:val="auto"/>
        </w:rPr>
        <w:t>®</w:t>
      </w:r>
      <w:r>
        <w:rPr>
          <w:rFonts w:ascii="Arial" w:cs="Arial" w:eastAsia="Arial" w:hAnsi="Arial"/>
          <w:sz w:val="17"/>
          <w:szCs w:val="17"/>
          <w:color w:val="auto"/>
        </w:rPr>
        <w:t xml:space="preserve"> and a more streamlined version, HealthStream Express™. We offer our Internet-based platform customers a wide array of additional courseware subscriptions. Our learning management system supports healthcare administrators in configuring training to meet the precise needs of different groups of employees, modifying training materials, and documenting that training has been completed. At December 31, 2008, 1,855,000 healthcare professionals had contracted subscriptions for our Internet-based HLC services. Pricing for the HLC is subscription based, with fees based on the number of subscribers, courseware provided, and other factors. We offer training, implementation, and account management services to facilitate adoption of our platform. Fees for training are based on the time and efforts of the personnel involved. Implementation fees vary based on the size, scope, and complexity of the project.</w:t>
      </w:r>
    </w:p>
    <w:p>
      <w:pPr>
        <w:spacing w:after="0" w:line="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Internet-based platform and our courseware are hosted in a central data center that allows authorized subscribers Internet access to our services, thereby eliminating the need for onsite local implementations of installed learning management products. A significant number of our customers that historically used our installed learning management products have transitioned to our Internet-based platform.</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Along with the Internet-based HLC, we also offer healthcare organizations full-service capabilities to create online courses by converting their existing course material, self-authoring new materials through our Authoring Center product, and electively sharing these materials with other HealthStream customers through a courseware exchange. We also offer Authoring Pro, an upgraded product which includes an industry leading image library, owned by A.D.A.M., Inc., as an additional subscription to this product. Pricing for these products is subscription based, with fees based on the number of subscribers and level of penetration of services.</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2008, we completed the initial development phase of our HealthStream Competency Center</w:t>
      </w:r>
      <w:r>
        <w:rPr>
          <w:rFonts w:ascii="Arial" w:cs="Arial" w:eastAsia="Arial" w:hAnsi="Arial"/>
          <w:sz w:val="13"/>
          <w:szCs w:val="13"/>
          <w:color w:val="auto"/>
        </w:rPr>
        <w:t>TM</w:t>
      </w:r>
      <w:r>
        <w:rPr>
          <w:rFonts w:ascii="Arial" w:cs="Arial" w:eastAsia="Arial" w:hAnsi="Arial"/>
          <w:sz w:val="16"/>
          <w:szCs w:val="16"/>
          <w:color w:val="auto"/>
        </w:rPr>
        <w:t xml:space="preserve"> (HCC) product, and began pilot implementations with select customers. This product will allow us to offer our customers tools to assess competency and performance. Competency assessment is a requirement of hospitals and healthcare organizations for maintaining accreditation, based on requirements from The Joint Commission to evaluate, document, and report performance competencies. We anticipate that our new product will provide an effective means of determining which competencies are associated with each position and evaluating and documenting competency assessments. This new product is also intended to facilitate the development of a custom training program of courses available through the HLC that uniquely responds to the needs identified for each employee.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Through HealthStream Direct, we develop, manage, and distribute online, live, and print education and training activities for provider-based healthcare professionals and physicians, as well as online education and training activities for sales representatives. Certain of the education activities we develop and distribute provide continuing education credit for learners completing them. Pricing for these products varies based on the size, scope, and nature of the project. Most of these activities are supported by either pharmaceutical or medical device companies.</w:t>
      </w:r>
    </w:p>
    <w:p>
      <w:pPr>
        <w:spacing w:after="0" w:line="63"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strategy for HealthStream Learning is to continue growing our customer base of approximately 1,855,000 contracted subscribers using the Internet-based HLC, as well as expanding penetration of additional courseware, tools, and other professional services across our customer base. We will continue to seek opportunities to leverage this customer base through the deployment of pharmaceutical and medical device training and education.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HealthStream Research</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HealthStream Research complements HealthStream Learning’s product and service offerings by providing hospital-based customers with patient, physician, employee, and community surveys, data analyses of survey results, and other research-based measurement tools. HealthStream Research was formed after the acquisition of TJO in March 2007, which expanded our customer base and product strengths. Our services are designed to provide thorough analyses that provide insightful recommendations for change; to provide benchmarking capability using our comprehensive databases; and to provide consulting services to identify solutions for our customers based on their survey results. Clients are able to access and analyze their survey results data through Insights Online, our secure web-based reporting platform. Our survey and research solutions focus on providing industry-leading, statistically valid data to assist our customers with their decision making related to their organization’s performance improvement objectives. In addition to collecting and reporting data, we provide expert analysis and consulting to help customers understand their survey results and the underlying impact on their business. It is with this insight that healthcare organizations are able to develop plans for improved performance that is able to be delivered through HealthStream’s learning solutions. Pricing for these services is based on the survey type, delivery method, size of the survey instrument, sample size, frequency of survey cycles, and other factors.</w:t>
      </w:r>
    </w:p>
    <w:p>
      <w:pPr>
        <w:spacing w:after="0" w:line="6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During the first quarter of 2008, we launched the HCAHPS Preparation and Improvement Library as our first online courseware designed specifically to address the findings as a result of our patient survey research. We expect to continue to develop additional online courseware to support our customers’ improvement initiatives driven by HealthStream Research’s physician survey research findings as well as additional courseware targeted at patient survey research findings.</w:t>
      </w:r>
    </w:p>
    <w:p>
      <w:pPr>
        <w:spacing w:after="0" w:line="79"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Our strategy for HealthStream Research includes continuing to grow our customer base of approximately 1,100 hospitals, expand the products and services provided to each customer, and introduce HealthStream Learning solutions to address survey research findings. We will continue to expand our offering of research and information tools that are aligned with healthcare quality initiatives and continuous improvement efforts.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We acquired TJO in March 2007. For additional information regarding this acquisition, please see Note 2 of the Consolidated Financial Statements and Item 7, “Management’s Discussion and Analysis of Financial Condition and Results of Operations” included elsewhere in this report.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provide our training, information and education solutions to customers across a broad range of entities within the healthcare industry, including healthcare organizations (including government entities) and pharmaceutical and medical device companies. Examples of customers that have purchased or contracted for products and services from HealthStream include: HCA, Inc., Tenet Healthcare Corporation, Community Health Systems, Inc., Lifepoint Hospitals, Inc., Ardent Health Services, LLC, Health Management Associates, Inc., and Baxter Healthcare Corporation.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market our products and services primarily through our direct sales teams, our consultants, and our account relationship managers, who are based at our corporate headquarters in Nashville, Tennessee and in our satellite offices located in Laurel, Maryland and Franklin, Tennessee, as well as remote home office sales locations. As of December 31, 2008, our HealthStream Learning sales and relationship management personnel consisted of 41 employees and our HealthStream Research sales and consultant personnel consisted of 19 employees. Our geographically dispersed field sales organization is divided into one team focused on selling our learning products and a separate sales team focused on selling our research products. In addition to sales professionals, we also employ strategic account personnel that manage our largest customer relationships as well as account relationship managers and consultants who work to develop and expand relationships, including contract renewals.</w:t>
      </w:r>
    </w:p>
    <w:p>
      <w:pPr>
        <w:spacing w:after="0" w:line="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conduct a variety of marketing programs to promote our products and services, including product catalogs, user groups and trade shows, online promotion and demonstrations, telemarketing campaigns, public relations, distribution of product specific literature, direct mail and advertising.</w:t>
      </w:r>
    </w:p>
    <w:p>
      <w:pPr>
        <w:spacing w:after="0" w:line="3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Over the past several years, we have hosted a national users’ group conference in Nashville known as “The Summit,” and during 2008, we hosted this event with one conference for both HealthStream Learning and HealthStream Research customers. We utilized this client conference to reach out to existing and potential customers and business partners, provide training and educational services, and demonstrate our new and existing product offerings. We have marketing teams that are responsible for these initiatives and for working with and supporting our product managers and sales teams.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our ability to establish and maintain long-term customer relationships, adoption of our products and services, recurring sales, and development and maintenance of new and existing products are dependent on the strength of our operations, customer service, product development and maintenance, training, and other support teams. As of December 31, 2008, these personnel consisted of approximately 82 employees for Learning and approximately 220 employees for Research, of which 151 employees worked in our interviewing center. Our Learning operations team consists of personnel associated with customer support, implementation services, product development and maintenance, training, and project management. Our Research operations team consists of personnel associated with phone interviewing, distributing and processing paper-based survey instruments, data analysis and reporting of survey results, and project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MANAGEMENT</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services are designed to be secure, reliable, and expandable. Our software is a combination of proprietary and commercially-available software and operating systems. This combination of software supports acquisition and conversion of content, hosting and management of that content, publication of our web sites, downloads of courseware, registration, tracking of users, and reporting of information for both internal and external use. We designed our services to allow each component to be independently scaled by adding commercially-available hardware and a combination of commercially-available and proprietary software components.</w:t>
      </w:r>
    </w:p>
    <w:p>
      <w:pPr>
        <w:spacing w:after="0" w:line="8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network infrastructure, web sites, and servers that deliver most of our services are hosted by third party providers. Our primary data center and hosting facility is in Chicago, while a second data center and hosting facility is located in Nashville (with a separate vendor). Our second hosting facility has been utilized to support product and platform testing by customers, but we continue to work to configure this location as a backup facility. Both providers maintain our equipment in a secure environment, including multiple redundancies in power sources and network connections. Our providers’ hosting centers are connected to the Internet through multiple, redundant high-speed fiber optic circuits. Our survey products are hosted on servers located at our Franklin, Tennessee and Laurel, Maryland offices. Company personnel monitor all servers, networks, and systems on a continuous basis. Together with our providers, we employ several levels of enterprise firewall systems to protect our databases, customer information, and courseware library. Backups of customer data are performed on a daily basis. Data is secured at a remote location on a weekly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healthcare education industry is highly fragmented, varies significantly in delivery methods (</w:t>
      </w:r>
      <w:r>
        <w:rPr>
          <w:rFonts w:ascii="Arial" w:cs="Arial" w:eastAsia="Arial" w:hAnsi="Arial"/>
          <w:sz w:val="16"/>
          <w:szCs w:val="16"/>
          <w:i w:val="1"/>
          <w:iCs w:val="1"/>
          <w:color w:val="auto"/>
        </w:rPr>
        <w:t>i.e.</w:t>
      </w:r>
      <w:r>
        <w:rPr>
          <w:rFonts w:ascii="Arial" w:cs="Arial" w:eastAsia="Arial" w:hAnsi="Arial"/>
          <w:sz w:val="16"/>
          <w:szCs w:val="16"/>
          <w:color w:val="auto"/>
        </w:rPr>
        <w:t>, written materials, live events, satellite broadcasts, video, CD-ROM products and online products), and is composed of a wide variety of entities competing for customers. The sheer volume of healthcare information available to satisfy continuing education needs, rapid advances in medical developments, and the time constraints that healthcare professionals face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and CD-ROMs, and by attending conferences and seminars. In addition, other healthcare workers and pharmaceutical and medical device manufacturers’ sales and internal regulatory personnel usually fulfill their education and training needs through instructor-led programs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traditional methods, both from a business and compliance standpoint, are difficult to track and measure. While hospitals and health systems occasionally survey their patients, physicians and employees using their own internal resources, the practice is limited since they do not typically possess the valuable comparative benchmarking data which is available from independent survey research vendors.</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addition to the competing delivery methods described above, we also have direct competitors. A number of companies offer competitive installed and web based learning management products to the healthcare industry. We also compete with learning management system providers such as SABA and SumTotal Systems that provide their services to multiple industries, including healthcare. We also compete with large medical publishers that have operating units that offer learning management systems that focus on healthcare, including Cengage Learning’s Net Learning and Reed Elsevier Group’s MC Strategies. In the survey business, we see competition from large nationally recognized survey research firms such as Press Ganey Associates, National Research Corporation, Gallup, and others. Our survey business also experiences direct competition from vendors who provide survey research services to other industries including Kenexa and Foresight. Finally, recently we have also seen an increase in a teaming approach between consulting and technology entities to address larger scale projects.</w:t>
      </w:r>
    </w:p>
    <w:p>
      <w:pPr>
        <w:spacing w:after="0" w:line="7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believe our learning solutions, which include both products and services that facilitate training for healthcare professionals, a wide assortment of courseware, a mechanism for measuring satisfaction or other results, and the ability to provide all our services on a single platform over the Internet, provide us with a competitive advantage. In our survey research business, we believe our large proprietary database of physician survey results, technology infrastructure designed to automate the processing of survey results, proprietary core survey instruments and action plan development methodology, and our ability to quickly deliver relevant online courseware targeted at addressing survey related findings provide us with a competitive advantage. We believe that the principal competitive factors affecting the marketing of information, training and development services to the healthcare industry include:</w:t>
      </w:r>
    </w:p>
    <w:p>
      <w:pPr>
        <w:spacing w:after="0" w:line="57" w:lineRule="exact"/>
        <w:rPr>
          <w:sz w:val="20"/>
          <w:szCs w:val="20"/>
          <w:color w:val="auto"/>
        </w:rPr>
      </w:pPr>
    </w:p>
    <w:p>
      <w:pPr>
        <w:ind w:left="660" w:right="6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features of the HLC product, including reporting, management functionality, ability to manage a variety of events or modalities, courseware assignment, scalability, and the ability to track utilization and results;</w:t>
      </w:r>
    </w:p>
    <w:p>
      <w:pPr>
        <w:spacing w:after="0" w:line="75" w:lineRule="exact"/>
        <w:rPr>
          <w:rFonts w:ascii="Arial" w:cs="Arial" w:eastAsia="Arial" w:hAnsi="Arial"/>
          <w:sz w:val="18"/>
          <w:szCs w:val="18"/>
          <w:b w:val="1"/>
          <w:bCs w:val="1"/>
          <w:color w:val="auto"/>
        </w:rPr>
      </w:pPr>
    </w:p>
    <w:p>
      <w:pPr>
        <w:ind w:left="660" w:right="2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scope and variety of Internet-based learning courseware available, including mandated content for OSHA, The Joint Commission, patient safety, and HIPAA requirements, competency-based content, as well as the ability of our customers to create and host their own web-enabled courseware;</w:t>
      </w:r>
    </w:p>
    <w:p>
      <w:pPr>
        <w:spacing w:after="0" w:line="29" w:lineRule="exact"/>
        <w:rPr>
          <w:rFonts w:ascii="Arial" w:cs="Arial" w:eastAsia="Arial" w:hAnsi="Arial"/>
          <w:sz w:val="16"/>
          <w:szCs w:val="16"/>
          <w:b w:val="1"/>
          <w:bCs w:val="1"/>
          <w:color w:val="auto"/>
        </w:rPr>
      </w:pPr>
    </w:p>
    <w:p>
      <w:pPr>
        <w:ind w:left="660" w:right="5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scope and quality of professional services offered, including survey execution, implementation, benchmarking, training and the expertise and technical knowledge of the customers’ employees;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competitive pricing, which supports a return on investment when compared to other alternative delivery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customer service and support;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effectiveness of sales and marketing efforts;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company reputation.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Collectively, we believe these capabilities provide us with the ability to improve the quality of healthcare by developing the people who deliver care.</w:t>
      </w:r>
    </w:p>
    <w:p>
      <w:pPr>
        <w:spacing w:after="0" w:line="233" w:lineRule="exact"/>
        <w:rPr>
          <w:sz w:val="20"/>
          <w:szCs w:val="20"/>
          <w:color w:val="auto"/>
        </w:rPr>
      </w:pPr>
    </w:p>
    <w:p>
      <w:pPr>
        <w:ind w:right="3940"/>
        <w:spacing w:after="0" w:line="378" w:lineRule="auto"/>
        <w:rPr>
          <w:sz w:val="20"/>
          <w:szCs w:val="20"/>
          <w:color w:val="auto"/>
        </w:rPr>
      </w:pPr>
      <w:r>
        <w:rPr>
          <w:rFonts w:ascii="Arial" w:cs="Arial" w:eastAsia="Arial" w:hAnsi="Arial"/>
          <w:sz w:val="18"/>
          <w:szCs w:val="18"/>
          <w:b w:val="1"/>
          <w:bCs w:val="1"/>
          <w:color w:val="auto"/>
        </w:rPr>
        <w:t>GOVERNMENT REGULATION OF THE INTERNET AND THE HEALTHCARE INDUSTRY The Internet</w:t>
      </w:r>
    </w:p>
    <w:p>
      <w:pPr>
        <w:ind w:right="220"/>
        <w:spacing w:after="0" w:line="308" w:lineRule="auto"/>
        <w:rPr>
          <w:sz w:val="20"/>
          <w:szCs w:val="20"/>
          <w:color w:val="auto"/>
        </w:rPr>
      </w:pPr>
      <w:r>
        <w:rPr>
          <w:rFonts w:ascii="Arial" w:cs="Arial" w:eastAsia="Arial" w:hAnsi="Arial"/>
          <w:sz w:val="17"/>
          <w:szCs w:val="17"/>
          <w:color w:val="auto"/>
        </w:rPr>
        <w:t>The laws and regulations that govern our business change rapidly. The United States government and the governments of some states and foreign countries have attempted to regulate activities on the Internet. The following are some of the evolving areas of law that are relevant to our business:</w:t>
      </w:r>
    </w:p>
    <w:p>
      <w:pPr>
        <w:spacing w:after="0" w:line="38" w:lineRule="exact"/>
        <w:rPr>
          <w:sz w:val="20"/>
          <w:szCs w:val="20"/>
          <w:color w:val="auto"/>
        </w:rPr>
      </w:pPr>
    </w:p>
    <w:p>
      <w:pPr>
        <w:ind w:left="660" w:hanging="436"/>
        <w:spacing w:after="0" w:line="276" w:lineRule="auto"/>
        <w:tabs>
          <w:tab w:leader="none" w:pos="660" w:val="left"/>
        </w:tabs>
        <w:numPr>
          <w:ilvl w:val="0"/>
          <w:numId w:val="4"/>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Privacy and Security Laws. </w:t>
      </w:r>
      <w:r>
        <w:rPr>
          <w:rFonts w:ascii="Arial" w:cs="Arial" w:eastAsia="Arial" w:hAnsi="Arial"/>
          <w:sz w:val="17"/>
          <w:szCs w:val="17"/>
          <w:color w:val="auto"/>
        </w:rPr>
        <w:t>Current and proposed federal, state and foreign privacy and security regulations and other laws restricting the collection,</w:t>
      </w:r>
      <w:r>
        <w:rPr>
          <w:rFonts w:ascii="Arial" w:cs="Arial" w:eastAsia="Arial" w:hAnsi="Arial"/>
          <w:sz w:val="17"/>
          <w:szCs w:val="17"/>
          <w:i w:val="1"/>
          <w:iCs w:val="1"/>
          <w:color w:val="auto"/>
        </w:rPr>
        <w:t xml:space="preserve"> </w:t>
      </w:r>
      <w:r>
        <w:rPr>
          <w:rFonts w:ascii="Arial" w:cs="Arial" w:eastAsia="Arial" w:hAnsi="Arial"/>
          <w:sz w:val="17"/>
          <w:szCs w:val="17"/>
          <w:color w:val="auto"/>
        </w:rPr>
        <w:t>use, security and disclosure of personal information could limit our ability to collect information or use and disclose the information in our databases or derived from other sources to generate revenues. It may be costly to implement security or other measures designed to comply with any new legislation. For example, the American Recovery and Reinvestment Act of 2009 (the “ARRA”) has expanded the application of certain HIPAA privacy and security requirements to apply directly to us as a business associate of our customers.</w:t>
      </w:r>
    </w:p>
    <w:p>
      <w:pPr>
        <w:spacing w:after="0" w:line="77" w:lineRule="exact"/>
        <w:rPr>
          <w:rFonts w:ascii="Arial" w:cs="Arial" w:eastAsia="Arial" w:hAnsi="Arial"/>
          <w:sz w:val="17"/>
          <w:szCs w:val="17"/>
          <w:b w:val="1"/>
          <w:bCs w:val="1"/>
          <w:color w:val="auto"/>
        </w:rPr>
      </w:pPr>
    </w:p>
    <w:p>
      <w:pPr>
        <w:ind w:left="6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Encryption Laws. </w:t>
      </w:r>
      <w:r>
        <w:rPr>
          <w:rFonts w:ascii="Arial" w:cs="Arial" w:eastAsia="Arial" w:hAnsi="Arial"/>
          <w:sz w:val="18"/>
          <w:szCs w:val="18"/>
          <w:color w:val="auto"/>
        </w:rPr>
        <w:t>Many copyright owner associations have lobbied the federal government for laws requiring copyrighted materials transmitted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Internet to be digitally encrypted in order to track rights and prevent unauthorized use of copyrighted materials. If these laws are adopted, we may incur substantial costs to comply with these requirements or change the way we do business.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60" w:hanging="436"/>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Content Regulation. </w:t>
      </w:r>
      <w:r>
        <w:rPr>
          <w:rFonts w:ascii="Arial" w:cs="Arial" w:eastAsia="Arial" w:hAnsi="Arial"/>
          <w:sz w:val="18"/>
          <w:szCs w:val="18"/>
          <w:color w:val="auto"/>
        </w:rPr>
        <w:t>Both foreign and domestic governments have adopted and proposed laws governing the content of material transmitted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These include laws relating to obscenity, indecency, libel and defamation. We could be liable if content delivered by us violates these regulations.</w:t>
      </w:r>
    </w:p>
    <w:p>
      <w:pPr>
        <w:spacing w:after="0" w:line="86" w:lineRule="exact"/>
        <w:rPr>
          <w:rFonts w:ascii="Arial" w:cs="Arial" w:eastAsia="Arial" w:hAnsi="Arial"/>
          <w:sz w:val="18"/>
          <w:szCs w:val="18"/>
          <w:b w:val="1"/>
          <w:bCs w:val="1"/>
          <w:color w:val="auto"/>
        </w:rPr>
      </w:pPr>
    </w:p>
    <w:p>
      <w:pPr>
        <w:ind w:left="660" w:right="20" w:hanging="436"/>
        <w:spacing w:after="0" w:line="270"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Information Security Accountability Regulation. </w:t>
      </w:r>
      <w:r>
        <w:rPr>
          <w:rFonts w:ascii="Arial" w:cs="Arial" w:eastAsia="Arial" w:hAnsi="Arial"/>
          <w:sz w:val="17"/>
          <w:szCs w:val="17"/>
          <w:color w:val="auto"/>
        </w:rPr>
        <w:t>The ARRA provides that the U.S. Department of Health and Human Services (“HHS”) must issue</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requiring covered entities to report certain security breaches to individuals affected by the breach and, in some cases, to HHS or to the public via website. This reporting obligation will apply broadly to breaches involving unsecured protected health information. Congress has considered bills that would require companies to engage independent third parties to audit the companies’ computer information security. In addition, we are subject to certain state laws that relate to privacy or the reporting of security breaches that are more restrictive than the requirements of the AARA. For example, California has enacted legislation requiring disclosure of security breaches involving personal information and medical information. We may incur costs to comply with these security requirements. Because many of these laws are new and there is little guidance related to many of these laws, it is difficult to estimate the cost of our compliance with these laws. If the Company is required to make a public announcement regarding a breach of security or if one of the Company’s customers is required to make a public announcement in connection with a breach of security by the Company, the Company’s business could be negatively impacted.</w:t>
      </w:r>
    </w:p>
    <w:p>
      <w:pPr>
        <w:spacing w:after="0" w:line="83" w:lineRule="exact"/>
        <w:rPr>
          <w:rFonts w:ascii="Arial" w:cs="Arial" w:eastAsia="Arial" w:hAnsi="Arial"/>
          <w:sz w:val="17"/>
          <w:szCs w:val="17"/>
          <w:b w:val="1"/>
          <w:bCs w:val="1"/>
          <w:color w:val="auto"/>
        </w:rPr>
      </w:pPr>
    </w:p>
    <w:p>
      <w:pPr>
        <w:ind w:left="660" w:right="80" w:hanging="436"/>
        <w:spacing w:after="0" w:line="279"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Sales and Use Tax. </w:t>
      </w:r>
      <w:r>
        <w:rPr>
          <w:rFonts w:ascii="Arial" w:cs="Arial" w:eastAsia="Arial" w:hAnsi="Arial"/>
          <w:sz w:val="17"/>
          <w:szCs w:val="17"/>
          <w:color w:val="auto"/>
        </w:rPr>
        <w:t>Through December 31, 2008, we collected sales, use or other taxes on taxable transactions in all states in which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or have a significant level of sales activity. While HealthStream expects that this approach is appropriate, other states or foreign jurisdictions may seek to impose tax collection obligations on companies like us that engage in online commerce. If they do, these obligations could limit the growth of electronic commerce in general and limit our ability to profit from the sale of our services over the Internet.</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Laws and regulations directly applicable to e-commerce and Internet communications are becoming more prevalent. Congress continues considering laws regarding Internet taxation.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 Training and Other Services for Healthcare Professionals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Occupational Safety and Health Administration (OSHA). </w:t>
      </w:r>
      <w:r>
        <w:rPr>
          <w:rFonts w:ascii="Arial" w:cs="Arial" w:eastAsia="Arial" w:hAnsi="Arial"/>
          <w:sz w:val="18"/>
          <w:szCs w:val="18"/>
          <w:color w:val="auto"/>
        </w:rPr>
        <w:t>OSHA regulations require employers to provide training to employees to minimize the risk of injury</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potential workplace hazards. Employers in the healthcare industry are required to provide training with respect to various topics, including blood borne pathogens exposure control, laboratory safety and tuberculosis infection control. OSHA regulations require employers to keep records of their employees’ completion of training with respect to these workplace hazards.</w:t>
      </w:r>
    </w:p>
    <w:p>
      <w:pPr>
        <w:spacing w:after="0" w:line="7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i w:val="1"/>
          <w:iCs w:val="1"/>
          <w:color w:val="auto"/>
        </w:rPr>
        <w:t xml:space="preserve">The Joint Commission. </w:t>
      </w:r>
      <w:r>
        <w:rPr>
          <w:rFonts w:ascii="Arial" w:cs="Arial" w:eastAsia="Arial" w:hAnsi="Arial"/>
          <w:sz w:val="18"/>
          <w:szCs w:val="18"/>
          <w:color w:val="auto"/>
        </w:rPr>
        <w:t>The Joint Commission mandates that employers in the healthcare industry provide certain workplace safety and patient interaction</w:t>
      </w:r>
      <w:r>
        <w:rPr>
          <w:rFonts w:ascii="Arial" w:cs="Arial" w:eastAsia="Arial" w:hAnsi="Arial"/>
          <w:sz w:val="18"/>
          <w:szCs w:val="18"/>
          <w:i w:val="1"/>
          <w:iCs w:val="1"/>
          <w:color w:val="auto"/>
        </w:rPr>
        <w:t xml:space="preserve"> </w:t>
      </w:r>
      <w:r>
        <w:rPr>
          <w:rFonts w:ascii="Arial" w:cs="Arial" w:eastAsia="Arial" w:hAnsi="Arial"/>
          <w:sz w:val="18"/>
          <w:szCs w:val="18"/>
          <w:color w:val="auto"/>
        </w:rPr>
        <w:t>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Health Insurance Portability and Accountability Act (HIPAA). </w:t>
      </w:r>
      <w:r>
        <w:rPr>
          <w:rFonts w:ascii="Arial" w:cs="Arial" w:eastAsia="Arial" w:hAnsi="Arial"/>
          <w:sz w:val="18"/>
          <w:szCs w:val="18"/>
          <w:color w:val="auto"/>
        </w:rPr>
        <w:t>HIPAA regulations require certain organizations, including most healthcare providers and</w:t>
      </w:r>
      <w:r>
        <w:rPr>
          <w:rFonts w:ascii="Arial" w:cs="Arial" w:eastAsia="Arial" w:hAnsi="Arial"/>
          <w:sz w:val="18"/>
          <w:szCs w:val="18"/>
          <w:i w:val="1"/>
          <w:iCs w:val="1"/>
          <w:color w:val="auto"/>
        </w:rPr>
        <w:t xml:space="preserve"> </w:t>
      </w:r>
      <w:r>
        <w:rPr>
          <w:rFonts w:ascii="Arial" w:cs="Arial" w:eastAsia="Arial" w:hAnsi="Arial"/>
          <w:sz w:val="18"/>
          <w:szCs w:val="18"/>
          <w:color w:val="auto"/>
        </w:rPr>
        <w:t>health plans, to adopt safeguards regarding the use and disclosure of health-related information. HIPAA regulations also require organizations that maintain or transmit health information electronically in connection with certain transactions to provide reasonable and appropriate safeguards to protect the privacy, integrity and confidentiality of individually identifiable healthcare information. These healthcare organizations are required to establish, maintain and provide training with regard to their policies and procedures for protecting the integrity and confidentiality of individually identifiable healthcare information. Healthcare organizations are required to document training on these topics to support their compliance. Recently the ARRA expanded the application of certain HIPAA privacy and security requirements to apply directly to companies (known as business associates) that provide services to certain healthcare organizations.</w:t>
      </w:r>
    </w:p>
    <w:p>
      <w:pPr>
        <w:spacing w:after="0" w:line="84"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are usually the source of authority for establishing the state board of nursing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state board of nursing establishes the state’s CNE requirements for professional nurses. CNE credits are provided through accredited providers that have been approved by the American Nurses Credentialing Center (ANCC) Commission on Accreditation and/or the state board of nursing. CNE requirements vary widely from state to state. Thirty-two states require registered nurses to certify that they have accumulated a minimum number of CNE credits in order to maintain their licenses. In some states, the CNE requirement only applies to re-licensure of advance practice nurses, or additional CNEs may be required of this category of nurses. Required CNE ranges from 12 to 50 credits annually, with reporting generally on a bi-annual basis. Board certifications (e.g., CNOR</w:t>
      </w:r>
    </w:p>
    <w:p>
      <w:pPr>
        <w:spacing w:after="0" w:line="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 certification of perioperative nursing) also require CNE credits, with certain percentages required in specific categories based on the certification type. We are an accredited provider of CNE by the ANCC.</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w:t>
      </w:r>
      <w:r>
        <w:rPr>
          <w:rFonts w:ascii="Arial" w:cs="Arial" w:eastAsia="Arial" w:hAnsi="Arial"/>
          <w:sz w:val="16"/>
          <w:szCs w:val="16"/>
          <w:i w:val="1"/>
          <w:iCs w:val="1"/>
          <w:color w:val="auto"/>
        </w:rPr>
        <w:t xml:space="preserve"> </w:t>
      </w:r>
      <w:r>
        <w:rPr>
          <w:rFonts w:ascii="Arial" w:cs="Arial" w:eastAsia="Arial" w:hAnsi="Arial"/>
          <w:sz w:val="16"/>
          <w:szCs w:val="16"/>
          <w:color w:val="auto"/>
        </w:rPr>
        <w:t>accumulated a minimum number of continuing medical education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12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Association’s</w:t>
      </w:r>
    </w:p>
    <w:p>
      <w:pPr>
        <w:spacing w:after="0" w:line="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(AMA) Physician Recognition Award certificate (PRA) is widely accepted as proof of participation in CME. The AMA classifies continuing medical education activities as either Category 1, which includes formal CME activities, or Category 2, which includes most informal activities. Sponsors want to designate CME activities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because this has become the benchmark for quality in formally organized educational activities. Most agencies nationwide that require CME participation specify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Only institutions and organizations accredited to provide CME can designate an activity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The Accreditation Council for Continuing Medical Education (ACCME), is responsible for awarding accreditation status to state medical societies, medical schools, and other institutions and organizations that provide CME activities for a national audience of physicians. Only institutions and organizations are accredited. The ACCME and state medical societies do not accredit or approve individual activities. State medical societies, operating under the aegis of the ACCME, accredit institutions and organizations that provide CME activities primarily for physicians within the state or bordering states. We are an accredited provider of CME by the ACCME.</w:t>
      </w:r>
    </w:p>
    <w:p>
      <w:pPr>
        <w:spacing w:after="0" w:line="58"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 xml:space="preserve">Consumer Assessment of Healthcare Providers and Systems (CAHPS). </w:t>
      </w:r>
      <w:r>
        <w:rPr>
          <w:rFonts w:ascii="Arial" w:cs="Arial" w:eastAsia="Arial" w:hAnsi="Arial"/>
          <w:sz w:val="18"/>
          <w:szCs w:val="18"/>
          <w:color w:val="auto"/>
        </w:rPr>
        <w:t>CMS has partnered with AHRQ to develop a standardized survey instrument and data</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methodology for measuring patients’ perspectives on hospital care. The intent of the survey is to produce comparable data on the patients’ perspectives to allow consumer-based comparisons between hospitals, align incentives to drive hospitals to improve their quality of care, and increase the transparency of hospital reporting. According to the Deficit Reduction Act of 2005, hospitals must submit data for certain required quality measures—which for inpatients includes the CAHPS</w:t>
      </w:r>
      <w:r>
        <w:rPr>
          <w:rFonts w:ascii="Arial" w:cs="Arial" w:eastAsia="Arial" w:hAnsi="Arial"/>
          <w:sz w:val="15"/>
          <w:szCs w:val="15"/>
          <w:color w:val="auto"/>
        </w:rPr>
        <w:t>®</w:t>
      </w:r>
      <w:r>
        <w:rPr>
          <w:rFonts w:ascii="Arial" w:cs="Arial" w:eastAsia="Arial" w:hAnsi="Arial"/>
          <w:sz w:val="18"/>
          <w:szCs w:val="18"/>
          <w:color w:val="auto"/>
        </w:rPr>
        <w:t xml:space="preserve"> Hospital Survey—in order to receive the full market basket increase to their reimbursement payment rates from CMS. While hospital participation is voluntary, hospitals that fail to submit this survey data will incur a reduction of two percentage points in the inpatient market basket update amount for the following federal fiscal year. We have received certified vendor designation, and will continue to offer CAHPS</w:t>
      </w:r>
      <w:r>
        <w:rPr>
          <w:rFonts w:ascii="Arial" w:cs="Arial" w:eastAsia="Arial" w:hAnsi="Arial"/>
          <w:sz w:val="15"/>
          <w:szCs w:val="15"/>
          <w:color w:val="auto"/>
        </w:rPr>
        <w:t>®</w:t>
      </w:r>
      <w:r>
        <w:rPr>
          <w:rFonts w:ascii="Arial" w:cs="Arial" w:eastAsia="Arial" w:hAnsi="Arial"/>
          <w:sz w:val="18"/>
          <w:szCs w:val="18"/>
          <w:color w:val="auto"/>
        </w:rPr>
        <w:t xml:space="preserve"> Hospital Survey services.</w:t>
      </w:r>
    </w:p>
    <w:p>
      <w:pPr>
        <w:spacing w:after="0" w:line="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Allied Disciplines. </w:t>
      </w:r>
      <w:r>
        <w:rPr>
          <w:rFonts w:ascii="Arial" w:cs="Arial" w:eastAsia="Arial" w:hAnsi="Arial"/>
          <w:sz w:val="18"/>
          <w:szCs w:val="18"/>
          <w:color w:val="auto"/>
        </w:rPr>
        <w:t>Various allied health professionals are required to obtain continuing education to maintain their licenses. For example, emergency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personnel may be required to acquire up to 20 continuing education hours per year, all or a portion of which can be fulfilled online. These requirements vary by state and depend on the classification of the employee.</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Other Continuing Education. </w:t>
      </w:r>
      <w:r>
        <w:rPr>
          <w:rFonts w:ascii="Arial" w:cs="Arial" w:eastAsia="Arial" w:hAnsi="Arial"/>
          <w:sz w:val="18"/>
          <w:szCs w:val="18"/>
          <w:color w:val="auto"/>
        </w:rPr>
        <w:t>We are also an accredited provider of continuing education and continuing pharmacy education by the Association of Surgical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Technologists, Inc. (AST) and the Accreditation Council for Pharmacy Education (ACPE),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Educational Program Sponsorship and Support</w:t>
      </w:r>
    </w:p>
    <w:p>
      <w:pPr>
        <w:spacing w:after="0" w:line="12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Office of Inspector General (OIG) issued Compliance Program Guidance for Pharmaceutical Manufacturers in April 2003 and issued Compliance Program Guidance for the Durable Medical Equipment, Prosthetics, Orthotics, and Supply Industry in July 1999 (collectively, the Guidelines). These documents include guidelines related to continuing educational activities supported by pharmaceutical and medical device companies. The Guidelines already have and may continue to affect the type and extent of commercial support we receive for our continuing education activities. The trade associations for the pharmaceutical and medical device industries (PhRMA and AdvaMed, respectively) have also promulgated their own codes of ethics. In January 2009, the PhRMA code of ethics was updated, and AdvaMed has announced changes to its code of ethics that will be effective in July 2009. These changes placed further restrictions on the interactions between industry and health care professionals. The AMA has established its own code of ethics regarding Gifts to Physicians from Industry to provide standards of conduct for the medical profession. The Company follows the rules and guidelines provided by ACCME, ANCC, and other continuing education accrediting bodies to ensure that its continuing education programming is free from commercial bias and consistent with the Guidelines.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U.S. Food and Drug Administration and the Federal Trade Commission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claims and, in limited circumstances, to a limited number of claims not approved by the FDA. Therefore, any information that promotes the use of pharmaceutical or medical device products that is presented with our services is subject to the full array of the FDA and FTC requirements and enforcement actions. We believe that banner advertisements, sponsorship links and any educational programs that lack</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independent editorial control that we may present with our services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Government Regulations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December 2007, the SEC issued new rules for smaller reporting companies, expanding the number of companies that qualify for its scaled disclosure requirements. The Company continues to monitor these regulations and rulings to ensure that we appropriately allocate our resources to maintain compliance with all applicable regulations. Currently, our compliance with Section 404 of the Sarbanes-Oxley Act is applicable for calendar year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 protect our proprietary rights, we rely generally on copyright, trademark and trade secret laws, confidentiality agreements and procedures with employees, consultants and other third parties, license agreements with consultants, vendors and customers, and control access to our software, documentation and other proprietary information. We own Federal trademark and service mark registrations for the marks “HEALTHSTREAM”, “HOSPITAL DIRECT”, “OR PROTOCOL”, and “QUALITY CHECK.”</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courseware that we license to our customers is developed through a combination of license agreements with publishers or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8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a third party asserts a claim that we have infringed their patents or other intellectual property, we may be required to redesign our products or enter into royalty or licensing agreements. In addition, we license technologies from third parties for incorporation into our services. Royalty and licensing agreements with these third parties may not be available on terms acceptable to us, if at all. Additionally, the steps we have taken to protect our intellectual property and proprietary rights may not be adequate. Third parties may infringe or misappropriate our intellectual property. Competitors may also independently develop technologies that are substantially equivalent or superior to the technologies we employ in our products or services. If we fail to protect our proprietary rights adequately, our competitors could offer similar services, potentially significantly harming our competitive position and decreasing our revenues.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jc w:val="both"/>
        <w:ind w:right="200"/>
        <w:spacing w:after="0" w:line="286" w:lineRule="auto"/>
        <w:rPr>
          <w:sz w:val="20"/>
          <w:szCs w:val="20"/>
          <w:color w:val="auto"/>
        </w:rPr>
      </w:pPr>
      <w:r>
        <w:rPr>
          <w:rFonts w:ascii="Arial" w:cs="Arial" w:eastAsia="Arial" w:hAnsi="Arial"/>
          <w:sz w:val="16"/>
          <w:szCs w:val="16"/>
          <w:color w:val="auto"/>
        </w:rPr>
        <w:t>The Company files reports with the SEC, including annual reports on Form 10-K, quarterly reports on Form 10-Q and other reports from time to time. The public may read and copy any materials we file with the SEC at the SEC’s Public Reference Room at 100 F Street, NE, Washington, DC 20549. The public may obtain information on the operation of the Public Reference Room by calling the SEC at 1-800-SEC-0330. The Company is an electronic filer and the SEC maintains an Internet site at http://www.sec.gov that contains the reports, proxy and information statements, and other information filed electronically.</w:t>
      </w:r>
    </w:p>
    <w:p>
      <w:pPr>
        <w:spacing w:after="0" w:line="2"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Our website address is www.healthstream.com. Please note that our website address is provided as an inactive textual reference only. We make available free of charge through our website, the annual report on Form 10-K, quarterly reports on Form 10-Q, current reports on Form 8-K, and all amendments to those reports as soon as reasonably practicable after such material is electronically filed with or furnished to the SEC. The information provided on our website is not part of this report, and is therefore not incorporated by reference unless such information is otherwise specifically referenced elsewhere in this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As of December 31, 2008, we employed approximately 300 full-time and 100 part-time persons, including approximately 150 employees in our interviewing center. Our success will depend in large part upon our ability to attract and retain qualified employees. We face competition in this regard from other companies, but we believe that we maintain good relations with our employees. We are not subject to any collective bargaining agreements.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The following is a brief summary of the business experience of each of the executive officers of the Company. Officers of the Company are elected by the Board of Directors and serve at the pleasure of the Board of Directors. The following table sets forth certain information regarding the executive officers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796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shd w:val="clear" w:color="auto" w:fill="CCEEFF"/>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President and Chairman of the Board of Directors</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Jeffrey S. Doster</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44</w:t>
            </w:r>
          </w:p>
        </w:tc>
        <w:tc>
          <w:tcPr>
            <w:tcW w:w="79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Technology Officer</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Gerard M. Hayden, Jr.</w:t>
            </w:r>
          </w:p>
        </w:tc>
        <w:tc>
          <w:tcPr>
            <w:tcW w:w="6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54</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Arthur E. Newman</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60</w:t>
            </w:r>
          </w:p>
        </w:tc>
        <w:tc>
          <w:tcPr>
            <w:tcW w:w="796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6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46</w:t>
            </w:r>
          </w:p>
        </w:tc>
        <w:tc>
          <w:tcPr>
            <w:tcW w:w="7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and President of HealthStream Research</w:t>
            </w:r>
            <w:r>
              <w:rPr>
                <w:rFonts w:ascii="Arial" w:cs="Arial" w:eastAsia="Arial" w:hAnsi="Arial"/>
                <w:sz w:val="15"/>
                <w:szCs w:val="15"/>
                <w:color w:val="auto"/>
              </w:rPr>
              <w:t>™</w:t>
            </w: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Kevin P. O’Hara</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39</w:t>
            </w:r>
          </w:p>
        </w:tc>
        <w:tc>
          <w:tcPr>
            <w:tcW w:w="796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Compliance Officer</w:t>
            </w:r>
          </w:p>
        </w:tc>
      </w:tr>
    </w:tbl>
    <w:p>
      <w:pPr>
        <w:spacing w:after="0" w:line="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Robert A. Frist, Jr., one of our co-founders, has served as our chief executive officer and chairman of the board of directors since 1990 and president since 2001. He graduated with a Bachelor of Science in business with concentrations in finance, economics and marketing from Trinity University.</w:t>
      </w:r>
    </w:p>
    <w:p>
      <w:pPr>
        <w:spacing w:after="0" w:line="1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Jeffrey S. Doster joined the Company in May 2008 as senior vice president and chief technology officer. From November 2006 to May 2008, he served as principal at The Altus Group LLC, a business consulting company. From March 2005 to October 2006, he served as senior vice president and chief technology officer at The Shop at Home Network, LLC, a television shopping company. From October 2000 to April 2004, he served as senior vice president of information technology at New Roads, Inc., a provider of fulfillment and other services to retailers. He earned undergraduate degrees in both Economics and Business Administration from Towson University, as well as a Master of Business Administration from Loyola College, in Maryland.</w:t>
      </w:r>
    </w:p>
    <w:p>
      <w:pPr>
        <w:spacing w:after="0" w:line="50"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Gerard M. Hayden, Jr. joined the Company as senior vice president and chief financial officer in May 2008. From April 2007 to May 2008, he served as executive vice president and chief financial officer of MedAvant Healthcare Solutions, a healthcare transaction processing company. From January 2005 to April 2007, he was a consultant for various healthcare, technology and other business ventures. From November 2001 to January 2005, he served as chief financial officer for Private Business, Inc., a company offering marketing and software solutions to regional and community banks in the United States. He earned a Bachelor of Arts from the University of Notre Dame and a Master of Science from Northeastern University. Mr. Hayden served on the Company’s Board of Directors and was a member of the Audit Committee from September 2006 to May 2008.</w:t>
      </w:r>
    </w:p>
    <w:p>
      <w:pPr>
        <w:spacing w:after="0" w:line="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Arthur E. Newman joined the Company in January 2000, and is currently our Executive Vice President. Previously he served as our chief financial officer and senior vice president from January 2000 to May 2006. He holds a Bachelor of Science in chemistry from the University of Miami and a Master of Business Administration from Rutgers University.</w:t>
      </w:r>
    </w:p>
    <w:p>
      <w:pPr>
        <w:spacing w:after="0" w:line="7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J. Edward Pearson joined the company in June 2006 as senior vice president, responsible for our survey and research business and was named president of HealthStream Research</w:t>
      </w:r>
      <w:r>
        <w:rPr>
          <w:rFonts w:ascii="Arial" w:cs="Arial" w:eastAsia="Arial" w:hAnsi="Arial"/>
          <w:sz w:val="15"/>
          <w:szCs w:val="15"/>
          <w:color w:val="auto"/>
        </w:rPr>
        <w:t>™</w:t>
      </w:r>
      <w:r>
        <w:rPr>
          <w:rFonts w:ascii="Arial" w:cs="Arial" w:eastAsia="Arial" w:hAnsi="Arial"/>
          <w:sz w:val="18"/>
          <w:szCs w:val="18"/>
          <w:color w:val="auto"/>
        </w:rPr>
        <w:t xml:space="preserve"> during 2007. From June 2003 to June 2006, he served as president and chief executive officer of DigiScript, an Internet-based training and communication solutions provider for the life sciences industry. He earned a Bachelor of Business Administration in accounting from Middle Tennessee State University.</w:t>
      </w:r>
    </w:p>
    <w:p>
      <w:pPr>
        <w:spacing w:after="0" w:line="7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Kevin P. O’Hara joined the company in 2002, and was promoted to senior vice president and general counsel in February 2007. He assumed compliance officer responsibilities during August 2007. He previously served as vice president for the company. He earned a Bachelor of Arts degree and a J.D. from Vanderbilt University.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the risks and uncertainties described below and elsewhere in this document are the principal material risks facing the Company as of the date of this report. In the future, we may become subject to additional risks that are not currently known to us. Our business, financial condition or results of operations could be materially adversely affected by any of the following risks and by any unknown risks. The trading price of our common stock could decline due to any of the following risks or any unknown risks.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model.</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15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business strategy includes increasing our market share and presence through sales to new customers, additional sales to existing customers, introductions of new products and services, and maintaining strong relationships with our existing customers. Some of the risks that we may encounter in executing our growth strategy include:</w:t>
      </w:r>
    </w:p>
    <w:p>
      <w:pPr>
        <w:spacing w:after="0" w:line="73" w:lineRule="exact"/>
        <w:rPr>
          <w:sz w:val="20"/>
          <w:szCs w:val="20"/>
          <w:color w:val="auto"/>
        </w:rPr>
      </w:pPr>
    </w:p>
    <w:p>
      <w:pPr>
        <w:ind w:left="5660" w:right="2220" w:hanging="5436"/>
        <w:spacing w:after="0" w:line="496" w:lineRule="auto"/>
        <w:tabs>
          <w:tab w:leader="none" w:pos="661"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expenses, delays and difficulties of identifying and integrating new products or services into our existing organization;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leverage our operational and financial systems sufficiently to support our growth;</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 from new products to offset investment costs;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effectively identify, manage and exploit existing and emerging market opportunities;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inability to maintain our existing customer relationships;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increased competition from new and existing competitors;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lengthy sales cycles, or customers delaying purchasing decisions due to economic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risks are realized, our business could suffer.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effectively identify, complete or integrate the operations of future acquisitions.</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 part of our growth strategy, we actively review possible acquisitions that complement or enhance our business. We may not be able to identify, complete or integrate the operations of future acquisitions. In addition, if we finance acquisitions by issuing equity securities, our existing shareholders may be diluted which could affect the market price of our stock. As a result, if we fail to properly evaluate and execute acquisitions and investments, our business prospects may be seriously harmed. Some of the risks that we may encounter in implementing our acquisition strategy include:</w:t>
      </w:r>
    </w:p>
    <w:p>
      <w:pPr>
        <w:spacing w:after="0" w:line="6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expenses, delays or difficulties in identifying and integrating acquired companies into our organization;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inability to retain personnel associated with acquisitions;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diversion of management’s attention from daily operations;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inability to generate sufficient revenues, profits, and cash flows from acquisitions to offset our investment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for certain products and services is dependent upon customer scheduling and acceptance.</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revenues from our subscription business continue to increase, a larger portion of our revenues will be predictable; however, quarterly performance may be more subject to fluctuations. Our HealthStream Research products and services are typically contracted by healthcare organizations for multi-year terms, but the frequency, sample size, and timing of survey cycles can vary from quarter to quarter and year to year. Also, other project-based products, such as live events, certain content development, and professional services, are subject to the customers’ involvement in the provision of the product. The magnitude of these project-based service contracts may vary widely from quarter to quarter and year to year, and thus may affect our ability to accurately predict quarterly and annual financial performance.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cycle is lengthy and can vary widely.</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period from our initial contact with a potential customer and the first purchase of our solution by the customer typically ranges from three to nine months, and in some cases has extended much further. The range in the sales cycle can be impacted by multiple factors, including an increasing trend towards more formal request for proposals (RFP) processes and more competition within our industry, as well as formal budget timelines which impact timing of purchases by target customers. As a result of these factors, we have only limited ability to forecast the timing and type of initial sales. This, in turn, makes it more difficult to predict quarterly and annual financial performance.</w:t>
      </w:r>
    </w:p>
    <w:p>
      <w:pPr>
        <w:spacing w:after="0" w:line="8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competitive position against current and potential competitors, especially those with significantly greater financial, technical, marketing, and other resources.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Several of our competitors and many potential competitors have longer operating histories and significantly greater financial, technical, marketing, and other resources than we do. We encounter direct competition from both large and small e-learning companies and other companies focused on training and continuing education in the healthcare industry. We also face competition from larger survey and research companies. Given the profile and growth of the healthcare industry and the growing need for education, training, research, and information, it is likely that additional competitors will emerge. We believe we maintain a competitive advantage against our competitors by virtue of the comprehensive array of products and services we offer. If our competitors were to offer a complete e-learning solution to the healthcare industry, our competitive position could be adversely affected. These companies may be able to respond more quickly than we can to new or changing opportunities, technologies, standards or customer requirements. Further, most of our customer agreements are for terms ranging from one to three years, with no obligation to renew. The short terms of these agreements enable customers to shift to one of our competitors.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in courseware subscription revenues depends, in part, on our obtaining proper distribution rights from our content partners.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Most of our agreements with content providers are for initial terms of two to three years. The content partners may choose not to renew their agreements with us or may terminate the agreements early if we do not fulfill our contractual obligations. If a significant number of our content providers terminate or fail to renew their agreements with us on acceptable terms, it could result in a reduction in the number of courses we are able to distribute, causing decreased revenues. Most of our agreements with our content partners are non-exclusive, and our competitors offer, or could offer, training and continuing education content that is similar to or the same as ours. If publishers and authors, including our current content partners, offer information to users or our competitors on more favorable terms than those offered to us, or increase our license fees, our competitive position and our profit margins and prospects could be harmed. In addition, the failure by our content partners to deliver high-quality content and to revise their content in response to user demand and evolving healthcare advances and trends could result in customer dissatisfaction and inhibit our ability to attract and retain subscribers of our courseware offerings.</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not be able to develop enhancements to our existing products and services or achieve widespread acceptance of new features or keep pace with technological developments.</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revenue growth is expected to be generated through sales to new customers as well as increasing sales of additional courseware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base of Internet-based customers or adoption of new methodology by new customers. Because healthcare training continues to change and evolve, we may be unable to accurately predict and develop features, content and other products to address these needs of the healthcare industry. If new products, features, or content are not accepted by new or existing customers, we may not be able to recover the cost of this development and our business will be harmed. Continued growth of our Internet-based customer population is dependent on our ability to continue to provide relevant products and services in a timely manner. The success of our business will depend on our ability to continue providing our products and services as well as enhancing our courseware, product and service offerings that address the needs of healthcare organizations.</w:t>
      </w:r>
    </w:p>
    <w:p>
      <w:pPr>
        <w:spacing w:after="0" w:line="7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product and service offerings include third party technology, the loss of which could materially harm our business. Errors in third party software or our inability to license this software in the future could increase our costs and decrease our revenues.</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use some licensed third party technology components in our products. Future licenses to this technology may not be available to us on commercially reasonable terms, or at all. The loss of or inability to obtain or maintain any of these licenses could result in delays in the introduction of new products and services or could force us to discontinue offering portions of our learning management or survey and research solutions until equivalent technology, if available, is identified, licensed and integrated. The operation of our products would be impaired if errors occur in the third party technology or content that we incorporate, and we may incur additional costs to repair or replace the defective software. It may be difficult for us to correct any errors in third party software because the software is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 is generated from a relatively small number of customers.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derive a substantial portion of our revenues from a relatively small number of customers. A termination of our agreements with our significant customers or a failure of these customers to renew their contracts on favorable terms, or at all, would have a material adverse effect on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significant portion of our business is subject to renewal each year. Therefore, renewals have a significant impact on our revenue and operating results.</w:t>
      </w:r>
    </w:p>
    <w:p>
      <w:pPr>
        <w:spacing w:after="0" w:line="15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For the year ended December 31, 2008, approximately 55 percent of our net revenues were derived from our Internet-based subscription products. Our Internet-based HLC customers have no obligation to renew their subscriptions for our products or services after the expiration of the initial subscription period, and in fact, some customers have elected not to renew their subscription. In addition, our customers may renew at a lower pricing or activity level. During the year ended December 31, 2008, we renewed 100% of the annual HLC contract value up for renewal and 91% of the subscribers which were up for renewal. Because a significant portion of our customer contracts have only renewed one or two times, we do not have sufficient historical data to accurately predict future customer renewal rates. Our customers’ renewal rates may decline or fluctuate as a result of a number of factors, including their dissatisfaction with our service. If we are unable to renew a substantial portion of the contracts that are up for renewal or maintain our pricing, our revenues could be adversely affected, which would have a material adverse affect on our results of operations and financial position. Contracts for our survey and research services typically range from one to three years in length, and customers are not obligated to renew their contract with us after their contract expires. If our customers do not renew their arrangements for our services, or if their activity levels decline, our revenue may decline and our business will suffer.</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timing of our revenue recognition from sales activity is dependent upon achievement of certain events or performance milestones, and our inability to accurately predict them will impact our operating results.</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ability to recognize revenues is dependent upon several factors including the transfer of customer-specific information such as unique subscriber IDs, which are required for us to implement customers on our Internet-based learning platform. Accordingly, if customers do not provide us with the specified information in a timely manner, our ability to recognize revenues will be delayed, which could adversely impact our operating results. In addition, completion and acceptance by our customers of developed content and courseware must be achieved, survey responses must be received and tabulated, and utilization of courseware is required in connection with subscription Internet-based learning products for us to recognize revenues. As we noted above, while we have been successful in achieving growth in our subscription based revenues, our project-based revenues are likely to be subject to significant fluctuations.</w:t>
      </w:r>
    </w:p>
    <w:p>
      <w:pPr>
        <w:spacing w:after="0" w:line="5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recognize approximately 55% of our revenue from customers monthly over the terms of their subscription agreements, which have initial contract terms ranging from one to three years, although terms can range from less than one to up to five years. As a result, much of the revenue we report in each quarter is related to subscription agreements entered into during previous quarters. Consequently, a decline in new or renewed subscriptions in any one quarter will not necessarily be fully reflected in the revenue in that quarter and will negatively affect our revenue in future quarters. In addition, we may be unable to adjust our cost structure to reflect these reduced revenues. Accordingly, the effect of significant downturns in sales and market acceptance of our products and services may not be fully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spacing w:after="0" w:line="5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not be able to meet our strategic business objectives unless we obtain additional financing, which may not be available to us on favorable terms or at all.</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Our current cash reserves, revolving credit facility, and results of operations are expected to be sufficient to meet our cash requirements through at least 2009.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we may need to raise additional funds in order to:</w:t>
      </w:r>
    </w:p>
    <w:p>
      <w:pPr>
        <w:spacing w:after="0" w:line="103"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develop new, or enhance existing, services or products;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respond to competitive pressures;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finance working capital requirements; or</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acquire complementary businesses, technology, content or products.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At December 31, 2008, we had approximately $4.1 million in cash, cash equivalents, restricted cash, and related interest receivable. We also have up to $15.0 million of availability under a revolving credit facility, subject to certain covenants, which is up for renewal in July 2009. We expect to incur up to $3.5 million of capital expenditures, software feature enhancements and content purchases during 2009 to support our business. In September 2007 we authorized a stock repurchase plan, with approval to acquire up to $3.0 million of our common stock and we completed that stock repurchase plan during 2008. We continue to actively review possible business acquisitions that would complement our products and services. We may not have adequate cash and investments or availability under our revolving credit facility to consummate one or more acquisitions. The credit markets have been experiencing extreme volatility and disruption, and we cannot assure you that if we need additional financing that it will be available on terms favorable to us, or at all.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significant goodwill and identifiable intangible assets recorded on our balance sheet that may be subject to impairment losses that would reduce our reported assets and earnings.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December 31, 2008, our balance sheet included goodwill of $21.1 million and identifiable intangible assets of $4.7 million. Economic, financial, legal, regulatory, competitive, contractual, and other factors may affect the carrying value of goodwill and identifiable intangible assets in the future. If any of these factors impair the value of these assets, accounting rules require us to reduce their carrying value and report an impairment charge, which would reduce our reported assets and earnings in the period an impairment is recognized.</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likely to be volatile.</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market price of our common stock is likely to be volatile and could be subject to significant fluctuations in response to factors such as the following, many of which are beyond our control: quarterly variations in our operating results; operating results that vary from the expectations of securities analysts and investors; changes in expectations as to our future financial performance; changes in market valuations of other online service companies; future sales of our common stock; stock market price and volume fluctuations; general political and economic conditions, such as a recession or war or terrorist attacks or interest rate or currency rate fluctuations; and other risk factors described in this Annual Report on Form 10-K. Moreover, our stock is thinly traded, and we have a relatively small public float. These factors may adversely affect the market price of our common stock. In addition, the market prices for stocks of many Internet related and technology companies have historically experienced significant price fluctuations that in some cases appear to bear no relationship to the operating performance of these companies. A significant decline in our stock price could be an impairment indicator for goodwill and other long-lived assets, which could result in an impairment charge and reduction of our reported asset carrying values.</w:t>
      </w:r>
    </w:p>
    <w:p>
      <w:pPr>
        <w:spacing w:after="0" w:line="7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current uncertain economic environment may have a negative impact on our customers and our company which could have a significant impact on our revenue, operating results and financial condition.</w:t>
      </w:r>
    </w:p>
    <w:p>
      <w:pPr>
        <w:spacing w:after="0" w:line="6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It is difficult to predict the full magnitude and duration of the current uncertain economic environment and its related impact on our customers, suppliers and our company. For example, our customers may experience fluctuations or declines in their business which, in turn, could have an impact on us. The potential negative effects on the Company include, but are not limited to, reductions in our renewal and revenue growth rates, pressure to reduce our prices, shorter contract terms, and potential write-offs or delays in payments from customers which would increase our accounts receivable resulting in a deterioration of our cash flow and working capital position. We continue to monitor general economic conditions, however, and depending on the severity and/or duration of any economic downturn, these circumstances could have a material adverse effect on our revenue, results of operations and financial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Sales, Marketing and 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continue to refine our pricing for our products and services and cannot predict whether the ongoing changes will be accepted.</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Over the past few years we have implemented several changes and continue to make changes in our pricing and our product and service offerings to increase revenue and to meet the needs of our customers. We cannot predict whether our current pricing and products and services, or any ongoing refinements we make will be accepted by our existing customer base or by prospective customers. If our customers and potential customers decide not to accept our current or future pricing or product and service offerings, it could have a material adverse effect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successfully release and deploy the new version of our Insights Online reporting platform could harm our business.</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new version of our Insights Online reporting platform will be released during 2009. It is common for new releases of software or feature enhancements to contain defects or errors that are discovered during the period immediately following the release. Although we rigorously test and apply quality assurance processes to our products prior to their release, we cannot assure that all defects or errors are identified. If serious defects or errors are detected after the release of the new version of our Insights Online reporting system, we may experience incremental costs to correct such errors and experience delays in transitioning our customer base to the new version. This could also result in the potential loss of customers, lower revenues, and increased expenses, which could harm our business.</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4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provided our online products and services since 1999 and continue to develop our ability to provide our courseware and learning management systems on both a subscription and transactional basis over the Internet. Our future success will depend on our ability to effectively develop the infrastructure, including additional hardware and software, and implement the services, including customer support, necessary to meet the demand for our services. Our inability from time to time to successfully develop the necessary systems and implement the necessary services on a timely basis has resulted in our customers experiencing some delays or interruptions in their service. Such delays or interruptions may cause customers to become dissatisfied with our service and move to competing providers of traditional and online training and education services. If this happens, our revenues could be adversely affected, which would have a material adverse effect on our financial condition.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could be significantly disrupted if we lose members of, or fail to integrate, our management team.</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future performance is substantially dependent on the continued services of our management team and our ability to retain and motivate them. The loss of the services of any of our officers or senior managers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hire and retain a sufficient number of qualified employees and, as a result, we may not be able to grow as we expect or maintain the quality of our services.</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future success will depend on our ability to attract, train, motivate, and retain other highly skilled technical, managerial, marketing, customer support, and survey personnel. Competition for certain personnel is intense, especially for developers, web designers and sales personnel, and we may be unable to successfully attract sufficiently qualified personnel. We have experienced difficulty in the past hiring qualified personnel in a timely manner for these positions. The pool of qualified technical personnel, in particular, is limited in Nashville, Tennessee, where our headquarters are located. Our interviewing center is located in Laurel, Maryland, and we may experience difficulty in maintaining and recruiting qualified individuals to perform these services. We will also need to maintain the size of our staff to support our anticipated growth, without compromising the quality of our offerings or customer service. Our inability to locate, hire, integrate and retain qualified personnel in sufficient numbers may reduce the quality of our services.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must continue to upgrade our technology infrastructure, both hardware and software, to effectively meet demand for our services.</w:t>
      </w:r>
    </w:p>
    <w:p>
      <w:pPr>
        <w:spacing w:after="0" w:line="1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must continue to obtain reasonably priced, commercially available hardware and continue to enhance software to accommodate the increased use of our platform and increased courseware in our library. In order to make timely decisions about hardware and software enhancements, we must be able to accurately forecast the growth in demand for our services. This growth in demand for our services is difficult to forecast and the potential audience for our services is large. If we are unable to increase the data storage and processing capacity of our systems at least as fast as the growth in demand, our customers may encounter delays or disruptions in their service. Unscheduled downtime could harm our business and also could discourage current and potential customers and reduce future revenues.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network infrastructure and computer systems and software may fail.</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 unexpected event like a telecommunications failure, fire, earthquake, or other catastrophic loss at our Internet service providers’ facilities or at our on-site data facility could cause the loss of critical data and prevent us from offering our products and services. Our business interruption insurance may not adequately compensate us for losses that may occur. In addition, we rely on third parties to securely store our archived data, house our web server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users and lose revenues if our security measures fail.</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If the security measures that we use to protect personal information are ineffective, we may lose users of our services, which could reduce our revenues. We rely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In addition, our software, databases and servers may be vulnerable to computer viruses, physical or electronic attacks and similar disruptions. We may need to spend significant resources to protect against security breaches or to alleviate problems caused by any breaches. We cannot assure that we can prevent all security breaches.</w:t>
      </w:r>
    </w:p>
    <w:p>
      <w:pPr>
        <w:spacing w:after="0" w:line="189" w:lineRule="exact"/>
        <w:rPr>
          <w:sz w:val="20"/>
          <w:szCs w:val="20"/>
          <w:color w:val="auto"/>
        </w:rPr>
      </w:pPr>
    </w:p>
    <w:p>
      <w:pPr>
        <w:ind w:right="5560"/>
        <w:spacing w:after="0" w:line="425" w:lineRule="auto"/>
        <w:rPr>
          <w:sz w:val="20"/>
          <w:szCs w:val="20"/>
          <w:color w:val="auto"/>
        </w:rPr>
      </w:pPr>
      <w:r>
        <w:rPr>
          <w:rFonts w:ascii="Arial" w:cs="Arial" w:eastAsia="Arial" w:hAnsi="Arial"/>
          <w:sz w:val="16"/>
          <w:szCs w:val="16"/>
          <w:b w:val="1"/>
          <w:bCs w:val="1"/>
          <w:color w:val="auto"/>
        </w:rPr>
        <w:t xml:space="preserve">Risks Related to Government Regulation, Content and Intellectual Property </w:t>
      </w:r>
      <w:r>
        <w:rPr>
          <w:rFonts w:ascii="Arial" w:cs="Arial" w:eastAsia="Arial" w:hAnsi="Arial"/>
          <w:sz w:val="16"/>
          <w:szCs w:val="16"/>
          <w:b w:val="1"/>
          <w:bCs w:val="1"/>
          <w:i w:val="1"/>
          <w:iCs w:val="1"/>
          <w:color w:val="auto"/>
        </w:rPr>
        <w:t>Government regulation may require us to change the way we do business.</w:t>
      </w:r>
    </w:p>
    <w:p>
      <w:pPr>
        <w:spacing w:after="0" w:line="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laws and regulations that govern our business change rapidly. The United States government and the governments of states and foreign countries have attempted to regulate activities on the Internet. Evolving areas of law that are relevant to our business include privacy and security laws, proposed encryption laws, content regulation, information security accountability regulation, and sales and use tax laws and regulations. Because of this rapidly evolving and uncertain regulatory environment, we cannot predict how these laws and regulations might affect our business. These uncertainties make it difficult to ensure compliance with the laws and regulations governing the Internet. These laws and regulations could harm us by subjecting us to liability or forcing us to change how we do business. In addition, certain laws mandate that our customers contractually require us to protect the privacy and security of certain personal and health related information. If we fail to abide by these required contractual provisions, our customers may terminate their contracts with us. In addition, the ARRA recently expanded the application of certain of the HIPAA privacy and security regulations to apply directly to business associates including us. Violations of HIPAA privacy and security regulations may result in civil and criminal penalties. Further, the ARRA has increased these penalties and strengthened other enforcement provisions of HIPAA, which may result in increased enforcement activity. See “Business — Government Regulation of the Internet and the Healthcare Industry” for a more complete discussion of these laws and regulations.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maintain CMS certification to conduct HCAHPS surveys may adversely affect our business.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survey product offerings include providing HCAHPS survey services to assist customers in their compliance with CMS regulations. We are currently designated as a CMS certified vendor to offer HCAHPS survey data collection services. If we are unable to maintain this certification, we would not be able to offer our customers this survey instrument and our business may suffer.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Any reduction or change in the regulation of continuing education and training in the healthcare industry may adversely affect our business.</w:t>
      </w:r>
    </w:p>
    <w:p>
      <w:pPr>
        <w:spacing w:after="0" w:line="129"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ANCC, AST, and ACPE. The failure to maintain status as an accredited provider could have a detrimental effect on our business.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regulations and industry standards may reduce our business activity with pharmaceutical and medical device customers.</w:t>
      </w:r>
    </w:p>
    <w:p>
      <w:pPr>
        <w:spacing w:after="0" w:line="129"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In April 2003, the OIG of the Department of Health and Human Services (HHS) issued “OIG Compliance Program Guidance for Pharmaceutical Manufacturers.” In July 1999, the OIG issued “Compliance Program Guidance for the Durable Medical Equipment, Prosthetics, Orthotics and Supply Industry.” These guidelines collectively identify three areas of risks for pharmaceutical and medical device companies and recommend certain best practices to be included in a compliance plan designed to avoid the risk of federal healthcare program abuse. The guidance highlighted a number of arrangements that have the potential to trigger fraud and abuse violations, including educational grants. In April 2007, the U.S. Senate Finance Committee released a report critical of practices related to the funding of educational programs by pharmaceutical manufacturers. Congress is considering legislation that would require manufacturers of drugs, devices, and medical supplies to report to HHS anything of value, including educational programs, given by such manufacturers to physicians. This legislation would require that HHS make such information publicly available on the Internet.</w:t>
      </w:r>
    </w:p>
    <w:p>
      <w:pPr>
        <w:spacing w:after="0" w:line="5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follows the rules and guidelines provided by the ACCME, ANCC and other continuing education accrediting bodies to ensure that its continuing education programming is free from commercial bias and consistent with the OIG guidance. Recent changes in the codes of ethics of the pharmaceutical and medical device trade associations place further restrictions on interactions between pharmaceutical and medical device manufacturers and health care professionals. The majority of the Company’s accredited continuing education programming is funded by educational grants from our pharmaceutical and medical device customers. There is no assurance that our pharmaceutical and medical device customers will continue to provide educational grants consistent with past practices. In fact, we have experienced a reduction in live event activities we provide which are supported by pharmaceutical and medical device companies. To the extent that our customers continue to curtail or restructure their business practices, our business with this customer base may suffer.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to third parties for content that is available from our online library.</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may be liable to third parties for the content in our online library if the text, graphics, software or other content in our library violates copyright, trademark, or other intellectual property rights, our content partners violate their contractual obligations to others by providing content to our library, or the content does not conform to accepted standards of care in the healthcare profession. We attempt to minimize these types of liabilities by requiring representations and warranties relating to our content partners’ ownership of the rights to distribute as well as the accuracy of their content. We also take necessary measures to review this content ourselves. Although our agreements with our content partners contain provisions providing for indemnification by the content providers in the event of inaccurate content, our content partners may not have the financial resources to meet this obligation. Alleged liability could harm our business by damaging our reputation, requiring us to incur legal costs in defense, exposing us to awards of damages and costs, and diverting management’s attention away from our business. See “Business — Intellectual Property and Other Proprietary Rights” for a more complete discussion of the potential effects of this liability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of certain intellectual property may be difficult and costly.</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Despite protection of certain proprietary rights, a third-party could, without authorization, copy or otherwise misappropriate our content, information from our databases, or other intellectual property. Our agreements with employees, consultants and others who participate in development activities could be breached and result in our trade secrets becoming known or independently developed by competitors. We may not have adequate remedies for any breach. In addition, the laws of some foreign countries do not protect our proprietary rights to the same extent as the laws of the United States, and effective intellectual property protection may not be available in those jurisdictions. We currently own several trademarks and domain names. The current system for registering, allocating and managing domain names has been the subject of litigation and proposed regulatory reform. Additionally, legislative proposals have been made by the federal government that would afford broad protection to owners of databases of information, such as stock quotes. This protection of databases already exists in the European Union. There has been substantial litigation in the computer and online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time-consuming, result in costly litigation, divert management’s attention, cause product release delays, require us to redesign our products or require us to enter into royalty or licensing agreements, any of which could have a material adverse effect upon our business, financial condition and operating results. Such royalty and licensing agreements may not be available on terms acceptable to us, if at all.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protect our intellectual property, and we may be liable for infringing the intellectual property rights of others.</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business could be harmed if unauthorized parties infringe upon or misappropriate our intellectual property, proprietary systems, content, services or other information. Our efforts to protect our intellectual property through copyright, trademarks and other controls may not be adequate. In the future, litigation may be necessary to enforce our intellectual property rights or to determine the validity and scope of the patents, intellectual property or other proprietary rights of third parties, which could be time consuming and costly. Intellectual property infringement claims could be made against us, especially as the number of our competitors grows. These claims, even if not meritorious, could be expensive and divert our attention from operating our company. In addition, if we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Our principal office is located in Nashville, Tennessee. Our lease for approximately 32,000 square feet at this location expires in April 2010. The lease provides for a five-year renewal option with rates increasing during the renewal period. Rent at this location is currently approximately $23,000 per month.</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connection with the acquisition of TJO in March 2007, we are leasing approximately 19,000 square feet of office space in Laurel, Maryland. The lease expires in March 2012 and provides for two renewal options for two years each. Rent at this location is approximately $31,000 per month, with annual rental increases of approximately three percent.</w:t>
      </w:r>
    </w:p>
    <w:p>
      <w:pPr>
        <w:spacing w:after="0" w:line="7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are leasing approximately 8,000 square feet of office space in Franklin, Tennessee. Rent at this location is approximately $9,000 per month through August 2009 when the lease expires.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per share of our common stock as reported on the NASDAQ Global Market under the ticker symbol HSTM:</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Common Stock Price</w:t>
            </w:r>
          </w:p>
        </w:tc>
        <w:tc>
          <w:tcPr>
            <w:tcW w:w="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98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2007</w:t>
            </w:r>
          </w:p>
        </w:tc>
        <w:tc>
          <w:tcPr>
            <w:tcW w:w="980" w:type="dxa"/>
            <w:vAlign w:val="bottom"/>
            <w:tcBorders>
              <w:bottom w:val="single" w:sz="8" w:color="auto"/>
            </w:tcBorders>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96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Low</w:t>
            </w: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High</w:t>
            </w:r>
          </w:p>
        </w:tc>
        <w:tc>
          <w:tcPr>
            <w:tcW w:w="520" w:type="dxa"/>
            <w:vAlign w:val="bottom"/>
          </w:tcPr>
          <w:p>
            <w:pPr>
              <w:spacing w:after="0"/>
              <w:rPr>
                <w:sz w:val="12"/>
                <w:szCs w:val="12"/>
                <w:color w:val="auto"/>
              </w:rPr>
            </w:pPr>
          </w:p>
        </w:tc>
        <w:tc>
          <w:tcPr>
            <w:tcW w:w="98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Low</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$3.37</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$2.77</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$4.63</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$3.31</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Second Quarter</w:t>
            </w: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3.20</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2.57</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4.33</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3.39</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3.07</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2.33</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3.41</w:t>
            </w:r>
          </w:p>
        </w:tc>
        <w:tc>
          <w:tcPr>
            <w:tcW w:w="15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2.52</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Fourth Quarter</w:t>
            </w:r>
          </w:p>
        </w:tc>
        <w:tc>
          <w:tcPr>
            <w:tcW w:w="960" w:type="dxa"/>
            <w:vAlign w:val="bottom"/>
          </w:tcPr>
          <w:p>
            <w:pPr>
              <w:jc w:val="right"/>
              <w:ind w:right="234"/>
              <w:spacing w:after="0"/>
              <w:rPr>
                <w:sz w:val="20"/>
                <w:szCs w:val="20"/>
                <w:color w:val="auto"/>
              </w:rPr>
            </w:pPr>
            <w:r>
              <w:rPr>
                <w:rFonts w:ascii="Arial" w:cs="Arial" w:eastAsia="Arial" w:hAnsi="Arial"/>
                <w:sz w:val="18"/>
                <w:szCs w:val="18"/>
                <w:color w:val="auto"/>
              </w:rPr>
              <w:t>2.76</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2.01</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3.73</w:t>
            </w:r>
          </w:p>
        </w:tc>
        <w:tc>
          <w:tcPr>
            <w:tcW w:w="1500" w:type="dxa"/>
            <w:vAlign w:val="bottom"/>
            <w:gridSpan w:val="2"/>
          </w:tcPr>
          <w:p>
            <w:pPr>
              <w:jc w:val="right"/>
              <w:ind w:right="248"/>
              <w:spacing w:after="0"/>
              <w:rPr>
                <w:sz w:val="20"/>
                <w:szCs w:val="20"/>
                <w:color w:val="auto"/>
              </w:rPr>
            </w:pPr>
            <w:r>
              <w:rPr>
                <w:rFonts w:ascii="Arial" w:cs="Arial" w:eastAsia="Arial" w:hAnsi="Arial"/>
                <w:sz w:val="18"/>
                <w:szCs w:val="18"/>
                <w:color w:val="auto"/>
              </w:rPr>
              <w:t>2.83</w:t>
            </w:r>
          </w:p>
        </w:tc>
      </w:tr>
    </w:tbl>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On March 3, 2009, there were 2,530 registered holders and approximately 149 beneficial holders of our common stock. Because many of such shares are held by brokers and other institutions on behalf of shareholders, we are unable to estimate the total number of shareholders represented by these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have never declared or paid any cash dividends on our common stock, and we do not anticipate paying cash dividends in the foreseeable future. We intend to retain earnings to finance the expansion of our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below compares the cumulative total shareholder return on our common stock since December 31, 2003, with the cumulative total return of companies on the Nasdaq Composite Index and the Nasdaq Computer &amp; Data Processing Index over the same period (assuming the investment of $100 in our common stock, the Nasdaq Composite Index and the Nasdaq Computer &amp; Data Processing Index on December 31, 2003 (for our stock and the indices) and reinvestment of all dividends).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COMPARISON OF 5 YEAR CUMULATIVE TOTAL RETURN </w:t>
      </w:r>
      <w:r>
        <w:rPr>
          <w:rFonts w:ascii="Arial" w:cs="Arial" w:eastAsia="Arial" w:hAnsi="Arial"/>
          <w:sz w:val="15"/>
          <w:szCs w:val="15"/>
          <w:b w:val="1"/>
          <w:bCs w:val="1"/>
          <w:color w:val="auto"/>
        </w:rPr>
        <w:t>(1)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HealthStream,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NASDAQ Computer &amp; Data Processing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5986145" cy="36531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86145"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invested on 12/31/2003 in stock or index-including reinvestment of dividends. Fiscal year ending December 31.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sales of unregistered securities since December 31,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common stock purchases by the Company during the quarter ended December 31,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selected statements of income data for the three-year period ended December 31, 2008 and the balance sheet data as of December 31, 2008 and 2007 are derived from our consolidated financial statements that have been audited by Ernst &amp; Young LLP, our independent registered public accounting firm, which are included elsewhere in this report. You should read the following selected financial data in conjunction with our consolidated financial statements and the notes to those statements and “Management’s Discussion and Analysis of Financial Condition and Results of Operations” located elsewhere in this report.</w:t>
      </w:r>
    </w:p>
    <w:p>
      <w:pPr>
        <w:spacing w:after="0" w:line="4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HealthStream acquired TJO on March 12, 2007 and DMR on March 28, 2005. TJO’s results of operations are included within our consolidated statement of operations effective March 13, 2007. DMR’s results of operations are included within our consolidated statement of operations effective March 29, 2005. As a result of these acquisitions, the annual results presented below are not comparable. Revenues may be subject to fluctuations as discussed further in “Management’s Discussion and Analysis of Financial Condition and Results of Operations” located elsewhere in this report. During 2008, we recognized a portion of our deferred tax assets, resulting in an income tax benefit of approximately $375,000. During 2007 we recognized a portion of our deferred tax assets, resulting in an income tax benefit of approximately $2.0 million. During 2006, we adopted Statement of Financial Accounting Standards</w:t>
      </w:r>
    </w:p>
    <w:p>
      <w:pPr>
        <w:spacing w:after="0" w:line="5" w:lineRule="exact"/>
        <w:rPr>
          <w:sz w:val="20"/>
          <w:szCs w:val="20"/>
          <w:color w:val="auto"/>
        </w:rPr>
      </w:pPr>
    </w:p>
    <w:p>
      <w:pPr>
        <w:jc w:val="both"/>
        <w:ind w:right="300"/>
        <w:spacing w:after="0" w:line="255" w:lineRule="auto"/>
        <w:rPr>
          <w:sz w:val="20"/>
          <w:szCs w:val="20"/>
          <w:color w:val="auto"/>
        </w:rPr>
      </w:pPr>
      <w:r>
        <w:rPr>
          <w:rFonts w:ascii="Arial" w:cs="Arial" w:eastAsia="Arial" w:hAnsi="Arial"/>
          <w:sz w:val="18"/>
          <w:szCs w:val="18"/>
          <w:color w:val="auto"/>
        </w:rPr>
        <w:t>(SFAS) No. 123(R) “Share-Based Payment” which resulted in approximately $772,000, $742,000, and $682,000 of stock based compensation expense for 2008, 2007 and 2006, respectively. As a result of these factors, the annual results presented below are not comparable. The operating results for any single year are not necessarily indicative of the results to be expected in the future.</w:t>
      </w:r>
    </w:p>
    <w:p>
      <w:pPr>
        <w:sectPr>
          <w:pgSz w:w="11900" w:h="16838" w:orient="portrait"/>
          <w:cols w:equalWidth="0" w:num="1">
            <w:col w:w="11420"/>
          </w:cols>
          <w:pgMar w:left="240" w:top="419" w:right="2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4"/>
                <w:szCs w:val="14"/>
                <w:color w:val="auto"/>
              </w:rPr>
            </w:pPr>
          </w:p>
        </w:tc>
        <w:tc>
          <w:tcPr>
            <w:tcW w:w="190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4"/>
                <w:szCs w:val="14"/>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80"/>
              </w:rPr>
              <w:t>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2006</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2"/>
            <w:vMerge w:val="continue"/>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8"/>
              </w:rPr>
              <w:t>except per</w:t>
            </w: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share data)</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Revenues, net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51,600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43,949</w:t>
            </w:r>
          </w:p>
        </w:tc>
        <w:tc>
          <w:tcPr>
            <w:tcW w:w="1900" w:type="dxa"/>
            <w:vAlign w:val="bottom"/>
            <w:gridSpan w:val="4"/>
          </w:tcPr>
          <w:p>
            <w:pPr>
              <w:jc w:val="right"/>
              <w:ind w:right="588"/>
              <w:spacing w:after="0"/>
              <w:rPr>
                <w:sz w:val="20"/>
                <w:szCs w:val="20"/>
                <w:color w:val="auto"/>
              </w:rPr>
            </w:pPr>
            <w:r>
              <w:rPr>
                <w:rFonts w:ascii="Arial" w:cs="Arial" w:eastAsia="Arial" w:hAnsi="Arial"/>
                <w:sz w:val="18"/>
                <w:szCs w:val="18"/>
                <w:color w:val="auto"/>
              </w:rPr>
              <w:t>$ 31,783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27,359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w w:val="97"/>
              </w:rPr>
              <w:t>Cost of revenues (excluding depreciation and amortization)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19,653</w:t>
            </w:r>
          </w:p>
        </w:tc>
        <w:tc>
          <w:tcPr>
            <w:tcW w:w="14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16,162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10,869</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9,746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5,670</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4,308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3,503</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Sales, marketing, general and administrative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18,972</w:t>
            </w:r>
          </w:p>
        </w:tc>
        <w:tc>
          <w:tcPr>
            <w:tcW w:w="14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17,060</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12,613</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10,411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4,822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4,503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2,889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2,678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83"/>
              </w:rPr>
              <w:t>49,118</w:t>
            </w:r>
          </w:p>
        </w:tc>
        <w:tc>
          <w:tcPr>
            <w:tcW w:w="7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42,033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29,874</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25,763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21,348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2,482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1,916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rPr>
              <w:t>226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619</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2,554</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2,142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2,528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1,934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(1,945)</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4,087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1,913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 basic</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6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0.18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0.11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21,707</w:t>
            </w:r>
          </w:p>
        </w:tc>
        <w:tc>
          <w:tcPr>
            <w:tcW w:w="140" w:type="dxa"/>
            <w:vAlign w:val="bottom"/>
          </w:tcPr>
          <w:p>
            <w:pPr>
              <w:spacing w:after="0"/>
              <w:rPr>
                <w:sz w:val="20"/>
                <w:szCs w:val="20"/>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21,999</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21,577</w:t>
            </w:r>
          </w:p>
        </w:tc>
        <w:tc>
          <w:tcPr>
            <w:tcW w:w="16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21,051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of common stock outstanding —</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22,204</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4"/>
              </w:rPr>
              <w:t>22,701</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22,359</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21,942</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20,586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24"/>
                <w:szCs w:val="24"/>
                <w:color w:val="auto"/>
              </w:rPr>
            </w:pPr>
          </w:p>
        </w:tc>
        <w:tc>
          <w:tcPr>
            <w:tcW w:w="1900" w:type="dxa"/>
            <w:vAlign w:val="bottom"/>
            <w:gridSpan w:val="4"/>
          </w:tcPr>
          <w:p>
            <w:pPr>
              <w:jc w:val="center"/>
              <w:ind w:right="8"/>
              <w:spacing w:after="0"/>
              <w:rPr>
                <w:sz w:val="20"/>
                <w:szCs w:val="20"/>
                <w:color w:val="auto"/>
              </w:rPr>
            </w:pPr>
            <w:r>
              <w:rPr>
                <w:rFonts w:ascii="Arial" w:cs="Arial" w:eastAsia="Arial" w:hAnsi="Arial"/>
                <w:sz w:val="14"/>
                <w:szCs w:val="14"/>
                <w:b w:val="1"/>
                <w:bCs w:val="1"/>
                <w:color w:val="auto"/>
                <w:w w:val="92"/>
              </w:rPr>
              <w:t>At December 31,</w:t>
            </w:r>
          </w:p>
        </w:tc>
        <w:tc>
          <w:tcPr>
            <w:tcW w:w="160" w:type="dxa"/>
            <w:vAlign w:val="bottom"/>
          </w:tcPr>
          <w:p>
            <w:pPr>
              <w:spacing w:after="0"/>
              <w:rPr>
                <w:sz w:val="24"/>
                <w:szCs w:val="24"/>
                <w:color w:val="auto"/>
              </w:rPr>
            </w:pPr>
          </w:p>
        </w:tc>
        <w:tc>
          <w:tcPr>
            <w:tcW w:w="52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2006</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DATA:</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4,107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rPr>
              <w:t>3,599</w:t>
            </w:r>
          </w:p>
        </w:tc>
        <w:tc>
          <w:tcPr>
            <w:tcW w:w="1900" w:type="dxa"/>
            <w:vAlign w:val="bottom"/>
            <w:gridSpan w:val="4"/>
          </w:tcPr>
          <w:p>
            <w:pPr>
              <w:jc w:val="right"/>
              <w:ind w:right="588"/>
              <w:spacing w:after="0"/>
              <w:rPr>
                <w:sz w:val="20"/>
                <w:szCs w:val="20"/>
                <w:color w:val="auto"/>
              </w:rPr>
            </w:pPr>
            <w:r>
              <w:rPr>
                <w:rFonts w:ascii="Arial" w:cs="Arial" w:eastAsia="Arial" w:hAnsi="Arial"/>
                <w:sz w:val="18"/>
                <w:szCs w:val="18"/>
                <w:color w:val="auto"/>
              </w:rPr>
              <w:t>$ 10,726</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5,726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marketable securities — short and long term</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Goodwill and intangible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25,885</w:t>
            </w:r>
          </w:p>
        </w:tc>
        <w:tc>
          <w:tcPr>
            <w:tcW w:w="14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26,851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13,073</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13,582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1,148</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11,148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w w:val="90"/>
              </w:rPr>
              <w:t>52,797</w:t>
            </w:r>
          </w:p>
        </w:tc>
        <w:tc>
          <w:tcPr>
            <w:tcW w:w="14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w w:val="94"/>
              </w:rPr>
              <w:t>53,361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w w:val="94"/>
              </w:rPr>
              <w:t>41,008</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35,216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10,202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9,493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5,376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4,503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Long-term debt and capital leases, net of current portion</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660" w:type="dxa"/>
            <w:vAlign w:val="bottom"/>
            <w:gridSpan w:val="2"/>
          </w:tcPr>
          <w:p>
            <w:pPr>
              <w:jc w:val="right"/>
              <w:ind w:right="48"/>
              <w:spacing w:after="0"/>
              <w:rPr>
                <w:sz w:val="20"/>
                <w:szCs w:val="20"/>
                <w:color w:val="auto"/>
              </w:rPr>
            </w:pPr>
            <w:r>
              <w:rPr>
                <w:rFonts w:ascii="Arial" w:cs="Arial" w:eastAsia="Arial" w:hAnsi="Arial"/>
                <w:sz w:val="18"/>
                <w:szCs w:val="18"/>
                <w:color w:val="auto"/>
              </w:rPr>
              <w:t>1,064</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0"/>
              </w:rPr>
              <w:t>36,763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4"/>
              </w:rPr>
              <w:t>35,714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w w:val="94"/>
              </w:rPr>
              <w:t>29,634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25,800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21,730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those described under “Risk Factors” and elsewhere in this report.</w:t>
      </w:r>
    </w:p>
    <w:p>
      <w:pPr>
        <w:spacing w:after="0" w:line="4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discussion provides an overview of our history together with a summary of our critical accounting policies and estimates. Our critical accounting policies and estimates include revenue recognition, product development costs and related capitalization, impairment of goodwill, intangibles and other long-lived assets, allowance for doubtful accounts, accrual for service interruptions, stock based compensation, income taxes, and nonmonetary exchanges.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 authoring tools, courseware subscriptions, online training and content development, online sales training courses, live events, HospitalDirect® and other products focused on education and training to serve professionals that work within healthcare organizations. Effective with the acquisition of TJO in March 2007, we launched HealthStream Research</w:t>
      </w:r>
      <w:r>
        <w:rPr>
          <w:rFonts w:ascii="Arial" w:cs="Arial" w:eastAsia="Arial" w:hAnsi="Arial"/>
          <w:sz w:val="14"/>
          <w:szCs w:val="14"/>
          <w:color w:val="auto"/>
        </w:rPr>
        <w:t>TM</w:t>
      </w:r>
      <w:r>
        <w:rPr>
          <w:rFonts w:ascii="Arial" w:cs="Arial" w:eastAsia="Arial" w:hAnsi="Arial"/>
          <w:sz w:val="17"/>
          <w:szCs w:val="17"/>
          <w:color w:val="auto"/>
        </w:rPr>
        <w:t>. HealthStream Research reflects the combination of DMR and TJO, which collectively provide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physicians, patients, employees, and members of the community.</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Revenues for the year ended December 31, 2008 were approximately $51.6 million compared to $43.9 million for the year ended December 31, 2007, an increase of 17.4%. Operating income improved to $2.5 million compared to $1.9 million for 2007. Net income for</w:t>
      </w:r>
    </w:p>
    <w:p>
      <w:pPr>
        <w:sectPr>
          <w:pgSz w:w="11900" w:h="16838" w:orient="portrait"/>
          <w:cols w:equalWidth="0" w:num="1">
            <w:col w:w="11420"/>
          </w:cols>
          <w:pgMar w:left="240" w:top="41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2008 was $2.9 million compared to $4.1 million for 2007. Net income includes an income tax benefit of approximately $375,000 in 2008 and $2.0 million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2007 associated with the recognition of a portion of the Company’s deferred tax assets. Diluted earnings per share were $0.13 for 2008 compared to $0.18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2007. Revenues from HealthStream Learning grew by $5.4 million, and revenues from HealthStream Research grew by $2.3 million. We had approximately</w:t>
      </w:r>
    </w:p>
    <w:p>
      <w:pPr>
        <w:spacing w:after="0" w:line="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1,732,000 fully implemented subscribers on our Internet-based HLC platform at December 31, 2008, representing over 1,900 hospitals in the United States. During 2008, we renewed approximately 474,000 HLC subscribers, representing a 91% renewal rate for the subscribers up for renewal, and a 100% renewal rate based on the annual contract value up for renewal. As of December 31, 2008 our cash and investment balances approximated $4.1 million and we maintained full availability under our $15.0 million revolving credit facility.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recognize revenues from our Internet-based learning products and courseware subscriptions based on a per person subscription basis, and in some cases on a per license basis. Our fees are based on the size of the facilities’ or organizations’ employee user population and the service offerings to which they subscribe. Revenue is recognized ratably over the service period of the underlying contract.</w:t>
      </w:r>
    </w:p>
    <w:p>
      <w:pPr>
        <w:spacing w:after="0" w:line="7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Revenues from survey and research services are recognized when survey results are delivered to customers via either Internet-based reporting throughout the survey period or by providing final survey results once all services are complete. Revenues for survey and reporting services, which are provided through the use of Internet-based reporting methodologies, are recognized using the proportional performance method, consistent with SEC Staff Accounting Bulletin No. 104, “Revenue Recognition,” reflecting recognition throughout the service period which corresponds with the survey cycle and reporting access by the customer, which typically ranges from one to five months. Revenues for survey and reporting services, which include delivery of survey results to the customer when all services are completed, are recognized upon completion. All other revenues are recognized as the related services are performed or products are delivered to the customer. Revenues for these services can be subject to seasonal factors based on customers’ requirements that can impact the timing, frequency, and volume of survey cycles.</w:t>
      </w:r>
    </w:p>
    <w:p>
      <w:pPr>
        <w:spacing w:after="0" w:line="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Revenues from professional services include content maintenance, consulting, and implementation services. Fees are based on the time and efforts involved, and revenue is recognized upon completion of performance milestones using the proportional performance method.</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offer training services for clients to facilitate integration of our Internet-based products. Fees for training are based on the time and efforts of the personnel involved. Basic online training is generally included in the initial contract; however, incremental training is fee based and revenues are generally recognized upon completion of training services.</w:t>
      </w:r>
    </w:p>
    <w:p>
      <w:pPr>
        <w:spacing w:after="0" w:line="73"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We recognize revenue from live event development services using a proportional performance method based on completion of performance milestones. Revenues from content maintenance and development services are recognized using a percentage of completion method based on labor hours, which correspond to the completion of performance milestones and deliverables. Sales of products and services to pharmaceutical and medical device companies can be subject to seasonal factors as a result of meeting and conference dates for such companies.</w:t>
      </w:r>
    </w:p>
    <w:p>
      <w:pPr>
        <w:spacing w:after="0" w:line="6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Revenues associated with online training are recognized over the term of the subscription period or over the historical usage period, if usage typically differs from the subscription period. All other service revenues are recognized as the related services are performed or products are delivered.</w:t>
      </w:r>
    </w:p>
    <w:p>
      <w:pPr>
        <w:spacing w:after="0" w:line="3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expect to continue to generate revenues by marketing our Internet-based products and our survey and research services through healthcare organizations and to a lesser extent, through pharmaceutical and medical device companies. We expect that the portion of our revenues related to services provided via our Internet-based learning products will increase in absolute dollar amounts. The percentage of total revenues from our Internet-based subscription products has declined compared to historical periods, whereas revenues from our survey and research services are not Internet-based. Specifically, we will seek to generate revenues from healthcare workers by marketing to their employers or sponsoring organizations. The fees we charge for courseware resulting from this marketing is typically paid by either the employer or sponsoring organization.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accounts for income taxes using the liability method in accordance with SFAS No. 109, “Accounting for Income Taxes.” The Company has significant net operating loss carryforwards (NOLs) which may be available to reduce future tax expense. These NOLs are subject to annual limitations under the Internal Revenue Code Section 382, which could result in the expiration of certain portions of the Company’s NOLs before they are fully utilized. Prior to the 4</w:t>
      </w:r>
      <w:r>
        <w:rPr>
          <w:rFonts w:ascii="Arial" w:cs="Arial" w:eastAsia="Arial" w:hAnsi="Arial"/>
          <w:sz w:val="15"/>
          <w:szCs w:val="15"/>
          <w:color w:val="auto"/>
        </w:rPr>
        <w:t>th</w:t>
      </w:r>
      <w:r>
        <w:rPr>
          <w:rFonts w:ascii="Arial" w:cs="Arial" w:eastAsia="Arial" w:hAnsi="Arial"/>
          <w:sz w:val="18"/>
          <w:szCs w:val="18"/>
          <w:color w:val="auto"/>
        </w:rPr>
        <w:t xml:space="preserve"> quarter of 2007, the Company maintained a full valuation allowance against its deferred tax assets, and taxable income was offset through the use of net operating loss carryforwards. Management periodically assesses the realizability of its deferred tax assets. At December 31, 2007 management concluded that it is more likely than not that approximately $2.0 million would be realized. Further, at December 31, 2008 management concluded that it is more likely than not that approximately $2.4 million of the Company’s deferred tax assets will be realized in future periods. The Company continues to maintain a valuation allowance of approximately $12.1 million for the remaining portion of its deferred tax assets, which primarily consist of net operating loss carryforwards.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Costs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account for web site development costs in accordance with Emerging Issues Task Force (EITF) Issue No. 00-2 “Accounting for Web Site Development Costs” and for capitalized software feature enhancements in accordance with Statement of Position (SOP) 98-1 “Accounting for the Costs of Computer Software Developed or Obtained for Internal Use,” which provide guidance on when to capitalize versus expense costs incurred to develop internal use software or web sites. We capitalize costs incurred during the development phase for such projects when such costs are material. Maintenance and operating costs are expensed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Product development costs primarily include our costs to initially develop and maintain software feature enhancements and content for our Internet-based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learning products. Once planning is completed and development begins, we capitalize internal costs and payments to third parties associated with the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software feature enhancement development or content where the life expectancy is greater than one year and the anticipated cash flows from such software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feature enhancements or content are expected to exceed the cost of the related asset. During 2008 and 2007, we capitalized approximately $75,000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$300,000, respectively, related to development of content by third parties. Such amounts are included in the accompanying consolidated balance sheets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caption “prepaid development fees” and “other assets.” During 2008 and 2007, we capitalized approximately $1.0 million and $2.6 million, respectively,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development of software feature enhancements, primarily by third parties. Such amounts are included in the accompanying balance sheets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caption “capitalized software feature enhancements.” A significant portion of these capitalized costs were associated with the development of the new version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Internet-based HLC platform, a new competency assessment product, and a new reporting system for our survey and research platform. We amortize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content and software feature enhancements over their expected life, which is generally one to four years. Capitalized content and software feature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enhancements are subject to a periodic impairment review in accordance with our impairment review policy.</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product development, our significant estimates involve the assessment of the development period for new products, as well as the expected useful life of costs associated with new products, software feature enhancements and content. Once capitalized, software feature enhancements and content development costs are subject to the policies and estimates described below regarding goodwill, intangibles and other long-lived assets.</w:t>
      </w:r>
    </w:p>
    <w:p>
      <w:pPr>
        <w:spacing w:after="0" w:line="3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Product development costs also include our systems team, which manages our efforts associated with product development and maintenance, database management, quality assurance and security. This team is responsible for new internal product development, integration of external new products, and continued enhancements and regularly scheduled maintenance to our learning and research platform products. Personnel who are responsible for our overall product portfolio as well as prioritization of new product development are also included in product development costs.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intangibles and other long-lived assets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account for goodwill, intangibles and other long-lived assets in accordance with SFAS No. 142, “Goodwill and Intangible Assets,” and SFAS No. 144, “Accounting for the Impairment or Disposal of Long-Lived Assets.” We measure for impairment at the reporting unit level using a discounted cash flow model to determine the estimated fair value of the reporting units. Our discounted cash flow model contains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test whenever events or changes in facts or circumstances indicate that impairment may exist and also during the fourth quarter each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estimate the allowance for doubtful accounts using both a specific and non-specific identification method. Management’s evaluation includes reviewing past due accounts on a case-by case basis, and determining whether an account should be reserved, based on the facts and circumstances surrounding each potentially uncollectible account. An allowance is also maintained for accounts not specifically identified that may become uncollectible in the future. Uncollectible accounts are written-off in the period management believes it has exhausted every opportunity to collect payment from the customer. Bad debt expense is recorded when events or circumstances indicate an additional allowance is necessary based on our specific and non-specific identification approach.</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Due to the complexity of our hosted applications, variability in customer utilization patterns, changes in technology, and potential software defects, our hosted learning management applications could experience periodic downtime. In addition, we have specific contractual obligations that can result in penalties to us associated with system performance and other commitments. We maintain an accrual which is intended to provide for customer concessions due to customers experiencing inconveniences or operation disruption resulting from downtime or performance of our applications, or our failure to meet certain contractual obligations to customers. Our accrual for service credits totaled approximately $345,000 as of December 31, 2008.</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began recognizing compensation expense using a fair-value based method for costs related to share based payments including stock options on January 1, 2006. Measurement of such compensation expense requires significant estimation and assumptions; however we believe that the Black Scholes option pricing model we use for calculating the fair value of our stock based compensation plans provides a reasonable measurement methodology using a framework that is widely adopted.</w:t>
      </w:r>
    </w:p>
    <w:p>
      <w:pPr>
        <w:spacing w:after="0" w:line="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2008, we had a stock option plan and an employee stock purchase plan which qualified as stock based compensation plans. On February 9, 2009, the Company terminated the employee stock purchase plan and deregistered the unsold and unissued shares remaining in the plan. During the years ended December 31, 2008, 2007, and 2006, we recorded $771,560, $742,344 and $682,068 of stock based compensation expense, respectively. We typically grant stock options to our management group on an annual basis, or when new members of the management group begin their employment. We grant stock options to members of our board of directors in conjunction with our annual shareholders meeting, or as new members are added on a pro rata basis based on the time elapsed since our annual shareholders’ meeting. We expect to continue this practice for the foreseeable future; however, we may adjust the size of the annual grant. As of December 31, 2008, total future compensation cost related to non-vested awards not yet recognized was $1,192,503 net of estimated forfeitures, with a weighted average expense recognition period of 2.5 years. Future compensation expense recognition for new option grants will vary depending on the timing and size of new awards granted, changes in the market price or volatility of our common stock, changes in risk-free interest rates, or if actual forfeitures vary significantly from our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Nonmonetary Exchange of Content Rights and Deferred Service Credits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During 2007 and 2006, we recorded content rights and deferred service credits in connection with a nonmonetary exchange with one of our customers. In order to account for this transaction, we estimated the fair value of the related assets and service credits, assessed whether the value assigned to the content was recoverable, and amortized the related assets over their estimated useful lives. Our future operating results will be impacted by the customer’s utilization of the service credits. Revenues for services provided in exchange for service credits will be recognized in accordance with our revenue recognition policies.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The Jackson Organization, Research Consultants, Inc. </w:t>
      </w:r>
      <w:r>
        <w:rPr>
          <w:rFonts w:ascii="Arial" w:cs="Arial" w:eastAsia="Arial" w:hAnsi="Arial"/>
          <w:sz w:val="18"/>
          <w:szCs w:val="18"/>
          <w:color w:val="auto"/>
        </w:rPr>
        <w:t>On March 12, 2007, the Company acquired all of the issued and outstanding common stock of TJO for</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$12.6 million, consisting of approximately $11.5 million in cash and 252,616 shares of HealthStream common stock. The Company incurred approximately $690,000 of direct, incremental expenses associated with the acquisition of TJO. TJO provides healthcare organizations with quality and satisfaction surveys, data analyses of survey results, and other research-based measurement tools. This acquisition was accounted for using the purchase method of accounting. TJO’s results of operations have been included in the Company’s results in the HealthStream Research business unit from the date of the acquisition.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primarily consist of the following products and services: provision of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Internet-based HLC, authoring tools, a variety of courseware subscriptions (add-on courseware), implementation and consulting services, maintenance of third party content, content development, online sales training courses (RepDirect™), HospitalDirect®,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ectPr>
          <w:pgSz w:w="11900" w:h="16838" w:orient="portrait"/>
          <w:cols w:equalWidth="0" w:num="1">
            <w:col w:w="11400"/>
          </w:cols>
          <w:pgMar w:left="240" w:top="419" w:right="259"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During the past several years, we have hosted a national customer conference in Nashville known as “The Summit,” of which a significant portion of the costs are included in sales and marketing expenses. Personnel costs within sales and marketing include our Learning and Research sales teams, strategic account management, consultants, and marketing personnel, as well as our account management group.</w:t>
      </w:r>
    </w:p>
    <w:p>
      <w:pPr>
        <w:spacing w:after="0" w:line="8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Compared to 2007</w:t>
      </w:r>
    </w:p>
    <w:p>
      <w:pPr>
        <w:spacing w:after="0" w:line="12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$7.7 million, or 17.4%, to $51.6 million for 2008 from $43.9 million for 2007. Revenues for 2008 consisted of</w:t>
      </w:r>
      <w:r>
        <w:rPr>
          <w:rFonts w:ascii="Arial" w:cs="Arial" w:eastAsia="Arial" w:hAnsi="Arial"/>
          <w:sz w:val="16"/>
          <w:szCs w:val="16"/>
          <w:i w:val="1"/>
          <w:iCs w:val="1"/>
          <w:color w:val="auto"/>
        </w:rPr>
        <w:t xml:space="preserve"> </w:t>
      </w:r>
      <w:r>
        <w:rPr>
          <w:rFonts w:ascii="Arial" w:cs="Arial" w:eastAsia="Arial" w:hAnsi="Arial"/>
          <w:sz w:val="16"/>
          <w:szCs w:val="16"/>
          <w:color w:val="auto"/>
        </w:rPr>
        <w:t>$32.8 million, or 63.6% of total revenue, for HealthStream Learning and $18.8 million, or 36.4% of total revenue, for HealthStream Research. In 2007, revenues consisted of $27.5 million, or 62.5% of total revenue, for HealthStream Learning and $16.5 million, or 37.5% of total revenue, for HealthStream Research. HealthStream Research revenues include the results of TJO commencing with its acquisition on March 12, 2007.</w:t>
      </w:r>
    </w:p>
    <w:p>
      <w:pPr>
        <w:spacing w:after="0" w:line="4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Revenues for HealthStream Learning increased approximately $5.4 million, or 19.6%, during 2008. Of this increase, $6.4 million was derived from our Internet-based subscription learning products, which includes revenue increases from the HLC of $3.6 million and from courseware subscriptions and online training services of $2.8 million. Revenues from our Internet-based subscription products collectively increased 29% over the prior year and approximated $28.7 million for 2008. In addition, revenues associated with implementation, development, and consulting services increased $935,000 over the prior year. These increases in revenues were partially offset by a decline in revenues from live events, study guides, and association activities, which collectively declined $1.9 million compared to the prior year. Our Internet-based HLC subscriber base increased approximately 12% during 2008, from approximately 1,541,000 fully implemented subscribers at the end of 2007 to approximately 1,732,000 fully implemented subscribers at the end of 2008.</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for HealthStream Research increased $2.3 million, or 13.8%, during 2008, primarily resulting from the impact of the March 2007 acquisition of TJO. TJO revenues during 2007, prior to our acquisition and not included in our results for 2007, approximated $2.6 million. The change in revenues was also impacted by the non-renewal of a significant contract during 2008, which accounted for approximately 4% of HealthStream Research revenues during 2007. Revenues from our patient and community survey instruments, which have more recurring and predictable survey cycles, accounted for 70.9% of our Research revenues during 2008 up from 63.5% during 2007.</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increased approximately</w:t>
      </w:r>
    </w:p>
    <w:p>
      <w:pPr>
        <w:spacing w:after="0" w:line="3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$3.5 million, or 21.6%, to $19.7 million for 2008 from $16.2 million for 2007. Cost of revenues as a percentage of revenue approximated 38.1% and 36.8% of revenues for 2008 and 2007, respectively.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Cost of revenues for HealthStream Learning increased $1.3 million and approximated 32.3% and 33.8% of revenues for 2008 and 2007, respectively. This expense increase primarily resulted from increased royalties paid by us associated with an increase in courseware subscription revenues, as well as increased personnel and related expenses, but was partially offset by lower costs associated with live events, study guides and association projects.</w:t>
      </w:r>
    </w:p>
    <w:p>
      <w:pPr>
        <w:spacing w:after="0" w:line="3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Cost of revenues for HealthStream Research increased $2.2 million and approximated 48.2% and 41.8% of revenues for 2008 and 2007, respectively. The primary expense increase resulted from the full year impact of personnel expenses associated with the TJO acquisition. The expense increase as a percentage of revenues primarily resulted from the increase in patient and community surveys over the prior year, which have higher fulfillment costs. In addition, lower revenues from other survey products that have lower fulfillment costs contributed to this percentage increase over the prior year.</w:t>
      </w:r>
    </w:p>
    <w:p>
      <w:pPr>
        <w:spacing w:after="0" w:line="46" w:lineRule="exact"/>
        <w:rPr>
          <w:sz w:val="20"/>
          <w:szCs w:val="20"/>
          <w:color w:val="auto"/>
        </w:rPr>
      </w:pPr>
    </w:p>
    <w:p>
      <w:pPr>
        <w:jc w:val="both"/>
        <w:ind w:right="160"/>
        <w:spacing w:after="0" w:line="302" w:lineRule="auto"/>
        <w:rPr>
          <w:sz w:val="20"/>
          <w:szCs w:val="20"/>
          <w:color w:val="auto"/>
        </w:rPr>
      </w:pPr>
      <w:r>
        <w:rPr>
          <w:rFonts w:ascii="Arial" w:cs="Arial" w:eastAsia="Arial" w:hAnsi="Arial"/>
          <w:sz w:val="16"/>
          <w:szCs w:val="16"/>
          <w:i w:val="1"/>
          <w:iCs w:val="1"/>
          <w:color w:val="auto"/>
        </w:rPr>
        <w:t xml:space="preserve">Gross Margin (excluding depreciation and amortization). </w:t>
      </w:r>
      <w:r>
        <w:rPr>
          <w:rFonts w:ascii="Arial" w:cs="Arial" w:eastAsia="Arial" w:hAnsi="Arial"/>
          <w:sz w:val="16"/>
          <w:szCs w:val="16"/>
          <w:color w:val="auto"/>
        </w:rPr>
        <w:t>Gross margin (which we define as revenues less cost of revenues divided by revenues) was 61.9%</w:t>
      </w:r>
      <w:r>
        <w:rPr>
          <w:rFonts w:ascii="Arial" w:cs="Arial" w:eastAsia="Arial" w:hAnsi="Arial"/>
          <w:sz w:val="16"/>
          <w:szCs w:val="16"/>
          <w:i w:val="1"/>
          <w:iCs w:val="1"/>
          <w:color w:val="auto"/>
        </w:rPr>
        <w:t xml:space="preserve"> </w:t>
      </w:r>
      <w:r>
        <w:rPr>
          <w:rFonts w:ascii="Arial" w:cs="Arial" w:eastAsia="Arial" w:hAnsi="Arial"/>
          <w:sz w:val="16"/>
          <w:szCs w:val="16"/>
          <w:color w:val="auto"/>
        </w:rPr>
        <w:t>for 2008, down from 63.2% for 2007. Gross margins for HealthStream Learning were 67.7% and 66.2% for 2008 and 2007, respectively. This improvement resulted from the favorable change in revenue mix and related cost of revenues discussed above. Gross margins for HealthStream Research were 51.8% and 58.2% for 2008 and 2007, respectively. This decrease resulted from unfavorable changes in revenue mix and cost of revenues discussed above.</w:t>
      </w:r>
    </w:p>
    <w:p>
      <w:pPr>
        <w:spacing w:after="0" w:line="4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$1.4 million, or 31.6%, to $5.7 million for 2008 from $4.3 million for 2007.</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development expenses as a percentage of revenues was 11.0% and 9.8% of revenues for 2008 and 2007, respectively. Product development expenses for HealthStream Learning increased $966,000 and approximated 14.1% and 13.4% of revenues for 2008 and 2007, respectively. The increase in amount resulted from additional personnel and contract labor associated with maintenance and support of our learning platform products. Product development expenses for HealthStream Research increased $520,000 and approximated 5.5% and 3.1% of revenues for 2008 and 2007, respectively. This expense increase is primarily due to additional personnel to support our administrative platforms and a reassignment of personnel from general and administrative tasks to product development when compared to the prior year.</w:t>
      </w:r>
    </w:p>
    <w:p>
      <w:pPr>
        <w:spacing w:after="0" w:line="7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increased approximately $1.6 million, or 17.5%, to $10.8 million for 2008 from $9.2 million for 2007.</w:t>
      </w:r>
      <w:r>
        <w:rPr>
          <w:rFonts w:ascii="Arial" w:cs="Arial" w:eastAsia="Arial" w:hAnsi="Arial"/>
          <w:sz w:val="17"/>
          <w:szCs w:val="17"/>
          <w:i w:val="1"/>
          <w:iCs w:val="1"/>
          <w:color w:val="auto"/>
        </w:rPr>
        <w:t xml:space="preserve"> </w:t>
      </w:r>
      <w:r>
        <w:rPr>
          <w:rFonts w:ascii="Arial" w:cs="Arial" w:eastAsia="Arial" w:hAnsi="Arial"/>
          <w:sz w:val="17"/>
          <w:szCs w:val="17"/>
          <w:color w:val="auto"/>
        </w:rPr>
        <w:t>This increase is associated with additional personnel and related expenses resulting from the TJO acquisition, additional personnel for both HealthStream Learning and HealthStream Research sales teams, as well as increased marketing expenses, including our annual customer conference, The Summit. As a percentage of revenues, sales and marketing expenses were 21.0% of revenues for both 2008 and 2007.</w:t>
      </w:r>
    </w:p>
    <w:p>
      <w:pPr>
        <w:spacing w:after="0" w:line="63" w:lineRule="exact"/>
        <w:rPr>
          <w:sz w:val="20"/>
          <w:szCs w:val="20"/>
          <w:color w:val="auto"/>
        </w:rPr>
      </w:pPr>
    </w:p>
    <w:p>
      <w:pPr>
        <w:ind w:right="420"/>
        <w:spacing w:after="0" w:line="302" w:lineRule="auto"/>
        <w:rPr>
          <w:sz w:val="20"/>
          <w:szCs w:val="20"/>
          <w:color w:val="auto"/>
        </w:rPr>
      </w:pPr>
      <w:r>
        <w:rPr>
          <w:rFonts w:ascii="Arial" w:cs="Arial" w:eastAsia="Arial" w:hAnsi="Arial"/>
          <w:sz w:val="16"/>
          <w:szCs w:val="16"/>
          <w:color w:val="auto"/>
        </w:rPr>
        <w:t>Sales and marketing expenses for HealthStream Learning increased $725,000 and approximated 21.6% and 23.2% of revenues for 2008 and 2007, respectively, and was primarily associated with additional sales personnel and related expenses and increased marketing expenses. Sales and marketing expenses for HealthStream Research increased $787,000 and approximated 18.8% and 16.6% of revenues for 2008 and 2007, respectively. This expense increase was associated with the TJO acquisition, new sales personnel and related expenses, and was partially offset by lower marketing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General and Administrative. </w:t>
      </w:r>
      <w:r>
        <w:rPr>
          <w:rFonts w:ascii="Arial" w:cs="Arial" w:eastAsia="Arial" w:hAnsi="Arial"/>
          <w:sz w:val="17"/>
          <w:szCs w:val="17"/>
          <w:color w:val="auto"/>
        </w:rPr>
        <w:t>Other general and administrative expense increased approximately $304,000, or 3.9%, to $8.2 million for 2008 from</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$7.9 million for 2007. This increase is primarily due to the full year impact of the TJO acquisition, including facilities and other operating costs. Other general and administrative expense as a percentage of revenues was 15.8% and 17.9% for 2008 and 2007, respectively.</w:t>
      </w:r>
    </w:p>
    <w:p>
      <w:pPr>
        <w:spacing w:after="0" w:line="7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Other general and administrative expense for HealthStream Learning increased $522,000, primarily due to increased personnel expenses, travel, and other related expenses to manage the business unit. Other general and administrative expense for HealthStream Research decreased $475,000, primarily due to the consolidation of human resources and accounting personnel into our corporate functions, in addition to the redesignation of certain personnel to product development. These expense decreases were somewhat offset by facility costs and other expenses associated with the full year impact of the TJO acquisition. The unallocated corporate portion of other general and administrative expense increased $257,000, primarily associated with additional personnel, increases in professional fees, recruiting, and other expenses.</w:t>
      </w:r>
    </w:p>
    <w:p>
      <w:pPr>
        <w:spacing w:after="0" w:line="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$319,000, or 7.1%, to $4.8 million for 2008 from $4.5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2007. Depreciation, which is included in the unallocated corporate function, increased $157,000 over the prior year resulting from new capital expenditures. Amortization increased $162,000 resulting from capitalized software feature enhancements and TJO intangible asset amortization. Amortization for HealthStream Learning increased $87,000, or 5.3%, and approximated 5.2% and 5.9% of revenues for 2008 and 2007, respectively. The increase in amount is primarily associated with amortization of capitalized software feature enhancements associated with the HLC platform and other content assets. Amortization for HealthStream Research increased $76,000, or 8.2%, and approximated 5.3% and 5.6% of revenues for 2008 and 2007, respectively. The increase in amount resulted from the amortization of TJO intangible assets.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net decreased approximately $154,000, or 68.1%, to $72,000 for 2008 from $226,000 for 2007. Interest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$147,000 resulting from lower invested balances and lower yield rates during 2008. Interest expense increased $7,000 over the prior year associated with our promissory note.</w:t>
      </w:r>
    </w:p>
    <w:p>
      <w:pPr>
        <w:spacing w:after="0" w:line="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Income Tax (Benefit) Provision. </w:t>
      </w:r>
      <w:r>
        <w:rPr>
          <w:rFonts w:ascii="Arial" w:cs="Arial" w:eastAsia="Arial" w:hAnsi="Arial"/>
          <w:sz w:val="16"/>
          <w:szCs w:val="16"/>
          <w:color w:val="auto"/>
        </w:rPr>
        <w:t>The Company recognized an income tax benefit of approximately $375,000 and $2.0 million during 2008 and 2007,</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which was based on management’s conclusion that a portion of the Company’s deferred tax assets would be realized. During 2008, the $375,000 income tax benefit was partially offset by $74,000 of income tax expense. During 2007, the $2.0 million income tax benefit was partially offset by income tax expense of $42,000. Taxable income for both 2008 and 2007 was substantially offset by the Company’s net operating loss carryforwards.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was approximately $2.9 million, or $0.13 per diluted share, for the year ended December 31, 2008 compared to $4.1 million, or</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$0.18 per diluted share, for the year ended December 31, 2007. This decrease is primarily the result of the $2.0 million income tax benefit recognized during 2007, offset by the changes in income from operations described above.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Compared to 2006</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increased approximately $12.2 million, or 38.3%, to $43.9 million for 2007 from $31.8 million for 2006. Revenues for 2007 consisted of</w:t>
      </w:r>
      <w:r>
        <w:rPr>
          <w:rFonts w:ascii="Arial" w:cs="Arial" w:eastAsia="Arial" w:hAnsi="Arial"/>
          <w:sz w:val="17"/>
          <w:szCs w:val="17"/>
          <w:i w:val="1"/>
          <w:iCs w:val="1"/>
          <w:color w:val="auto"/>
        </w:rPr>
        <w:t xml:space="preserve"> </w:t>
      </w:r>
      <w:r>
        <w:rPr>
          <w:rFonts w:ascii="Arial" w:cs="Arial" w:eastAsia="Arial" w:hAnsi="Arial"/>
          <w:sz w:val="17"/>
          <w:szCs w:val="17"/>
          <w:color w:val="auto"/>
        </w:rPr>
        <w:t>$27.5 million, or 62.5% of total revenue, for HealthStream Learning and $16.5 million, or 37.5% of total revenue, for HealthStream Research. In 2006, revenues consisted of $25.1 million, or 78.9% of total revenue, for HealthStream Learning and $6.7 million, or 21.1% of total revenue, for HealthStream Research. HealthStream Research revenues include the results of TJO commencing with its acquisition on March 12, 2007.</w:t>
      </w:r>
    </w:p>
    <w:p>
      <w:pPr>
        <w:spacing w:after="0" w:line="63"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Revenues for HealthStream Learning increased approximately $2.4 million, or 9.5%, during 2007. Of this increase, $3.2 million was derived from our Internet-based subscription learning products, which included revenue increases from the HLC of $1.8 million and courseware subscriptions of $1.3 million. Revenues from these products increased 17% over the prior year and approximated $21.9 million for 2007. In addition, revenues associated with implementation, development, and consulting services increased $917,000 over the prior year. These increases in revenues were partially offset by a decline in revenues from live events, study guides, and association activities, which collectively declined $1.5 million compared to the prior year. Our Internet-based HLC subscriber base increased approximately 14% during 2007, from approximately 1,352,000 fully implemented subscribers at the end of 2006 to approximately 1,541,000 fully implemented subscribers at the end of 2007.</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Revenues from HealthStream Research increased approximately $9.8 million, or 145.6%, during 2007, of which $9.7 million resulted from the March 12, 2007 acquisition of TJO. Organic research revenues for 2007 were flat compared to the prior year due to certain customers postponing their survey cycles. Revenues from our patient and community survey instruments accounted for 63.5% of our Research revenues during 2007 compared to 45.9% during 2006. A significant portion of this increase in revenue mix resulted from the TJO acquisition.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increased approximately</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$5.3 million, or 48.7%, to $16.2 million for 2007 from $10.9 million for 2006. Cost of revenues as a percentage of revenues increased to 36.8% of revenues for 2007 from 34.2% of revenues for 2006.</w:t>
      </w:r>
    </w:p>
    <w:p>
      <w:pPr>
        <w:spacing w:after="0" w:line="7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Cost of revenues for HealthStream Learning increased approximately $293,000, or 3.3%, and approximated 33.8% and 35.8% of revenues for 2007 and 2006, respectively. This expense increase is primarily related to increased royalties paid by us associated with increases in courseware and training subscriptions as well as approximately $350,000 of incremental costs to support our customers in connection with their transition to our new HLC platform, and was partially offset by lower direct costs resulting from fewer live events when compared to the prior year.</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revenues for HealthStream Research increased approximately $5.0 million, or 264.5%, and approximated 41.8% and 28.1% of revenues for 2007 and 2006, respectively. This expense increase for HealthStream Research resulted primarily from incremental personnel to support the survey delivery process, including our interviewing center staff, as well as increased costs associated with outsourced phone interview services. The expense increase as a percentage of revenues was primarily due to changes in revenue mix.</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i w:val="1"/>
          <w:iCs w:val="1"/>
          <w:color w:val="auto"/>
        </w:rPr>
        <w:t xml:space="preserve">Gross Margin (excluding depreciation and amortization). </w:t>
      </w:r>
      <w:r>
        <w:rPr>
          <w:rFonts w:ascii="Arial" w:cs="Arial" w:eastAsia="Arial" w:hAnsi="Arial"/>
          <w:sz w:val="17"/>
          <w:szCs w:val="17"/>
          <w:color w:val="auto"/>
        </w:rPr>
        <w:t>Gross margin (which we define as revenues less cost of revenues divided by revenues) declined to</w:t>
      </w:r>
      <w:r>
        <w:rPr>
          <w:rFonts w:ascii="Arial" w:cs="Arial" w:eastAsia="Arial" w:hAnsi="Arial"/>
          <w:sz w:val="17"/>
          <w:szCs w:val="17"/>
          <w:i w:val="1"/>
          <w:iCs w:val="1"/>
          <w:color w:val="auto"/>
        </w:rPr>
        <w:t xml:space="preserve"> </w:t>
      </w:r>
      <w:r>
        <w:rPr>
          <w:rFonts w:ascii="Arial" w:cs="Arial" w:eastAsia="Arial" w:hAnsi="Arial"/>
          <w:sz w:val="17"/>
          <w:szCs w:val="17"/>
          <w:color w:val="auto"/>
        </w:rPr>
        <w:t>63.2% for 2007 from 65.8% for 2006. This decrease resulted from the change in revenue mix discussed above, and was primarily associated with the growth in revenues and direct costs from our research products. Gross margins for HealthStream Learning were 66.2% and 64.2% for 2007 and 2006, respectively. Gross margins for HealthStream Research were 58.2% and 71.9% for 2007 and 2006, respectively.</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$805,000, or 23.0%, to $4.3 million for 2007 from $3.5 million for 2006.</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development as a percentage of revenues decreased to 9.8% for 2007 from 11.0% for 2006. Product development expenses for HealthStream Learning increased approximately $680,000, and approximated 13.4% and 11.9% of revenues for 2007 and 2006, respectively. Approximately $600,000 of the expense increase resulted from additional costs to support our customer’s transition to the new version of our HLC platform during the year. Product development expenses for HealthStream Research increased approximately $146,000 due to additional personnel and approximated 3.1% and 5.5% of revenues for 2007 and 2006, respectively.</w:t>
      </w:r>
    </w:p>
    <w:p>
      <w:pPr>
        <w:spacing w:after="0" w:line="85"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including personnel costs, increased approximately $2.2 million, or 31.2%, to $9.2 million for 2007 from</w:t>
      </w:r>
      <w:r>
        <w:rPr>
          <w:rFonts w:ascii="Arial" w:cs="Arial" w:eastAsia="Arial" w:hAnsi="Arial"/>
          <w:sz w:val="16"/>
          <w:szCs w:val="16"/>
          <w:i w:val="1"/>
          <w:iCs w:val="1"/>
          <w:color w:val="auto"/>
        </w:rPr>
        <w:t xml:space="preserve"> </w:t>
      </w:r>
      <w:r>
        <w:rPr>
          <w:rFonts w:ascii="Arial" w:cs="Arial" w:eastAsia="Arial" w:hAnsi="Arial"/>
          <w:sz w:val="16"/>
          <w:szCs w:val="16"/>
          <w:color w:val="auto"/>
        </w:rPr>
        <w:t>$7.0 million for 2006. This increase was primarily associated with incremental personnel and related expenses resulting from the TJO acquisition, as well as incremental HealthStream Learning personnel and increased sales commissions. These expense increases were partially offset by lower marketing spending. Sales and marketing expenses approximated 21.0% and 22.1% of revenues for the years ended December 31, 2007 and 2006, respectively.</w:t>
      </w:r>
    </w:p>
    <w:p>
      <w:pPr>
        <w:spacing w:after="0" w:line="46"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Sales and marketing expenses for HealthStream Learning increased $414,000 and approximated 23.2% and 23.7% of revenues for 2007 and 2006, respectively. The increase in expenses is associated with additional sales personnel and commissions, and was partially offset by lower marketing expenses, including those related to our annual customer conference, The Summit. The expense decrease as a percentage of revenues was due to the increase in revenues. Sales and marketing expenses for HealthStream Research increased $1.9 million and approximated 16.6% and 13.2% of revenues for 2007 and 2006, respectively. This increase was primarily associated with the TJO acquisition.</w:t>
      </w:r>
    </w:p>
    <w:p>
      <w:pPr>
        <w:spacing w:after="0" w:line="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 increased approximately $2.3 million, or 40.3%, to $7.8 million for 2007 from</w:t>
      </w:r>
      <w:r>
        <w:rPr>
          <w:rFonts w:ascii="Arial" w:cs="Arial" w:eastAsia="Arial" w:hAnsi="Arial"/>
          <w:sz w:val="18"/>
          <w:szCs w:val="18"/>
          <w:i w:val="1"/>
          <w:iCs w:val="1"/>
          <w:color w:val="auto"/>
        </w:rPr>
        <w:t xml:space="preserve"> </w:t>
      </w:r>
      <w:r>
        <w:rPr>
          <w:rFonts w:ascii="Arial" w:cs="Arial" w:eastAsia="Arial" w:hAnsi="Arial"/>
          <w:sz w:val="18"/>
          <w:szCs w:val="18"/>
          <w:color w:val="auto"/>
        </w:rPr>
        <w:t>$5.6 million for 2006. This increase is primarily due to the TJO acquisition, including personnel, facilities, and other operating costs. Other general and administrative expense as a percentage of revenues was 17.9% and 17.6% for 2007 and 2006, respectively.</w:t>
      </w:r>
    </w:p>
    <w:p>
      <w:pPr>
        <w:spacing w:after="0" w:line="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Other general and administrative expense for HealthStream Learning decreased $132,000, primarily due to lower personnel costs. Other general and administrative expense for HealthStream Research increased $1.7 million, primarily from the TJO acquisition and additions of other personnel. The unallocated corporate portion of other general and administrative expense increased $655,000, primarily associated with increased investments in products and services to support the growth of our business.</w:t>
      </w:r>
    </w:p>
    <w:p>
      <w:pPr>
        <w:spacing w:after="0" w:line="79"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$1.6 million, or 55.9%, to $4.5 million for 2007 from $2.9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2006. Depreciation, which is included in the unallocated corporate function, increased $542,000 resulting from new capital expenditures and assets acquired from TJO during the current year. The amortization increase of $1.1 million resulted from TJO intangible asset amortization and amortization of capitalized software feature enhancements associated with the new HLC platform and other content assets. Amortization for HealthStream Learning increased $654,000, or 67.1%, and approximated 5.9% and 3.9% of revenues for the years ended December 31, 2007 and 2006, respectively. This increase was primarily associated with amortization of capitalized software feature enhancements associated with the new HLC platform and other content assets. Amortization for HealthStream Research increased $418,000, or 82.2%, and approximated 5.6% and 7.6% of revenues for 2007 and 2006, respectively. The expense increase was associated with the TJO acquisition, while the decrease as a percentage of revenues was due to the increase in revenues.</w:t>
      </w:r>
    </w:p>
    <w:p>
      <w:pPr>
        <w:spacing w:after="0" w:line="5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income (expense) decreased approximately $392,000, or 63.4%, to $226,000 for 2007 from $619,000 for 2006.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income from cash and investments in marketable securities decreased $371,000 resulting from lower cash and investments balances during 2007. Interest expense increased $22,000 over the prior year associated with a promissory note and our revolving credit facility.</w:t>
      </w:r>
    </w:p>
    <w:p>
      <w:pPr>
        <w:spacing w:after="0" w:line="5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Income Tax (Benefit) Provision. </w:t>
      </w:r>
      <w:r>
        <w:rPr>
          <w:rFonts w:ascii="Arial" w:cs="Arial" w:eastAsia="Arial" w:hAnsi="Arial"/>
          <w:sz w:val="17"/>
          <w:szCs w:val="17"/>
          <w:color w:val="auto"/>
        </w:rPr>
        <w:t>The Company recognized an income tax benefit of approximately $2.0 million during 2007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conclusion that a portion of the Company’s deferred tax assets would be realized. This income tax benefit was partially offset by $42,000 of income tax expense associated with the alternative minimum tax. During 2006, the Company recognized income tax expense of $28,000 associated with the alternative minimum tax. Taxable income for both 2007 and 2006 was substantially offset by the Company’s net operating loss carryforwards.</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$4.1 million, or $0.18 per diluted share, for the year ended December 31, 2007 up from $2.5 million, or $0.11 per</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share, for the year ended December 31, 2006. This improvement is the result of the $2.0 million income tax benefit and increased gross profits, but was somewhat offset by other expense increases mentioned above.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2009</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provides projections and other forward-looking information in the “Financial Outlook for 2009” section within MD&amp;A. This section contains many forward-looking statements, particularly relating to the Company’s future financial performance. These forward-looking statements are estimates based on information currently available to the Company, are made pursuant to the safe harbor provisions of the Private Securities Litigation Reform Act of 1995 and are subject to the precautionary statements set forth in the introduction Part I of this Annual Report on Form 10-K above. Actual results are likely to differ, and in the past have differed, materially from those forecast by the Company, depending on the outcome of various factors, including, but not limited to, those set forth in Item 1A, Risk Factors.</w:t>
      </w:r>
    </w:p>
    <w:p>
      <w:pPr>
        <w:spacing w:after="0" w:line="8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expects that consolidated revenues for the full year 2009 will grow by 13 percent to 15 percent. We anticipate revenue growth in the Learning segment to be in the 16 percent to 18 percent range and the Research unit’s revenue to increase by approximately 7 percent to 9 percent.</w:t>
      </w:r>
    </w:p>
    <w:p>
      <w:pPr>
        <w:spacing w:after="0" w:line="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expect our consolidated gross margin for 2009 to be similar to our full year 2008 results. We also anticipate that operating expenses, including product development, sales and marketing, depreciation and amortization and other general and administrative expense will grow in the range between 11 percent and 13 percent when compared to the Company’s full year 2008 levels for these categories.</w:t>
      </w:r>
    </w:p>
    <w:p>
      <w:pPr>
        <w:spacing w:after="0" w:line="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anticipate that operating income will increase 20 percent to 60 percent for the full year of 2009 versus our 2008 results. Net income, before the impact of any potential future realized income tax benefit resulting from reduction of our income tax valuation allowance in 2009 is expected to grow by 20 percent to 60 percent over 2008 net income before our $375,000 income tax benefit.</w:t>
      </w:r>
    </w:p>
    <w:p>
      <w:pPr>
        <w:spacing w:after="0" w:line="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anticipate that fully diluted earnings per share for 2009, based on the net income described in the previous paragraph, will range between $0.14 and $0.18 per share. We expect our 2009 effective tax rate to be minimal and substantially less than the statutory rates, resulting from expected utilization of our net operating loss carryforwards to offset current taxable income, and the related reduction in our valuation allowance. The effective tax rate for 2009 excludes any potential future reversals of valuation allowance resulting in income tax benefits, as occurred during 2007 and 2008.</w:t>
      </w:r>
    </w:p>
    <w:p>
      <w:pPr>
        <w:spacing w:after="0" w:line="6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expect that capital expenditures, including hardware, software and capitalized software development for new features, enhancements and content development for 2009 will range between approximately $3.0 to $3.5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OPERATING RESULTS</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tables set forth selected statements of income data for the eight quarters ended December 31, 2008 both in absolute dollars and as a percentage of total revenues. The information for each quarter has been prepared on substantially the same basis as the audited statements included in other parts of this report and, in our opinion, includes all adjustments, consisting of only normal recurring adjustments, necessary for a fair presentation of the results of operations for these periods. You should read this information in conjunction with HealthStream’s Consolidated Financial Statements and related notes thereto included elsewhere in this report. The operating results for any quarter are not necessarily indicative of the results to be expected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Quarterly Operating Results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Revenues from our subscription products are recognized ratably over the subscription term. Revenues from sales of products and services to pharmaceutical and medical device companies can be subject to seasonal factors resulting from the timing of conferences and live events. Survey and research revenues are impacted by seasonal factors resulting from the volume, timing, and frequency of survey cycles. The results of operations for TJO have been included in the Company’s statements of income, effective March 13, 2007. During the fourth quarter of 2008, we recognized a portion of our deferred tax assets, resulting in an income tax benefit of approximately $375,000. During the fourth quarter of 2007 we recognized a portion of our deferred tax assets, resulting in an income tax benefit of approximately $2.0 million. In addition, our expense for compensated absences may fluctuate from quarter to quarter, depending on vesting and utilization by our employees.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1200"/>
              <w:spacing w:after="0"/>
              <w:rPr>
                <w:sz w:val="20"/>
                <w:szCs w:val="20"/>
                <w:color w:val="auto"/>
              </w:rPr>
            </w:pPr>
            <w:r>
              <w:rPr>
                <w:rFonts w:ascii="Arial" w:cs="Arial" w:eastAsia="Arial" w:hAnsi="Arial"/>
                <w:sz w:val="14"/>
                <w:szCs w:val="14"/>
                <w:b w:val="1"/>
                <w:bCs w:val="1"/>
                <w:color w:val="auto"/>
                <w:w w:val="94"/>
              </w:rPr>
              <w:t>Quarter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March 31,</w:t>
            </w:r>
          </w:p>
        </w:tc>
        <w:tc>
          <w:tcPr>
            <w:tcW w:w="640" w:type="dxa"/>
            <w:vAlign w:val="bottom"/>
          </w:tcPr>
          <w:p>
            <w:pPr>
              <w:spacing w:after="0"/>
              <w:rPr>
                <w:sz w:val="10"/>
                <w:szCs w:val="10"/>
                <w:color w:val="auto"/>
              </w:rPr>
            </w:pPr>
          </w:p>
        </w:tc>
        <w:tc>
          <w:tcPr>
            <w:tcW w:w="700" w:type="dxa"/>
            <w:vAlign w:val="bottom"/>
            <w:gridSpan w:val="3"/>
          </w:tcPr>
          <w:p>
            <w:pPr>
              <w:jc w:val="right"/>
              <w:ind w:right="100"/>
              <w:spacing w:after="0" w:line="119" w:lineRule="exact"/>
              <w:rPr>
                <w:sz w:val="20"/>
                <w:szCs w:val="20"/>
                <w:color w:val="auto"/>
              </w:rPr>
            </w:pPr>
            <w:r>
              <w:rPr>
                <w:rFonts w:ascii="Arial" w:cs="Arial" w:eastAsia="Arial" w:hAnsi="Arial"/>
                <w:sz w:val="13"/>
                <w:szCs w:val="13"/>
                <w:b w:val="1"/>
                <w:bCs w:val="1"/>
                <w:color w:val="auto"/>
              </w:rPr>
              <w:t>June 30,</w:t>
            </w:r>
          </w:p>
        </w:tc>
        <w:tc>
          <w:tcPr>
            <w:tcW w:w="64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00" w:type="dxa"/>
            <w:vAlign w:val="bottom"/>
            <w:gridSpan w:val="7"/>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Revenues, net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11,422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13,013</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13,662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13,503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4,258</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4,863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5,153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1,284</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2,552</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2,694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3,122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w:t>
            </w:r>
          </w:p>
        </w:tc>
        <w:tc>
          <w:tcPr>
            <w:tcW w:w="0" w:type="dxa"/>
            <w:vAlign w:val="bottom"/>
          </w:tcPr>
          <w:p>
            <w:pPr>
              <w:spacing w:after="0"/>
              <w:rPr>
                <w:sz w:val="1"/>
                <w:szCs w:val="1"/>
                <w:color w:val="auto"/>
              </w:rPr>
            </w:pPr>
          </w:p>
        </w:tc>
      </w:tr>
      <w:tr>
        <w:trPr>
          <w:trHeight w:val="223"/>
        </w:trPr>
        <w:tc>
          <w:tcPr>
            <w:tcW w:w="54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11,377</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12,289</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13,071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12,381</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724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5"/>
                <w:szCs w:val="15"/>
                <w:color w:val="auto"/>
              </w:rPr>
              <w:t>(1)</w:t>
            </w: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Basic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c>
          <w:tcPr>
            <w:tcW w:w="8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0.03</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22,087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21,961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21,407</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22.727</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22,578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21,910</w:t>
            </w: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11420"/>
          </w:cols>
          <w:pgMar w:left="240" w:top="419" w:right="239" w:bottom="595" w:gutter="0" w:footer="0" w:header="0"/>
        </w:sect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595"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5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4"/>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66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2007</w:t>
            </w:r>
          </w:p>
        </w:tc>
        <w:tc>
          <w:tcPr>
            <w:tcW w:w="6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00" w:type="dxa"/>
            <w:vAlign w:val="bottom"/>
            <w:gridSpan w:val="6"/>
          </w:tcPr>
          <w:p>
            <w:pPr>
              <w:jc w:val="center"/>
              <w:ind w:right="5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Revenues, net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8,101</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12,047</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11,809</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11,992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2,915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4,359</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4,336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4,552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1,165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1,734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2,821</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1,317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3"/>
        </w:trPr>
        <w:tc>
          <w:tcPr>
            <w:tcW w:w="54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w:t>
            </w:r>
          </w:p>
        </w:tc>
        <w:tc>
          <w:tcPr>
            <w:tcW w:w="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11,639</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11,079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11,124</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408</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730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6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6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income per share </w:t>
            </w:r>
            <w:r>
              <w:rPr>
                <w:rFonts w:ascii="Arial" w:cs="Arial" w:eastAsia="Arial" w:hAnsi="Arial"/>
                <w:sz w:val="15"/>
                <w:szCs w:val="15"/>
                <w:color w:val="auto"/>
              </w:rPr>
              <w:t>(1)</w:t>
            </w: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Basic</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0.02</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21,936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21,970</w:t>
            </w:r>
          </w:p>
        </w:tc>
        <w:tc>
          <w:tcPr>
            <w:tcW w:w="6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22,025</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22,603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22,782</w:t>
            </w:r>
          </w:p>
        </w:tc>
        <w:tc>
          <w:tcPr>
            <w:tcW w:w="66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22,664</w:t>
            </w:r>
          </w:p>
        </w:tc>
        <w:tc>
          <w:tcPr>
            <w:tcW w:w="6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4"/>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66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2008</w:t>
            </w:r>
          </w:p>
        </w:tc>
        <w:tc>
          <w:tcPr>
            <w:tcW w:w="6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 of Revenues)</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39.6</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20.7</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54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95.7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Quarter Ended</w:t>
            </w: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gridSpan w:val="4"/>
          </w:tcPr>
          <w:p>
            <w:pPr>
              <w:jc w:val="center"/>
              <w:ind w:right="340"/>
              <w:spacing w:after="0" w:line="119" w:lineRule="exact"/>
              <w:rPr>
                <w:sz w:val="20"/>
                <w:szCs w:val="20"/>
                <w:color w:val="auto"/>
              </w:rPr>
            </w:pPr>
            <w:r>
              <w:rPr>
                <w:rFonts w:ascii="Arial" w:cs="Arial" w:eastAsia="Arial" w:hAnsi="Arial"/>
                <w:sz w:val="13"/>
                <w:szCs w:val="13"/>
                <w:b w:val="1"/>
                <w:bCs w:val="1"/>
                <w:color w:val="auto"/>
              </w:rPr>
              <w:t>March 31,</w:t>
            </w:r>
          </w:p>
        </w:tc>
        <w:tc>
          <w:tcPr>
            <w:tcW w:w="30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660" w:type="dxa"/>
            <w:vAlign w:val="bottom"/>
          </w:tcPr>
          <w:p>
            <w:pPr>
              <w:spacing w:after="0"/>
              <w:rPr>
                <w:sz w:val="10"/>
                <w:szCs w:val="10"/>
                <w:color w:val="auto"/>
              </w:rPr>
            </w:pPr>
          </w:p>
        </w:tc>
        <w:tc>
          <w:tcPr>
            <w:tcW w:w="15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2007</w:t>
            </w:r>
          </w:p>
        </w:tc>
        <w:tc>
          <w:tcPr>
            <w:tcW w:w="66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 of Revenues)</w:t>
            </w: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STATEMENT OF INCOME DATA:</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Revenues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100.0</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Cost of revenues (excluding depreciation and amortization)</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36.2</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Product development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46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5460" w:type="dxa"/>
            <w:vAlign w:val="bottom"/>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operating costs and expenses</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 (benefit)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6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Due to the nature of interim earnings per share calculations, the sum of quarterly earnings per share amounts may not equal the reported earnings per share for the full year.</w:t>
      </w:r>
    </w:p>
    <w:p>
      <w:pPr>
        <w:sectPr>
          <w:pgSz w:w="11900" w:h="16838" w:orient="portrait"/>
          <w:cols w:equalWidth="0" w:num="1">
            <w:col w:w="11420"/>
          </w:cols>
          <w:pgMar w:left="240" w:top="419" w:right="239" w:bottom="663"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663"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Net cash provided by operating activities was approximately $6.0 million during 2008 compared to $7.1 million during 2007. Our primary sources of cash were generated from receipts from the sales of our products and services. The number of days sales outstanding (DSO) was 60 days for 2008 compared to</w:t>
      </w:r>
    </w:p>
    <w:p>
      <w:pPr>
        <w:ind w:right="20"/>
        <w:spacing w:after="0" w:line="254" w:lineRule="auto"/>
        <w:rPr>
          <w:sz w:val="20"/>
          <w:szCs w:val="20"/>
          <w:color w:val="auto"/>
        </w:rPr>
      </w:pPr>
      <w:r>
        <w:rPr>
          <w:rFonts w:ascii="Arial" w:cs="Arial" w:eastAsia="Arial" w:hAnsi="Arial"/>
          <w:sz w:val="18"/>
          <w:szCs w:val="18"/>
          <w:color w:val="auto"/>
        </w:rPr>
        <w:t>63 days for 2007. The Company calculates DSO by dividing the average accounts receivable balance (excluding unbilled and other receivables) by average daily revenues for the year. The primary uses of cash to fund our operations include personnel expenses, sales commissions, royalty payments, payments for contract labor and other direct expenses associated with delivery of our products and services, and general corporate expenses, as well as payments associated with content development.</w:t>
      </w:r>
    </w:p>
    <w:p>
      <w:pPr>
        <w:spacing w:after="0" w:line="8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used in investing activities was approximately $2.1 million for 2008, compared to $13.9 million during 2007. During 2008, we utilized $1.1 million for purchases of property and equipment, and $980,000 for software feature enhancements. During 2007, we utilized approximately $11.8 million of cash and investments to purchase TJO. Software feature enhancement costs for 2008 were associated with enhancements to our survey administration platform and other new products, while in 2007, these costs were associated with the new version of our Internet-based HLC and HCC platforms. Hardware and software spending in 2008 and 2007 supported our Internet-based product infrastructure and other operational requirements.</w:t>
      </w:r>
    </w:p>
    <w:p>
      <w:pPr>
        <w:spacing w:after="0" w:line="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used in financing activities was approximately $3.4 million for 2008, compared to $286,000 during 2007. The primary uses of cash during 2008 included $2.9 million associated with our share repurchase plan and $707,000 of payments under the promissory note. The primary sources of cash for both 2008 and 2007 resulted from proceeds associated with the issuance of common stock from both the exercise of employee stock options and our Employee Stock Purchase Plan.</w:t>
      </w:r>
    </w:p>
    <w:p>
      <w:pPr>
        <w:spacing w:after="0" w:line="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revenues increased and operating income improved over the prior year, and our balance sheet reflects positive working capital at December 31, 2008. This working capital position contrasts with our working capital deficit at December 31, 2007. The increase in working capital resulted primarily from increases in cash balances combined with reductions in accounts payable, accrued liabilities, accrued compensation and related expenses, and current portion of capital leases. During 2008, the Company also repurchased approximately $2.9 million of its common stock using cash generated from operations. As of December 31, 2008, our primary source of liquidity was $4.1 million of cash and cash equivalents, restricted cash, and related interest receivable. The Company also has a $15.0 million revolving credit facility loan agreement, all of which was available at December 31, 2008.</w:t>
      </w:r>
    </w:p>
    <w:p>
      <w:pPr>
        <w:spacing w:after="0" w:line="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Our revolving credit facility expires in July 2009, and we are pursuing to renew or replace this credit facility before its expiration, which may be difficult in the current economic environment.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expect that our capital expenditures, software feature enhancements, and content purchases will approximate between $3.0 and $3.5 million in 2009. We expect to fund these capital expenditures with existing cash and investments and from cash generated from operations, and if necessary from our revolving credit facility. From January 1 through February 28, 2009, we had capital expenditures of approximately $500,000, primarily related to hardware, software, content, and software feature enhancements.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strategic alliances have typically provided for payments to content partners based on revenues and development partners and other parties based on services rendered. We expect to continue similar arrangements in the future. We have commitments under capital lease obligations for computer hardware and operating lease commitments for our operating facilities in Nashville, Tennessee, Laurel, Maryland, and Franklin, Tennessee. We also have scheduled monthly payments due under a promissory note through May 2010.</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Company’s off-balance sheet arrangements primarily consist of operating leases, purchase commitments, and our revolving credit facility, which is described further in Note 12 to the Company’s consolidated financial statements contained elsewhere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December 2007, the Financial Accounting Standards Board (FASB) issued SFAS No. 141(R), “Business Combinations” (“SFAS No. 141(R)”). SFAS No. 141(R) establishes principles and requirements for how an acquirer recognizes and measures in its financial statements the identifiable assets acquired, the liabilities assumed, contractual contingencies, any noncontrolling interest in the acquiree and the goodwill acquired. SFAS No. 141(R) changes the accounting for acquisition-related restructuring cost accruals and the recognition of changes in the acquirer’s income tax valuation allowance, and no longer permits the capitalization of certain acquisition costs. In addition the Statement establishes disclosure requirements to enable the evaluation of the nature and financial effects of the business combination. SFAS No. 141(R) is effective prospectively, except for certain retrospective adjustments to deferred tax balances. The Company’s consolidated financial statements will be impacted by SFAS 141(R) in relation to business combination activities subsequent to January 1, 2009.</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No. 160 also establishes disclosure requirements that clearly identify and distinguish between the interests of the parent and the interests of the noncontrolling owners. This statement is effective beginning January 1, 2009 for the Company. Management does not anticipate that adoption of this new standard will have a material effect on the Company’s financial position, results of operations, or cash flows.</w:t>
      </w:r>
    </w:p>
    <w:p>
      <w:pPr>
        <w:spacing w:after="0" w:line="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April 2008, FASB Staff Position SFAS 142-3, “Determination of the Useful Life of Intangible Assets” (“FSP No. 142-3”), was issued. FSP 142-3 amends the factors that should be considered in developing renewal or extension assumptions used to determine the useful life of a recognized intangible asset under SFAS No. 142, “Goodwill and Other Intangible Assets.” The adoption of FSP 142-3 is effective beginning January 1, 2009 for the Company. Management does not anticipate the adoption of this new standard will have a material effect on the Company’s financial position,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 December 31, 2008, our outstanding indebtedness included a promissory note of approximately $1.0 million and approximately $33,000 of capital lease obligations. We may become subject to interest rate market risk associated with borrowings under our revolving credit facility, which bears interest at a variable rate based on the 30 Day LIBOR Rate plus 150 basis points. We are also exposed to market risk with respect to our cash balances. At December 31, 2008, the Company had cash and cash equivalents, restricted cash, and related interest receivable totaling approximately $4.1 million. Current investment rates of return approximate 1.00 to 1.50%. Assuming a 1.25% rate of return on $4.1 million, a hypothetical 10% decrease in interest rates would decrease interest income and decrease net income on an annualized basis by approximately $5,000.</w:t>
      </w:r>
    </w:p>
    <w:p>
      <w:pPr>
        <w:spacing w:after="0" w:line="70"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Company manages its investment risk by investing in corporate debt securities, foreign corporate debt, secured corporate debt, and municipal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The Company also requires that all securities must mature within 24 months from the original settlement date, the average portfolio shall not exceed 18 months, and the greater of 10% or $5.0 million shall mature within 90 days. Further, the Company’s investment policy also limits concentration exposure and other potential risk areas. As of December 31, 2008, we maintained no investments in marketable securities.</w:t>
      </w:r>
    </w:p>
    <w:p>
      <w:pPr>
        <w:spacing w:after="0" w:line="70"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9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Page</w:t>
            </w:r>
          </w:p>
        </w:tc>
      </w:tr>
      <w:tr>
        <w:trPr>
          <w:trHeight w:val="385"/>
        </w:trPr>
        <w:tc>
          <w:tcPr>
            <w:tcW w:w="4920" w:type="dxa"/>
            <w:vAlign w:val="bottom"/>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Report of Independent Registered Public Accounting Firm</w:t>
              </w:r>
            </w:hyperlink>
          </w:p>
        </w:tc>
        <w:tc>
          <w:tcPr>
            <w:tcW w:w="6500" w:type="dxa"/>
            <w:vAlign w:val="bottom"/>
            <w:gridSpan w:val="2"/>
          </w:tcPr>
          <w:p>
            <w:pPr>
              <w:jc w:val="right"/>
              <w:ind w:right="268"/>
              <w:spacing w:after="0"/>
              <w:rPr>
                <w:sz w:val="20"/>
                <w:szCs w:val="20"/>
                <w:color w:val="auto"/>
              </w:rPr>
            </w:pPr>
            <w:r>
              <w:rPr>
                <w:rFonts w:ascii="Arial" w:cs="Arial" w:eastAsia="Arial" w:hAnsi="Arial"/>
                <w:sz w:val="18"/>
                <w:szCs w:val="18"/>
                <w:color w:val="auto"/>
              </w:rPr>
              <w:t>31</w:t>
            </w: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5"/>
          </w:tcPr>
          <w:p>
            <w:pPr>
              <w:spacing w:after="0"/>
              <w:rPr>
                <w:sz w:val="17"/>
                <w:szCs w:val="17"/>
                <w:color w:val="auto"/>
              </w:rPr>
            </w:pPr>
          </w:p>
        </w:tc>
        <w:tc>
          <w:tcPr>
            <w:tcW w:w="700" w:type="dxa"/>
            <w:vAlign w:val="bottom"/>
          </w:tcPr>
          <w:p>
            <w:pPr>
              <w:spacing w:after="0"/>
              <w:rPr>
                <w:sz w:val="17"/>
                <w:szCs w:val="17"/>
                <w:color w:val="auto"/>
              </w:rPr>
            </w:pPr>
          </w:p>
        </w:tc>
        <w:tc>
          <w:tcPr>
            <w:tcW w:w="650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32</w:t>
            </w:r>
          </w:p>
        </w:tc>
      </w:tr>
      <w:tr>
        <w:trPr>
          <w:trHeight w:val="196"/>
        </w:trPr>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Consolidated Statements of Income</w:t>
              </w:r>
            </w:hyperlink>
          </w:p>
        </w:tc>
        <w:tc>
          <w:tcPr>
            <w:tcW w:w="2340" w:type="dxa"/>
            <w:vAlign w:val="bottom"/>
            <w:gridSpan w:val="5"/>
          </w:tcPr>
          <w:p>
            <w:pPr>
              <w:spacing w:after="0"/>
              <w:rPr>
                <w:sz w:val="17"/>
                <w:szCs w:val="17"/>
                <w:color w:val="auto"/>
              </w:rPr>
            </w:pPr>
          </w:p>
        </w:tc>
        <w:tc>
          <w:tcPr>
            <w:tcW w:w="650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33</w:t>
            </w:r>
          </w:p>
        </w:tc>
      </w:tr>
      <w:tr>
        <w:trPr>
          <w:trHeight w:val="196"/>
        </w:trPr>
        <w:tc>
          <w:tcPr>
            <w:tcW w:w="356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Consolidated Statements of Shareholders’ Equity</w:t>
              </w:r>
            </w:hyperlink>
          </w:p>
        </w:tc>
        <w:tc>
          <w:tcPr>
            <w:tcW w:w="1360" w:type="dxa"/>
            <w:vAlign w:val="bottom"/>
            <w:gridSpan w:val="2"/>
          </w:tcPr>
          <w:p>
            <w:pPr>
              <w:spacing w:after="0"/>
              <w:rPr>
                <w:sz w:val="17"/>
                <w:szCs w:val="17"/>
                <w:color w:val="auto"/>
              </w:rPr>
            </w:pPr>
          </w:p>
        </w:tc>
        <w:tc>
          <w:tcPr>
            <w:tcW w:w="650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34</w:t>
            </w:r>
          </w:p>
        </w:tc>
      </w:tr>
      <w:tr>
        <w:trPr>
          <w:trHeight w:val="196"/>
        </w:trPr>
        <w:tc>
          <w:tcPr>
            <w:tcW w:w="28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Consolidated Statements of Cash Flows</w:t>
              </w:r>
            </w:hyperlink>
          </w:p>
        </w:tc>
        <w:tc>
          <w:tcPr>
            <w:tcW w:w="2040" w:type="dxa"/>
            <w:vAlign w:val="bottom"/>
            <w:gridSpan w:val="4"/>
          </w:tcPr>
          <w:p>
            <w:pPr>
              <w:spacing w:after="0"/>
              <w:rPr>
                <w:sz w:val="17"/>
                <w:szCs w:val="17"/>
                <w:color w:val="auto"/>
              </w:rPr>
            </w:pPr>
          </w:p>
        </w:tc>
        <w:tc>
          <w:tcPr>
            <w:tcW w:w="650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35</w:t>
            </w:r>
          </w:p>
        </w:tc>
      </w:tr>
      <w:tr>
        <w:trPr>
          <w:trHeight w:val="196"/>
        </w:trPr>
        <w:tc>
          <w:tcPr>
            <w:tcW w:w="4920" w:type="dxa"/>
            <w:vAlign w:val="bottom"/>
            <w:gridSpan w:val="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Notes to Consolidated Financial Statements</w:t>
              </w:r>
            </w:hyperlink>
          </w:p>
        </w:tc>
        <w:tc>
          <w:tcPr>
            <w:tcW w:w="6500" w:type="dxa"/>
            <w:vAlign w:val="bottom"/>
            <w:gridSpan w:val="2"/>
          </w:tcPr>
          <w:p>
            <w:pPr>
              <w:jc w:val="right"/>
              <w:ind w:right="268"/>
              <w:spacing w:after="0" w:line="196" w:lineRule="exact"/>
              <w:rPr>
                <w:sz w:val="20"/>
                <w:szCs w:val="20"/>
                <w:color w:val="auto"/>
              </w:rPr>
            </w:pPr>
            <w:r>
              <w:rPr>
                <w:rFonts w:ascii="Arial" w:cs="Arial" w:eastAsia="Arial" w:hAnsi="Arial"/>
                <w:sz w:val="18"/>
                <w:szCs w:val="18"/>
                <w:color w:val="auto"/>
              </w:rPr>
              <w:t>36</w:t>
            </w:r>
          </w:p>
        </w:tc>
      </w:tr>
      <w:tr>
        <w:trPr>
          <w:trHeight w:val="426"/>
        </w:trPr>
        <w:tc>
          <w:tcPr>
            <w:tcW w:w="21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tcPr>
          <w:p>
            <w:pPr>
              <w:jc w:val="right"/>
              <w:ind w:right="4630"/>
              <w:spacing w:after="0"/>
              <w:rPr>
                <w:sz w:val="20"/>
                <w:szCs w:val="20"/>
                <w:color w:val="auto"/>
              </w:rPr>
            </w:pPr>
            <w:r>
              <w:rPr>
                <w:rFonts w:ascii="Arial" w:cs="Arial" w:eastAsia="Arial" w:hAnsi="Arial"/>
                <w:sz w:val="18"/>
                <w:szCs w:val="18"/>
                <w:color w:val="auto"/>
              </w:rPr>
              <w:t>30</w:t>
            </w:r>
          </w:p>
        </w:tc>
        <w:tc>
          <w:tcPr>
            <w:tcW w:w="900" w:type="dxa"/>
            <w:vAlign w:val="bottom"/>
          </w:tcPr>
          <w:p>
            <w:pPr>
              <w:spacing w:after="0"/>
              <w:rPr>
                <w:sz w:val="24"/>
                <w:szCs w:val="24"/>
                <w:color w:val="auto"/>
              </w:rPr>
            </w:pPr>
          </w:p>
        </w:tc>
      </w:tr>
      <w:tr>
        <w:trPr>
          <w:trHeight w:val="226"/>
        </w:trPr>
        <w:tc>
          <w:tcPr>
            <w:tcW w:w="21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56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HealthStream, Inc.</w:t>
      </w:r>
    </w:p>
    <w:p>
      <w:pPr>
        <w:spacing w:after="0" w:line="103"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have audited the accompanying consolidated balance sheets of HealthStream, Inc. as of December 31, 2008 and 2007, and the related consolidated statements of income, shareholders’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3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HealthStream, Inc. at December 31, 2008 and 2007, and the consolidated results of its operations and its cash flows for each of the three years in the period ended December 31, 2008, in conformity with U.S. generally accepted accounting principles.</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discussed in Note 1 to the consolidated financial statements, in 2007 the Company changed its method of accounting for uncertainty in income taxes, and in 2006 the Company changed its method of accounting for share-based payments.</w:t>
      </w:r>
    </w:p>
    <w:p>
      <w:pPr>
        <w:spacing w:after="0" w:line="387"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2009</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6"/>
              </w:rPr>
              <w:t>December 31,</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4,106,612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17,128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$106,542 and $72,895 at December 31, 2008</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and 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8,303,212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8,668,093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1,669,356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356,987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995,493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375,866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1,034,026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16,862,770</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15,678,408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12,651,227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11,812,721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1,990,532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1,579,592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16,221,351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15,211,122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(12,746,487)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(10,827,932)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3,474,864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4,383,190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w w:val="99"/>
              </w:rPr>
              <w:t>Capitalized software feature enhancements, net of accumulated amortization of $2,500,017 and $1,453,720 at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December 31, 2008 and 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4,392,780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4,458,644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$9,649,321 and $8,682,555 at December 31, 2008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4,737,821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5,704,587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2,008,342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1,629,550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173,441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52,796,882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1,386,771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2,556,102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3,526,298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477,277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347,234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10,202,309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9,492,970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724,095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15,714,380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16,584,312</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306,942</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21,382,055 and 22,315,485 shares issued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outstanding at December 31, 2008 and 2007,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95,320,889</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97,126,520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(58,558,107)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(61,412,902)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36,762,782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35,713,618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52,796,882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21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4"/>
              </w:rPr>
              <w:t>For the Year Ended December 31,</w:t>
            </w:r>
          </w:p>
        </w:tc>
        <w:tc>
          <w:tcPr>
            <w:tcW w:w="100" w:type="dxa"/>
            <w:vAlign w:val="bottom"/>
          </w:tcPr>
          <w:p>
            <w:pPr>
              <w:spacing w:after="0"/>
              <w:rPr>
                <w:sz w:val="14"/>
                <w:szCs w:val="14"/>
                <w:color w:val="auto"/>
              </w:rPr>
            </w:pPr>
          </w:p>
        </w:tc>
        <w:tc>
          <w:tcPr>
            <w:tcW w:w="8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51,599,543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43,949,264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31,783,469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19,653,450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16,162,505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10,869,303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5,669,954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4,307,738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3,502,790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10,820,062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9,212,405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7,020,051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4,822,268</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4,503,180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2,889,168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8,152,291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7,848,058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5,593,026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6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49,118,025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42,033,886</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29,874,338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2,481,518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1,915,378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1,909,131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139,801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286,930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657,431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9"/>
                <w:szCs w:val="19"/>
                <w:color w:val="auto"/>
              </w:rPr>
            </w:pPr>
          </w:p>
        </w:tc>
        <w:tc>
          <w:tcPr>
            <w:tcW w:w="1180" w:type="dxa"/>
            <w:vAlign w:val="bottom"/>
            <w:gridSpan w:val="3"/>
          </w:tcPr>
          <w:p>
            <w:pPr>
              <w:jc w:val="right"/>
              <w:ind w:right="228"/>
              <w:spacing w:after="0"/>
              <w:rPr>
                <w:sz w:val="20"/>
                <w:szCs w:val="20"/>
                <w:color w:val="auto"/>
              </w:rPr>
            </w:pPr>
            <w:r>
              <w:rPr>
                <w:rFonts w:ascii="Arial" w:cs="Arial" w:eastAsia="Arial" w:hAnsi="Arial"/>
                <w:sz w:val="18"/>
                <w:szCs w:val="18"/>
                <w:color w:val="auto"/>
              </w:rPr>
              <w:t>(67,613)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(60,595)</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(38,838)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226,335</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2,553,706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2,141,713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2,527,724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provision</w:t>
            </w: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(301,089)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(1,945,496)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28,044</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2,854,795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4,087,209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2,499,680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3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0.19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72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21,707,364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21,998,845</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21,576,553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22,204,314</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22,700,996</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22,358,648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060" w:type="dxa"/>
            <w:vAlign w:val="bottom"/>
            <w:gridSpan w:val="5"/>
            <w:vMerge w:val="restart"/>
          </w:tcPr>
          <w:p>
            <w:pPr>
              <w:jc w:val="right"/>
              <w:ind w:right="1360"/>
              <w:spacing w:after="0"/>
              <w:rPr>
                <w:sz w:val="20"/>
                <w:szCs w:val="20"/>
                <w:color w:val="auto"/>
              </w:rPr>
            </w:pPr>
            <w:r>
              <w:rPr>
                <w:rFonts w:ascii="Arial" w:cs="Arial" w:eastAsia="Arial" w:hAnsi="Arial"/>
                <w:sz w:val="14"/>
                <w:szCs w:val="14"/>
                <w:b w:val="1"/>
                <w:bCs w:val="1"/>
                <w:color w:val="auto"/>
              </w:rPr>
              <w:t>Common Stock</w:t>
            </w:r>
          </w:p>
        </w:tc>
        <w:tc>
          <w:tcPr>
            <w:tcW w:w="160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3060" w:type="dxa"/>
            <w:vAlign w:val="bottom"/>
            <w:gridSpan w:val="5"/>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9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6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21,574,904</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$93,799,932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 (67,999,791)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$25,800,141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2,499,680</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682,068</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285,681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490,467</w:t>
            </w:r>
          </w:p>
        </w:tc>
        <w:tc>
          <w:tcPr>
            <w:tcW w:w="6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to Employee Stock Purchase Plan</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68,102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162,083</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162,083</w:t>
            </w: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Balance at December 31, 2006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21,928,687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95,134,550</w:t>
            </w:r>
          </w:p>
        </w:tc>
        <w:tc>
          <w:tcPr>
            <w:tcW w:w="6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(65,500,111)</w:t>
            </w:r>
          </w:p>
        </w:tc>
        <w:tc>
          <w:tcPr>
            <w:tcW w:w="6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29,634,439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4,087,209</w:t>
            </w:r>
          </w:p>
        </w:tc>
        <w:tc>
          <w:tcPr>
            <w:tcW w:w="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4,087,209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742,344</w:t>
            </w:r>
          </w:p>
        </w:tc>
        <w:tc>
          <w:tcPr>
            <w:tcW w:w="6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742,344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123,697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248,517</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Issuance of common stock to Employee Stock Purchase Plan</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37,685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121,723</w:t>
            </w:r>
          </w:p>
        </w:tc>
        <w:tc>
          <w:tcPr>
            <w:tcW w:w="6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in connection with acquisition</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252,616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960,170</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(27,200)</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(80,784)</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(80,784)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22,315,485</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97,126,520</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(61,412,902)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35,713,618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2,854,795</w:t>
            </w:r>
          </w:p>
        </w:tc>
        <w:tc>
          <w:tcPr>
            <w:tcW w:w="6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2,854,795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771,560</w:t>
            </w:r>
          </w:p>
        </w:tc>
        <w:tc>
          <w:tcPr>
            <w:tcW w:w="6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106,162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210,928</w:t>
            </w:r>
          </w:p>
        </w:tc>
        <w:tc>
          <w:tcPr>
            <w:tcW w:w="60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common stock to Employee Stock Purchase Plan</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53,108</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130,911</w:t>
            </w:r>
          </w:p>
        </w:tc>
        <w:tc>
          <w:tcPr>
            <w:tcW w:w="16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200"/>
              <w:spacing w:after="0"/>
              <w:rPr>
                <w:sz w:val="20"/>
                <w:szCs w:val="20"/>
                <w:color w:val="auto"/>
              </w:rPr>
            </w:pPr>
            <w:r>
              <w:rPr>
                <w:rFonts w:ascii="Arial" w:cs="Arial" w:eastAsia="Arial" w:hAnsi="Arial"/>
                <w:sz w:val="18"/>
                <w:szCs w:val="18"/>
                <w:color w:val="auto"/>
              </w:rPr>
              <w:t>Repurchase of common stock</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(1,092,700)</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(2,919,030)</w:t>
            </w:r>
          </w:p>
        </w:tc>
        <w:tc>
          <w:tcPr>
            <w:tcW w:w="16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(2,919,030)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21,382,055</w:t>
            </w:r>
          </w:p>
        </w:tc>
        <w:tc>
          <w:tcPr>
            <w:tcW w:w="18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95,320,889</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 (58,558,107)</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36,762,782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10"/>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214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w w:val="94"/>
              </w:rPr>
              <w:t>For the Year Ended December 31,</w:t>
            </w:r>
          </w:p>
        </w:tc>
        <w:tc>
          <w:tcPr>
            <w:tcW w:w="100" w:type="dxa"/>
            <w:vAlign w:val="bottom"/>
          </w:tcPr>
          <w:p>
            <w:pPr>
              <w:spacing w:after="0"/>
              <w:rPr>
                <w:sz w:val="14"/>
                <w:szCs w:val="1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2,854,795</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4,087,209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2,499,680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2,104,746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1,947,998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1,405,616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2,717,522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2,555,182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Income tax benefit from recognition of deferred tax assets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(375,467)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(1,989,862)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771,560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742,344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excluding effects of acquisitions: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(383,277)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(110,661)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(3,624)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251,210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51,095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00"/>
              <w:spacing w:after="0"/>
              <w:rPr>
                <w:sz w:val="20"/>
                <w:szCs w:val="20"/>
                <w:color w:val="auto"/>
              </w:rPr>
            </w:pPr>
            <w:r>
              <w:rPr>
                <w:rFonts w:ascii="Arial" w:cs="Arial" w:eastAsia="Arial" w:hAnsi="Arial"/>
                <w:sz w:val="18"/>
                <w:szCs w:val="18"/>
                <w:color w:val="auto"/>
              </w:rPr>
              <w:t>Prepaid royalties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(677,930)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(101,116)</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(194,715)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(88,594)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(642,297)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(374,706)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(133,357)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186,773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371,562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(428,901)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125,812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682,210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(1,211,005)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(253,823)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82,184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(50,160)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(923,914)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709,339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223,310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6,042,598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7,105,290</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(9,194)</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0"/>
              </w:rPr>
              <w:t>(11,814,274)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 of investments in marketable securities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2,500,000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18,785,000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Purchases of investments in marketable securities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(14,303,816)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(980,433)</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(2,566,438)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1"/>
              </w:rPr>
              <w:t>(1,138,598)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(1,264,565)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(1,400,637)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(2,128,224)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0"/>
              </w:rPr>
              <w:t>(13,945,277)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535,859</w:t>
            </w:r>
          </w:p>
        </w:tc>
        <w:tc>
          <w:tcPr>
            <w:tcW w:w="0" w:type="dxa"/>
            <w:vAlign w:val="bottom"/>
          </w:tcPr>
          <w:p>
            <w:pPr>
              <w:spacing w:after="0"/>
              <w:rPr>
                <w:sz w:val="1"/>
                <w:szCs w:val="1"/>
                <w:color w:val="auto"/>
              </w:rPr>
            </w:pPr>
          </w:p>
        </w:tc>
      </w:tr>
      <w:tr>
        <w:trPr>
          <w:trHeight w:val="439"/>
        </w:trPr>
        <w:tc>
          <w:tcPr>
            <w:tcW w:w="72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130,911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121,723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210,928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248,517</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490,467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(2,919,030)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(80,784)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(123,219)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(171,675)</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(186,591)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on promissory note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(706,698)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(404,228)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Borrowings under revolving credit facility</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w w:val="99"/>
              </w:rPr>
              <w:t>(1,500,000)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revolving credit facility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ind w:left="80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(3,407,108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(286,447)</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507,266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9"/>
              </w:rPr>
              <w:t>(7,126,434)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4,999,629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3,599,346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10,725,780</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5,726,151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4,106,612</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3,599,346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10,725,780</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60,235</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59,398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200"/>
              <w:spacing w:after="0"/>
              <w:rPr>
                <w:sz w:val="20"/>
                <w:szCs w:val="20"/>
                <w:color w:val="auto"/>
              </w:rPr>
            </w:pPr>
            <w:r>
              <w:rPr>
                <w:rFonts w:ascii="Arial" w:cs="Arial" w:eastAsia="Arial" w:hAnsi="Arial"/>
                <w:sz w:val="18"/>
                <w:szCs w:val="18"/>
                <w:color w:val="auto"/>
              </w:rPr>
              <w:t>Income taxes paid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43,000</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Capital lease obligations incurred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content rights in exchange for future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191,667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vMerge w:val="restart"/>
          </w:tcPr>
          <w:p>
            <w:pPr>
              <w:ind w:left="200"/>
              <w:spacing w:after="0"/>
              <w:rPr>
                <w:sz w:val="20"/>
                <w:szCs w:val="20"/>
                <w:color w:val="auto"/>
              </w:rPr>
            </w:pPr>
            <w:r>
              <w:rPr>
                <w:rFonts w:ascii="Arial" w:cs="Arial" w:eastAsia="Arial" w:hAnsi="Arial"/>
                <w:sz w:val="18"/>
                <w:szCs w:val="18"/>
                <w:color w:val="auto"/>
              </w:rPr>
              <w:t>Issuance of common stock in connection with 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960,170</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 through issuance of long 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2,141,963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right="6540" w:firstLine="8"/>
        <w:spacing w:after="0" w:line="378" w:lineRule="auto"/>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Reporting Entity and Segments</w:t>
      </w:r>
    </w:p>
    <w:p>
      <w:pPr>
        <w:ind w:right="180"/>
        <w:spacing w:after="0" w:line="272" w:lineRule="auto"/>
        <w:rPr>
          <w:sz w:val="20"/>
          <w:szCs w:val="20"/>
          <w:color w:val="auto"/>
        </w:rPr>
      </w:pPr>
      <w:r>
        <w:rPr>
          <w:rFonts w:ascii="Arial" w:cs="Arial" w:eastAsia="Arial" w:hAnsi="Arial"/>
          <w:sz w:val="17"/>
          <w:szCs w:val="17"/>
          <w:color w:val="auto"/>
        </w:rPr>
        <w:t>HealthStream, Inc. (the “Company”) was incorporated in 1990 as a Tennessee corporation and is headquartered in Nashville, Tennessee. We operate our business in two segments: 1) HealthStream Learning and 2) HealthStream Research. Our HealthStream Learning products consist of Internet-based services and solutions to meet the ongoing training, information, and education needs of the healthcare community. These solutions provide, deliver and track computer based education for our customers in the United States through our application service provider (ASP) products. We also develop, manage, and distribute online, live, and print education and training activities for provider-based healthcare professionals and physicians as well as online education and training activities for medical industry sales representatives. HealthStream Research products offer healthcare organizations a wide range of quality and satisfaction surveys, analyses of survey results, and other research-based services.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Recognition of Revenue</w:t>
      </w:r>
    </w:p>
    <w:p>
      <w:pPr>
        <w:spacing w:after="0" w:line="121" w:lineRule="exact"/>
        <w:rPr>
          <w:sz w:val="20"/>
          <w:szCs w:val="20"/>
          <w:color w:val="auto"/>
        </w:rPr>
      </w:pPr>
    </w:p>
    <w:p>
      <w:pPr>
        <w:jc w:val="both"/>
        <w:ind w:right="860"/>
        <w:spacing w:after="0" w:line="342" w:lineRule="auto"/>
        <w:rPr>
          <w:sz w:val="20"/>
          <w:szCs w:val="20"/>
          <w:color w:val="auto"/>
        </w:rPr>
      </w:pPr>
      <w:r>
        <w:rPr>
          <w:rFonts w:ascii="Arial" w:cs="Arial" w:eastAsia="Arial" w:hAnsi="Arial"/>
          <w:sz w:val="16"/>
          <w:szCs w:val="16"/>
          <w:color w:val="auto"/>
        </w:rPr>
        <w:t>Revenues are derived from providing services through our Internet-based learning products, provision of survey and research services, courseware subscriptions, professional services, content maintenance, live event development, custom development and other education and training services.</w:t>
      </w:r>
    </w:p>
    <w:p>
      <w:pPr>
        <w:spacing w:after="0" w:line="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recognize revenue in accordance with American Institute of Certified Public Accountants (AICPA) Statement of Position (SOP) 97-2, “Software Revenue Recognition,” Securities and Exchange Commission (SEC) Staff Accounting Bulletin No. 104, “Revenue Recognition,” Emerging Issues Task Force (EITF) Issue No. 99-19 “Reporting Revenue Gross Versus Net,” EITF Issue No. 00-3 “Application of AICPA Statement of Position 97-2, Software Revenue Recognition, to Arrangements that Include the Right to Use Software Stored on Another Entity’s Hardware,” EITF Issue No. 00-21 “Revenue Arrangements with Multiple Deliverables” and other authoritative guidance. This guidance provides that revenue recognized from software and other arrangements is to be allocated to each element of the arrangement based on the relative fair values of the elements. While elements include software products and post contract customer support, the fair value of each element is based on objective evidence specific to the vendor. If fair value cannot be determined for each element of the arrangement, all revenue from the arrangement is deferred until fair value can be determined or until all elements of the arrangement are delivered and customer acceptance has occurred. Sales of our Internet-based learning products include customer support, implementation services, and training; therefore all revenues are deferred until the Internet-based learning product is implemented, at which time revenues are recognized ratably over the subscription service period. In the event that circumstances occur, which give rise to uncertainty regarding the collectibility of contracted amounts, revenue recognition is suspended until such uncertainty is resolved. Fees for these services are billed on either a monthly, quarterly, or annual basis.</w:t>
      </w:r>
    </w:p>
    <w:p>
      <w:pPr>
        <w:spacing w:after="0" w:line="6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Revenues derived from the delivery of services through our Internet-based learning products and courseware subscriptions are recognized ratably over the term of the subscription service agreement. Other training revenues are generally recognized upon the completion of training.</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Revenues recognized from our survey and research services are determined using both the proportional performance method and the completed contract method. Revenues are generally earned over the estimated survey cycle, which typically ranges from less than one month to up to five months. The survey cycle is generally initiated based on the receipt of the first survey response and runs through provision of related survey reports to the customer. If survey results are not available to the customer during the survey fielding cycle, revenues are recognized at time of report delivery. All other revenues are recognized as the related services are performed or products are delivered. Fees for these services are billed upon initiation of the survey cycle, with progress billings made throughout the survey cycle.</w:t>
      </w:r>
    </w:p>
    <w:p>
      <w:pPr>
        <w:spacing w:after="0" w:line="8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Revenues derived from live event development services are recognized using the proportional performance method based on the completion of performance milestones. Revenues from professional services, content maintenance, and custom development services are recognized using a percentage of completion method based on labor hours, which correspond to the completion of performance milestones and deliverables. All other revenues are recognized as the related services are performed or products are delivered. Fees for these services are generally billed at project initiation and upon completion of various milestones.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Principles of Consolidation</w:t>
      </w:r>
    </w:p>
    <w:p>
      <w:pPr>
        <w:ind w:right="18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of which are wholly-owned.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accounting principles generally accepted in the United States requires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consider cash and cash equivalents to be unrestricted, highly liquid investments with initial maturities of less than three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received for registration fees is classified as restricted cash on the accompanying consolidated balance sheets. The use of this cash is restricted because it is held on behalf of the commercial supporter until services have been rendered, at which time the registration fees are used to pay certain expenses and fees for conducting those services. Excess registration funds are typically remitted to the commercial supporter or applied to other projects. Any deficiency in registration funds is billed to the commercial supporter.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Receivable-Unbilled and Deferred Revenue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Accounts receivable-unbilled represents the following: 1) revenue earned and recognized on contracts accounted for using the proportional performance method for which invoices have not been generated or contractual billing dates have not been reached; and 2) the difference between billings for contracts containing escalated pricing over the term of the agreement and the recognition of revenue ratably over the subscription period. Deferred revenue represents amounts, which have been billed or collected, but not yet recognized in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estimates its allowance for doubtful accounts using a specific identification method. Management determines the allowance for doubtful accounts on a case-by-case basis, based on the facts and circumstances surrounding each potentially uncollectible receivable. An allowance is also maintained for accounts that are not specifically identified that may become uncollectible in the future. Uncollectible receivables are written-off in the period management believes it has exhausted every opportunity to collect payment from the customer. Bad debt expense is recorded when events or circumstances indicate an additional allowance is required based on our specific identification approach.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allowance for doubtful accounts and the amounts charged to bad debt expense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Allowance Balance</w:t>
            </w:r>
          </w:p>
        </w:tc>
        <w:tc>
          <w:tcPr>
            <w:tcW w:w="420" w:type="dxa"/>
            <w:vAlign w:val="bottom"/>
          </w:tcPr>
          <w:p>
            <w:pPr>
              <w:spacing w:after="0"/>
              <w:rPr>
                <w:sz w:val="14"/>
                <w:szCs w:val="14"/>
                <w:color w:val="auto"/>
              </w:rPr>
            </w:pPr>
          </w:p>
        </w:tc>
        <w:tc>
          <w:tcPr>
            <w:tcW w:w="13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9"/>
              </w:rPr>
              <w:t>Charged to Costs</w:t>
            </w: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Allowance Balance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at Beginning of</w:t>
            </w:r>
          </w:p>
        </w:tc>
        <w:tc>
          <w:tcPr>
            <w:tcW w:w="4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Write-offs</w:t>
            </w:r>
          </w:p>
        </w:tc>
        <w:tc>
          <w:tcPr>
            <w:tcW w:w="4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6"/>
              </w:rPr>
              <w:t>Period</w:t>
            </w:r>
          </w:p>
        </w:tc>
        <w:tc>
          <w:tcPr>
            <w:tcW w:w="420" w:type="dxa"/>
            <w:vAlign w:val="bottom"/>
          </w:tcPr>
          <w:p>
            <w:pPr>
              <w:spacing w:after="0"/>
              <w:rPr>
                <w:sz w:val="14"/>
                <w:szCs w:val="14"/>
                <w:color w:val="auto"/>
              </w:rPr>
            </w:pPr>
          </w:p>
        </w:tc>
        <w:tc>
          <w:tcPr>
            <w:tcW w:w="130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and Expenses</w:t>
            </w:r>
          </w:p>
        </w:tc>
        <w:tc>
          <w:tcPr>
            <w:tcW w:w="42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at End of Period</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jc w:val="right"/>
              <w:ind w:right="3030"/>
              <w:spacing w:after="0"/>
              <w:rPr>
                <w:sz w:val="20"/>
                <w:szCs w:val="20"/>
                <w:color w:val="auto"/>
              </w:rPr>
            </w:pPr>
            <w:r>
              <w:rPr>
                <w:rFonts w:ascii="Arial" w:cs="Arial" w:eastAsia="Arial" w:hAnsi="Arial"/>
                <w:sz w:val="18"/>
                <w:szCs w:val="18"/>
                <w:color w:val="auto"/>
                <w:w w:val="87"/>
              </w:rPr>
              <w:t>Year ended December 31,</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tcPr>
          <w:p>
            <w:pPr>
              <w:jc w:val="right"/>
              <w:ind w:right="4310"/>
              <w:spacing w:after="0"/>
              <w:rPr>
                <w:sz w:val="20"/>
                <w:szCs w:val="20"/>
                <w:color w:val="auto"/>
              </w:rPr>
            </w:pPr>
            <w:r>
              <w:rPr>
                <w:rFonts w:ascii="Arial" w:cs="Arial" w:eastAsia="Arial" w:hAnsi="Arial"/>
                <w:sz w:val="18"/>
                <w:szCs w:val="18"/>
                <w:color w:val="auto"/>
              </w:rPr>
              <w:t>2008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4"/>
              <w:spacing w:after="0"/>
              <w:rPr>
                <w:sz w:val="20"/>
                <w:szCs w:val="20"/>
                <w:color w:val="auto"/>
              </w:rPr>
            </w:pPr>
            <w:r>
              <w:rPr>
                <w:rFonts w:ascii="Arial" w:cs="Arial" w:eastAsia="Arial" w:hAnsi="Arial"/>
                <w:sz w:val="18"/>
                <w:szCs w:val="18"/>
                <w:color w:val="auto"/>
              </w:rPr>
              <w:t>72,895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w w:val="89"/>
              </w:rPr>
              <w:t>130,000</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$96,353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w w:val="86"/>
              </w:rPr>
              <w:t>106,542</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jc w:val="right"/>
              <w:ind w:right="4310"/>
              <w:spacing w:after="0"/>
              <w:rPr>
                <w:sz w:val="20"/>
                <w:szCs w:val="20"/>
                <w:color w:val="auto"/>
              </w:rPr>
            </w:pPr>
            <w:r>
              <w:rPr>
                <w:rFonts w:ascii="Arial" w:cs="Arial" w:eastAsia="Arial" w:hAnsi="Arial"/>
                <w:sz w:val="18"/>
                <w:szCs w:val="18"/>
                <w:color w:val="auto"/>
              </w:rPr>
              <w:t>2007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w w:val="86"/>
              </w:rPr>
              <w:t>112,234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30,000</w:t>
            </w:r>
          </w:p>
        </w:tc>
        <w:tc>
          <w:tcPr>
            <w:tcW w:w="14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$69,339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72,895</w:t>
            </w:r>
          </w:p>
        </w:tc>
        <w:tc>
          <w:tcPr>
            <w:tcW w:w="0" w:type="dxa"/>
            <w:vAlign w:val="bottom"/>
          </w:tcPr>
          <w:p>
            <w:pPr>
              <w:spacing w:after="0"/>
              <w:rPr>
                <w:sz w:val="1"/>
                <w:szCs w:val="1"/>
                <w:color w:val="auto"/>
              </w:rPr>
            </w:pPr>
          </w:p>
        </w:tc>
      </w:tr>
      <w:tr>
        <w:trPr>
          <w:trHeight w:val="230"/>
        </w:trPr>
        <w:tc>
          <w:tcPr>
            <w:tcW w:w="4980" w:type="dxa"/>
            <w:vAlign w:val="bottom"/>
          </w:tcPr>
          <w:p>
            <w:pPr>
              <w:jc w:val="right"/>
              <w:ind w:right="4310"/>
              <w:spacing w:after="0"/>
              <w:rPr>
                <w:sz w:val="20"/>
                <w:szCs w:val="20"/>
                <w:color w:val="auto"/>
              </w:rPr>
            </w:pPr>
            <w:r>
              <w:rPr>
                <w:rFonts w:ascii="Arial" w:cs="Arial" w:eastAsia="Arial" w:hAnsi="Arial"/>
                <w:sz w:val="18"/>
                <w:szCs w:val="18"/>
                <w:color w:val="auto"/>
              </w:rPr>
              <w:t>2006</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4"/>
              <w:spacing w:after="0"/>
              <w:rPr>
                <w:sz w:val="20"/>
                <w:szCs w:val="20"/>
                <w:color w:val="auto"/>
              </w:rPr>
            </w:pPr>
            <w:r>
              <w:rPr>
                <w:rFonts w:ascii="Arial" w:cs="Arial" w:eastAsia="Arial" w:hAnsi="Arial"/>
                <w:sz w:val="18"/>
                <w:szCs w:val="18"/>
                <w:color w:val="auto"/>
                <w:w w:val="86"/>
              </w:rPr>
              <w:t>115,090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15,000</w:t>
            </w:r>
          </w:p>
        </w:tc>
        <w:tc>
          <w:tcPr>
            <w:tcW w:w="1440" w:type="dxa"/>
            <w:vAlign w:val="bottom"/>
            <w:gridSpan w:val="2"/>
          </w:tcPr>
          <w:p>
            <w:pPr>
              <w:ind w:left="600"/>
              <w:spacing w:after="0"/>
              <w:rPr>
                <w:sz w:val="20"/>
                <w:szCs w:val="20"/>
                <w:color w:val="auto"/>
              </w:rPr>
            </w:pPr>
            <w:r>
              <w:rPr>
                <w:rFonts w:ascii="Arial" w:cs="Arial" w:eastAsia="Arial" w:hAnsi="Arial"/>
                <w:sz w:val="18"/>
                <w:szCs w:val="18"/>
                <w:color w:val="auto"/>
              </w:rPr>
              <w:t>$17,856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w w:val="86"/>
              </w:rPr>
              <w:t>112,234</w:t>
            </w:r>
          </w:p>
        </w:tc>
        <w:tc>
          <w:tcPr>
            <w:tcW w:w="0" w:type="dxa"/>
            <w:vAlign w:val="bottom"/>
          </w:tcPr>
          <w:p>
            <w:pPr>
              <w:spacing w:after="0"/>
              <w:rPr>
                <w:sz w:val="1"/>
                <w:szCs w:val="1"/>
                <w:color w:val="auto"/>
              </w:rPr>
            </w:pPr>
          </w:p>
        </w:tc>
      </w:tr>
      <w:tr>
        <w:trPr>
          <w:trHeight w:val="391"/>
        </w:trPr>
        <w:tc>
          <w:tcPr>
            <w:tcW w:w="4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jc w:val="right"/>
              <w:ind w:right="474"/>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Capitalized Software Feature Enhancements</w:t>
      </w:r>
    </w:p>
    <w:p>
      <w:pPr>
        <w:ind w:right="100"/>
        <w:spacing w:after="0" w:line="255" w:lineRule="auto"/>
        <w:rPr>
          <w:sz w:val="20"/>
          <w:szCs w:val="20"/>
          <w:color w:val="auto"/>
        </w:rPr>
      </w:pPr>
      <w:r>
        <w:rPr>
          <w:rFonts w:ascii="Arial" w:cs="Arial" w:eastAsia="Arial" w:hAnsi="Arial"/>
          <w:sz w:val="18"/>
          <w:szCs w:val="18"/>
          <w:color w:val="auto"/>
        </w:rPr>
        <w:t>We account for capitalized software feature enhancements in accordance with SOP 98-1 “Accounting for the Costs of Computer Software Developed or Obtained for Internal Use.” Capitalized software feature enhancements are stated on the basis of cost, and are presented net of accumulated amortization. We capitalize costs incurred during the development phase for such projects when such costs are material. These assets are amortized using the straight-line method, generally over one to four years. The Company capitalized approximately $1.0 million and $2.6 million during 2008 and 2007, respectively. Maintenance and operating costs are expensed as incurred. As of December 31, 2008 and 2007, we had no capitalized internal development costs for computer software developed for resale.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Property and equipment are stated on the basis of cost. Depreciation and amortization are provided on the straight-line method over the following estimated useful lives, except for assets under capital leases and leasehold improvements, which are amortized over the shorter of the estimated useful life or their respective lease term.</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4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680" w:type="dxa"/>
            <w:vAlign w:val="bottom"/>
          </w:tcPr>
          <w:p>
            <w:pPr>
              <w:jc w:val="right"/>
              <w:ind w:right="36"/>
              <w:spacing w:after="0" w:line="195" w:lineRule="exact"/>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10640" w:type="dxa"/>
            <w:vAlign w:val="bottom"/>
          </w:tcPr>
          <w:p>
            <w:pPr>
              <w:spacing w:after="0"/>
              <w:rPr>
                <w:sz w:val="20"/>
                <w:szCs w:val="20"/>
                <w:color w:val="auto"/>
              </w:rPr>
            </w:pPr>
            <w:r>
              <w:rPr>
                <w:rFonts w:ascii="Arial" w:cs="Arial" w:eastAsia="Arial" w:hAnsi="Arial"/>
                <w:sz w:val="18"/>
                <w:szCs w:val="18"/>
                <w:color w:val="auto"/>
              </w:rPr>
              <w:t>Equipment</w:t>
            </w:r>
          </w:p>
        </w:tc>
        <w:tc>
          <w:tcPr>
            <w:tcW w:w="680" w:type="dxa"/>
            <w:vAlign w:val="bottom"/>
          </w:tcPr>
          <w:p>
            <w:pPr>
              <w:jc w:val="right"/>
              <w:ind w:right="96"/>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Goodwill represents the excess of purchase price over fair value of net tangible assets acquired. We account for goodwill and intangible assets in accordance with Statement of Financial Accounting Standards (SFAS) No. 142, “Goodwill and Other Intangible Assets.” We measure goodwill for impairment at the reporting unit level using both income and market based models to determine the fair value of the reporting units. We will perform our goodwill impairment test whenever events or changes in facts or circumstances indicate that impairment may exist, or at least annually during the fourth quarter each year.</w:t>
      </w:r>
    </w:p>
    <w:p>
      <w:pPr>
        <w:spacing w:after="0" w:line="4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Intangible assets acquired through acquisitions are comprised of content, contract rights, customer relationships, non-competition agreements and favorable lease rights. As of December 31, 2008 intangible assets with remaining unamortized balances include contract rights, customer relationships and non-competition agreements recorded in connection with the acquisitions of The Jackson Organization, Research Consultants, Inc. (TJO) and Data Management and Research, Inc. (DMR). Intangible assets are considered to have definite useful lives and are being amortized on a straight line basis over the expected periods to be benefited, generally three to five years for content, two to eight years for contract rights, customer lists and customer relationships, six months to four years for non-competition agreements, and over the lease term for favorable lease rights. Our weighted average amortization period for definite lived intangible assets as of December 31, 2008 is 7.7 years. Intangible assets are reviewed for impairment whenever events or changes in facts or circumstances indicate that the carrying amount of the assets may not be recoverable. There were no impairments identified or recorded for the years ended December 31, 2008, 2007, or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account for assets of a long term nature (“long-lived assets”) in accordance with SFAS No. 144, “Accounting for the Impairment or Disposal of Long-Lived Assets,” which requires that companies consider whether events or changes in facts and circumstances, both internally and externally, may indicate that an impairment of long-lived assets held for use are present. We measure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the carrying value of long-lived assets, including property and equipment, capitalized software feature enhancements, other assets and intangible assets. There were no impairments identified or recorded for the years ended December 31, 2008, 2007, or 2006.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assets are comprised of the long term portion of content development fees and other assets of a long term nature.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580" w:firstLine="8"/>
        <w:spacing w:after="0" w:line="378" w:lineRule="auto"/>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Income Taxes</w:t>
      </w:r>
    </w:p>
    <w:p>
      <w:pPr>
        <w:spacing w:after="0" w:line="287" w:lineRule="auto"/>
        <w:rPr>
          <w:sz w:val="20"/>
          <w:szCs w:val="20"/>
          <w:color w:val="auto"/>
        </w:rPr>
      </w:pPr>
      <w:r>
        <w:rPr>
          <w:rFonts w:ascii="Arial" w:cs="Arial" w:eastAsia="Arial" w:hAnsi="Arial"/>
          <w:sz w:val="16"/>
          <w:szCs w:val="16"/>
          <w:color w:val="auto"/>
        </w:rPr>
        <w:t>Income taxes have been provided using the liability method in accordance with SFAS No. 109, “Accounting for Income Taxes.” Under the liability method,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Under SFAS No. 109, all available evidence, both positive and negative, should be considered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SFAS No. 109 identifies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deferred tax assets each period and has established a valuation allowance for the portion of its net deferred tax assets that are not more likely than not expected to be realized.</w:t>
      </w:r>
    </w:p>
    <w:p>
      <w:pPr>
        <w:spacing w:after="0" w:line="6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Company accounts for income tax uncertainties under the provisions of FASB Interpretation No. 48, “Accounting for Uncertainty in Income Taxes — an interpretation of FASB Statement No. 109” (“FIN 48”). This Interpretation clarifies the accounting for uncertainty in income taxes recognized in the financial statements, and requires companies to use a more-likely-than-not recognition threshold based on the technical merits of the tax position taken. Tax positions that meet the more-likely-than-not recognition threshold should be measured in order to determine the tax benefit to be recognized in the financial statements. The Company expenses any penalties or interest associated with tax obligations as general and administrative expenses and interest expense,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Support Liabilities</w:t>
      </w:r>
    </w:p>
    <w:p>
      <w:pPr>
        <w:spacing w:after="0" w:line="12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Commercial support liabilities represent grant funds received from entities supporting educational activities, such as live events, in which we are the accredited provider. The funds are unrestricted, and are primarily used to pay for expenses associated with conducting the event.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 for Service Credits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maintain an accrual for service credits that may occur from our Internet-based learning products. The accrual is estimated using management’s judgment and analysis of potential risk of loss associated with downtime, system performance, or other contractual obligations associated with our hosted applications. At December 31, 2008, and 2007, the accrual for service credits balance was approximately $345,000 and $394,000, respectively, and is included on the accompanying consolidated balance sheets under the caption “accrued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expense the costs of advertising as incurred in accordance with SOP 93-7, “Reporting on Advertising Costs.” Advertising expense for the years ended December 31, 2008, 2007, and 2006 was approximately $284,000, $226,000, and $329,000,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that are associated with our products and services are included in cost of revenues.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00" w:firstLine="8"/>
        <w:spacing w:after="0" w:line="378" w:lineRule="auto"/>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Product Development Costs</w:t>
      </w:r>
    </w:p>
    <w:p>
      <w:pPr>
        <w:spacing w:after="0" w:line="271" w:lineRule="auto"/>
        <w:rPr>
          <w:sz w:val="20"/>
          <w:szCs w:val="20"/>
          <w:color w:val="auto"/>
        </w:rPr>
      </w:pPr>
      <w:r>
        <w:rPr>
          <w:rFonts w:ascii="Arial" w:cs="Arial" w:eastAsia="Arial" w:hAnsi="Arial"/>
          <w:sz w:val="17"/>
          <w:szCs w:val="17"/>
          <w:color w:val="auto"/>
        </w:rPr>
        <w:t>Product development costs include internal and external costs to develop and convert content for our Internet-based learning products. We account for these assets in accordance with EITF Issue No. 00-2 “Accounting for Web Site Development Costs.” We capitalize the cost of content developed by third parties where the life expectancy is greater than one year and the anticipated cash flows from such content is expected to exceed its cost. The Company capitalized approximately $85,000 and $317,000 of content development costs during 2008 and 2007, respectively. Capitalized content development costs are included in the accompanying consolidated balance sheets under the captions “prepaid development fees” and “other assets.” We amortize content development over its expected life, which is generally one to three years. Content development costs that have been capitalized are subject to a periodic impairment review in accordance with our policy. We did not capitalize any internal web site development costs during 2008 or 2007, since the costs incurred were related to planning or operation of such products and sites.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Per Share</w:t>
      </w:r>
    </w:p>
    <w:p>
      <w:pPr>
        <w:spacing w:after="0" w:line="12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compute net income per share in accordance with SFAS No. 128, “Earnings Per Share.” Under the provisions of Statement 128, basic net income per share is computed by dividing the net income available to common shareholders for the period by the weighted 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to the extent these shares are dilutive. Common equivalent shares that have an anti-dilutive effect on diluted net income per share have been excluded from the calculation of diluted weighted average shares outstanding for the years ended December 31, 2008, 2007, and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 and Significant Customers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place our temporary excess cash investments in high quality, short-term money market instruments. At times, such investments may be in excess of the FDIC insurance limits.</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sell our products and services to various companies in the healthcare industry that are located in the United States. We perform ongoing credit evaluations of our customers’ financial condition and generally require no collateral from customers. We did not have any single customer representing over 10% of net revenues during 2008 or 2007. We had one significant customer who comprised approximately 11%, or $3.5 million, of net revenues during 2006.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adopted SFAS No. 123(R), “Share-Based Payment” on January 1, 2006 and implemented it using the modified prospective method for transition purposes. As of December 31, 2008, the Company has two stock based compensation plans, which are described in Note 10. The Company accounts for stock based compensation in accordance with SFAS No. 123(R). We use the Black Scholes option pricing model for calculating the fair value of awards issued under our stock based compensation plans. Stock based compensation cost is measured at the grant date, based on the fair value of the award that is ultimately expected to vest, and is recognized as an expense over the requisite service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 for financial instruments: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The carrying amounts approximate the fair value because of the short-term maturity or short-term nature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Accounts receivable, accounts receivable-unbilled, interest receivable, accounts payable, accrued liabilities and deferred revenue: </w:t>
      </w:r>
      <w:r>
        <w:rPr>
          <w:rFonts w:ascii="Arial" w:cs="Arial" w:eastAsia="Arial" w:hAnsi="Arial"/>
          <w:sz w:val="18"/>
          <w:szCs w:val="18"/>
          <w:color w:val="auto"/>
        </w:rPr>
        <w:t>The carrying amounts,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any allowance for doubtful accounts, approximate the fair value because of the short-term nature of such instruments.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Investments in marketable securities: </w:t>
      </w:r>
      <w:r>
        <w:rPr>
          <w:rFonts w:ascii="Arial" w:cs="Arial" w:eastAsia="Arial" w:hAnsi="Arial"/>
          <w:sz w:val="18"/>
          <w:szCs w:val="18"/>
          <w:color w:val="auto"/>
        </w:rPr>
        <w:t>The carrying amounts approximate the fair value based on quoted market prices.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Promissory note: </w:t>
      </w:r>
      <w:r>
        <w:rPr>
          <w:rFonts w:ascii="Arial" w:cs="Arial" w:eastAsia="Arial" w:hAnsi="Arial"/>
          <w:sz w:val="17"/>
          <w:szCs w:val="17"/>
          <w:color w:val="auto"/>
        </w:rPr>
        <w:t>The carrying amount approximates fair value based on current market rates for similar arrangements available to the Company.</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ind w:right="5620" w:firstLine="8"/>
        <w:spacing w:after="0" w:line="378" w:lineRule="auto"/>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 Newly Issued Accounting Standards</w:t>
      </w:r>
    </w:p>
    <w:p>
      <w:pPr>
        <w:ind w:right="60"/>
        <w:spacing w:after="0" w:line="291" w:lineRule="auto"/>
        <w:rPr>
          <w:sz w:val="20"/>
          <w:szCs w:val="20"/>
          <w:color w:val="auto"/>
        </w:rPr>
      </w:pPr>
      <w:r>
        <w:rPr>
          <w:rFonts w:ascii="Arial" w:cs="Arial" w:eastAsia="Arial" w:hAnsi="Arial"/>
          <w:sz w:val="16"/>
          <w:szCs w:val="16"/>
          <w:color w:val="auto"/>
        </w:rPr>
        <w:t>In December 2007, the FASB issued SFAS No. 141(R), “Business Combinations” (“SFAS No. 141(R)”). SFAS No. 141(R) establishes principles and requirements for how an acquirer recognizes and measures in its financial statements the identifiable assets acquired, the liabilities assumed, contractual contingencies, any noncontrolling interest in the acquiree and the goodwill acquired. SFAS No. 141(R) changes the accounting for acquisition-related restructuring cost accruals and the recognition of changes in the acquirer’s income tax valuation allowance, and no longer permits the capitalization of certain acquisition costs. In addition the Statement establishes disclosure requirements to enable the evaluation of the nature and financial effects of the business combination. SFAS No. 141(R) is effective prospectively, except for certain retrospective adjustments to deferred tax balances. The Company’s consolidated financial statements will be impacted by SFAS 141(R) in relation to business combination activities subsequent to January 1, 2009.</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No. 160 also establishes disclosure requirements that clearly identify and distinguish between the interests of the parent and the interests of the noncontrolling owners. This statement is effective beginning January 1, 2009 for the Company. Management does not anticipate that adoption of this new standard will have a material effect on the Company’s financial position, results of operations, or cash flows.</w:t>
      </w:r>
    </w:p>
    <w:p>
      <w:pPr>
        <w:spacing w:after="0" w:line="8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April 2008, FASB Staff Position SFAS 142-3, “Determination of the Useful Life of Intangible Assets” (“FSP No. 142-3”), was issued. FSP 142-3 amends the factors that should be considered in developing renewal or extension assumptions used to determine the useful life of a recognized intangible asset under SFAS No. 142, “Goodwill and Other Intangible Assets.” The adoption of FSP 142-3 is effective beginning January 1, 2009 for the Company. Management does not anticipate the adoption of this new standard will have a material effect on the Company’s financial position, results of operations, or cash flows.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March 12, 2007, the Company acquired all of the stock of The Jackson Organization, Research Consultants, Inc. (TJO). Consideration paid to the seller of TJO included approximately $11.5 million in cash and 252,616 shares of our common stock. The Company also incurred direct, incremental expenses associated with the acquisition of approximately $690,000, which are included in the table below in “purchase price in excess of net tangible assets acquired” and “cash paid.” Total cash paid of $12.2 million includes cash paid for TJO and direct expenses associated with the acquisition. The allocation of purchase price is as follows:</w:t>
      </w:r>
    </w:p>
    <w:p>
      <w:pPr>
        <w:sectPr>
          <w:pgSz w:w="11900" w:h="16838" w:orient="portrait"/>
          <w:cols w:equalWidth="0" w:num="1">
            <w:col w:w="11420"/>
          </w:cols>
          <w:pgMar w:left="240" w:top="419"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Estimated fair value of liabilities assumed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in excess of net tangible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fair value of stock issued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cash acquired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paid for acquisition, including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purchase price in excess of the net tangible assets acquired was allocated as follows: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6" w:hanging="206"/>
        <w:spacing w:after="0"/>
        <w:tabs>
          <w:tab w:leader="none" w:pos="206" w:val="left"/>
        </w:tabs>
        <w:numPr>
          <w:ilvl w:val="0"/>
          <w:numId w:val="19"/>
        </w:numPr>
        <w:rPr>
          <w:rFonts w:ascii="Arial" w:cs="Arial" w:eastAsia="Arial" w:hAnsi="Arial"/>
          <w:sz w:val="17"/>
          <w:szCs w:val="17"/>
          <w:color w:val="auto"/>
        </w:rPr>
      </w:pPr>
      <w:r>
        <w:rPr>
          <w:rFonts w:ascii="Arial" w:cs="Arial" w:eastAsia="Arial" w:hAnsi="Arial"/>
          <w:sz w:val="17"/>
          <w:szCs w:val="17"/>
          <w:color w:val="auto"/>
        </w:rPr>
        <w:t>2,856,480</w:t>
      </w:r>
    </w:p>
    <w:p>
      <w:pPr>
        <w:spacing w:after="0" w:line="34" w:lineRule="exact"/>
        <w:rPr>
          <w:rFonts w:ascii="Arial" w:cs="Arial" w:eastAsia="Arial" w:hAnsi="Arial"/>
          <w:sz w:val="17"/>
          <w:szCs w:val="17"/>
          <w:color w:val="auto"/>
        </w:rPr>
      </w:pPr>
    </w:p>
    <w:p>
      <w:pPr>
        <w:ind w:left="146"/>
        <w:spacing w:after="0"/>
        <w:rPr>
          <w:rFonts w:ascii="Arial" w:cs="Arial" w:eastAsia="Arial" w:hAnsi="Arial"/>
          <w:sz w:val="17"/>
          <w:szCs w:val="17"/>
          <w:color w:val="auto"/>
        </w:rPr>
      </w:pPr>
      <w:r>
        <w:rPr>
          <w:rFonts w:ascii="Arial" w:cs="Arial" w:eastAsia="Arial" w:hAnsi="Arial"/>
          <w:sz w:val="16"/>
          <w:szCs w:val="16"/>
          <w:color w:val="auto"/>
        </w:rPr>
        <w:t>(4,410,215)</w:t>
      </w:r>
    </w:p>
    <w:p>
      <w:pPr>
        <w:spacing w:after="0" w:line="32" w:lineRule="exact"/>
        <w:rPr>
          <w:rFonts w:ascii="Arial" w:cs="Arial" w:eastAsia="Arial" w:hAnsi="Arial"/>
          <w:sz w:val="17"/>
          <w:szCs w:val="17"/>
          <w:color w:val="auto"/>
        </w:rPr>
      </w:pPr>
    </w:p>
    <w:p>
      <w:pPr>
        <w:ind w:left="106"/>
        <w:spacing w:after="0"/>
        <w:rPr>
          <w:rFonts w:ascii="Arial" w:cs="Arial" w:eastAsia="Arial" w:hAnsi="Arial"/>
          <w:sz w:val="17"/>
          <w:szCs w:val="17"/>
          <w:color w:val="auto"/>
        </w:rPr>
      </w:pPr>
      <w:r>
        <w:rPr>
          <w:rFonts w:ascii="Arial" w:cs="Arial" w:eastAsia="Arial" w:hAnsi="Arial"/>
          <w:sz w:val="17"/>
          <w:szCs w:val="17"/>
          <w:color w:val="auto"/>
        </w:rPr>
        <w:t>14,704,471</w:t>
      </w:r>
    </w:p>
    <w:p>
      <w:pPr>
        <w:spacing w:after="0" w:line="20" w:lineRule="exact"/>
        <w:rPr>
          <w:rFonts w:ascii="Arial" w:cs="Arial" w:eastAsia="Arial" w:hAnsi="Arial"/>
          <w:sz w:val="17"/>
          <w:szCs w:val="17"/>
          <w:color w:val="auto"/>
        </w:rPr>
      </w:pPr>
    </w:p>
    <w:p>
      <w:pPr>
        <w:ind w:left="266"/>
        <w:spacing w:after="0"/>
        <w:rPr>
          <w:rFonts w:ascii="Arial" w:cs="Arial" w:eastAsia="Arial" w:hAnsi="Arial"/>
          <w:sz w:val="17"/>
          <w:szCs w:val="17"/>
          <w:color w:val="auto"/>
        </w:rPr>
      </w:pPr>
      <w:r>
        <w:rPr>
          <w:rFonts w:ascii="Arial" w:cs="Arial" w:eastAsia="Arial" w:hAnsi="Arial"/>
          <w:sz w:val="16"/>
          <w:szCs w:val="16"/>
          <w:color w:val="auto"/>
        </w:rPr>
        <w:t>(960,170)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5829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12,190,566</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(97,094)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5829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 w:lineRule="exact"/>
        <w:rPr>
          <w:sz w:val="20"/>
          <w:szCs w:val="20"/>
          <w:color w:val="auto"/>
        </w:rPr>
      </w:pPr>
    </w:p>
    <w:p>
      <w:pPr>
        <w:ind w:left="6"/>
        <w:spacing w:after="0"/>
        <w:rPr>
          <w:sz w:val="20"/>
          <w:szCs w:val="20"/>
          <w:color w:val="auto"/>
        </w:rPr>
      </w:pPr>
      <w:r>
        <w:rPr>
          <w:rFonts w:ascii="Arial" w:cs="Arial" w:eastAsia="Arial" w:hAnsi="Arial"/>
          <w:sz w:val="17"/>
          <w:szCs w:val="17"/>
          <w:u w:val="single" w:color="auto"/>
          <w:color w:val="auto"/>
        </w:rPr>
        <w:t>$12,093,472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5829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9674" w:space="720"/>
            <w:col w:w="1026"/>
          </w:cols>
          <w:pgMar w:left="240" w:top="419" w:right="2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$10,829,471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Customer related intangibles (estimated life of eight years)</w:t>
            </w:r>
          </w:p>
        </w:tc>
        <w:tc>
          <w:tcPr>
            <w:tcW w:w="4100" w:type="dxa"/>
            <w:vAlign w:val="bottom"/>
          </w:tcPr>
          <w:p>
            <w:pPr>
              <w:jc w:val="right"/>
              <w:ind w:right="10"/>
              <w:spacing w:after="0"/>
              <w:rPr>
                <w:sz w:val="20"/>
                <w:szCs w:val="20"/>
                <w:color w:val="auto"/>
              </w:rPr>
            </w:pPr>
            <w:r>
              <w:rPr>
                <w:rFonts w:ascii="Arial" w:cs="Arial" w:eastAsia="Arial" w:hAnsi="Arial"/>
                <w:sz w:val="18"/>
                <w:szCs w:val="18"/>
                <w:color w:val="auto"/>
              </w:rPr>
              <w:t>3,575,000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 (estimated life of four years)</w:t>
            </w:r>
          </w:p>
        </w:tc>
        <w:tc>
          <w:tcPr>
            <w:tcW w:w="4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for TJO have been included in the Company’s statement of income beginning March 13, 2007.</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COMBINATION (continued)</w:t>
      </w:r>
    </w:p>
    <w:p>
      <w:pPr>
        <w:spacing w:after="0" w:line="12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following unaudited combined results of operations for the year ended December 31, 2007 give effect to the operations of TJO as if the acquisition had occurred as of January 1, 2007. These unaudited combined results of operations include certain adjustments arising from the acquisition such as adjustments for TJO shareholder compensation, amortization of intangible assets, elimination of acquisition costs incurred by TJO, and the elimination of interest income associated with cash paid for TJO by the Company. The pro forma combined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46,499,403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4,366,948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0"/>
        </w:trPr>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10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8920" w:firstLine="8"/>
        <w:spacing w:after="0" w:line="378" w:lineRule="auto"/>
        <w:tabs>
          <w:tab w:leader="none" w:pos="1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Common Stock</w:t>
      </w:r>
    </w:p>
    <w:p>
      <w:pPr>
        <w:spacing w:after="0" w:line="259" w:lineRule="auto"/>
        <w:rPr>
          <w:sz w:val="20"/>
          <w:szCs w:val="20"/>
          <w:color w:val="auto"/>
        </w:rPr>
      </w:pPr>
      <w:r>
        <w:rPr>
          <w:rFonts w:ascii="Arial" w:cs="Arial" w:eastAsia="Arial" w:hAnsi="Arial"/>
          <w:sz w:val="18"/>
          <w:szCs w:val="18"/>
          <w:color w:val="auto"/>
        </w:rPr>
        <w:t>We are authorized to issue up to 75 million shares of common stock. The number of common shares issued and outstanding as of December 31, 2008 and 2007 was 21,382,055 and 22,315,485, respectively. During September 2007, our Board of Directors authorized the Company to purchase up to $3.0 million of its common stock over a one year period. During 2008, we completed the stock repurchase plan resulting in a cumulative total of 1,119,900 shares purchased at an average price of $2.68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 During 2000, all outstanding shares of preferred stock were converted into common stock in connection with our initial public offering (IPO). There have been no shares of preferred stock outstanding since our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connection with a distribution agreement we entered into during 1999, we provided a business partner with a warrant to purchase 245,032 shares of our common stock at $4.06 per share. The warrant expires in June 2009, and no portion of the stock warrant has been exercised as of December 31, 2008.</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2,854,795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4,087,209</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2,499,680</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20"/>
              <w:spacing w:after="0"/>
              <w:rPr>
                <w:sz w:val="20"/>
                <w:szCs w:val="20"/>
                <w:color w:val="auto"/>
              </w:rPr>
            </w:pPr>
            <w:r>
              <w:rPr>
                <w:rFonts w:ascii="Arial" w:cs="Arial" w:eastAsia="Arial" w:hAnsi="Arial"/>
                <w:sz w:val="18"/>
                <w:szCs w:val="18"/>
                <w:color w:val="auto"/>
              </w:rPr>
              <w:t>Weighted-average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21,707,364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21,998,845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21,576,553</w:t>
            </w:r>
          </w:p>
        </w:tc>
        <w:tc>
          <w:tcPr>
            <w:tcW w:w="0" w:type="dxa"/>
            <w:vAlign w:val="bottom"/>
          </w:tcPr>
          <w:p>
            <w:pPr>
              <w:spacing w:after="0"/>
              <w:rPr>
                <w:sz w:val="1"/>
                <w:szCs w:val="1"/>
                <w:color w:val="auto"/>
              </w:rPr>
            </w:pPr>
          </w:p>
        </w:tc>
      </w:tr>
      <w:tr>
        <w:trPr>
          <w:trHeight w:val="223"/>
        </w:trPr>
        <w:tc>
          <w:tcPr>
            <w:tcW w:w="7280" w:type="dxa"/>
            <w:vAlign w:val="bottom"/>
          </w:tcPr>
          <w:p>
            <w:pPr>
              <w:ind w:left="22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496,950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702,151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22,204,314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22,700,996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22,358,648</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 the years ended December 31, 2008, 2007, and 2006, the calculation of weighted average and equivalent shares excluded options and warrants that were anti-dilutive. The equivalent common shares related to such options and warrants were 1,913,082 in 2008, 1,915,641 in 2007, and 1,964,460 in 2006.</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account for goodwill under the provisions of Statement 142, which specifies the approach and timing for evaluating impairment of intangible assets, and also requires that goodwill be tested for impairment at least annually using a fair value method. We test goodwill for impairment using both income and market based models.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additional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 During our annual impairment evaluation in the fourth quarter of 2008 and 2007, the results of our goodwill impairment analysis indicated the fair value of our reporting units exceeded their carrying values. Therefore no impairment existed at December 31, 2008 and 2007.</w:t>
      </w:r>
    </w:p>
    <w:p>
      <w:pPr>
        <w:spacing w:after="0" w:line="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On March 12, 2007 we acquired TJO. We recorded goodwill of $10,829,471 in connection with this acquisition. The changes in the carrying amount of goodwill for the years ended December 31, 2008 and 2007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Learning</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Research</w:t>
            </w:r>
          </w:p>
        </w:tc>
        <w:tc>
          <w:tcPr>
            <w:tcW w:w="660" w:type="dxa"/>
            <w:vAlign w:val="bottom"/>
          </w:tcPr>
          <w:p>
            <w:pPr>
              <w:spacing w:after="0"/>
              <w:rPr>
                <w:sz w:val="14"/>
                <w:szCs w:val="1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4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$ 3,306,688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3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$ 3,306,688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Learning</w:t>
            </w: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Research</w:t>
            </w:r>
          </w:p>
        </w:tc>
        <w:tc>
          <w:tcPr>
            <w:tcW w:w="660" w:type="dxa"/>
            <w:vAlign w:val="bottom"/>
          </w:tcPr>
          <w:p>
            <w:pPr>
              <w:spacing w:after="0"/>
              <w:rPr>
                <w:sz w:val="24"/>
                <w:szCs w:val="24"/>
                <w:color w:val="auto"/>
              </w:rPr>
            </w:pPr>
          </w:p>
        </w:tc>
        <w:tc>
          <w:tcPr>
            <w:tcW w:w="9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46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$ 3,306,688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7,010,705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3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10,829,471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10,829,471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3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$ 3,306,688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17,840,176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21,146,864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140" w:type="dxa"/>
            <w:vAlign w:val="bottom"/>
            <w:vMerge w:val="restart"/>
          </w:tcPr>
          <w:p>
            <w:pPr>
              <w:jc w:val="right"/>
              <w:ind w:right="1450"/>
              <w:spacing w:after="0"/>
              <w:rPr>
                <w:sz w:val="20"/>
                <w:szCs w:val="20"/>
                <w:color w:val="auto"/>
              </w:rPr>
            </w:pPr>
            <w:r>
              <w:rPr>
                <w:rFonts w:ascii="Arial" w:cs="Arial" w:eastAsia="Arial" w:hAnsi="Arial"/>
                <w:sz w:val="18"/>
                <w:szCs w:val="18"/>
                <w:color w:val="auto"/>
              </w:rPr>
              <w:t>43</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All intangible assets have been evaluated in accordance with Statement 142 and are considered to have finite useful lives. Customer related intangible assets include contract rights, customer lists, and customer relationships associated with our acquisitions of DMR and TJO. Other intangible assets include non-competition agreements associated with the same acquired entities. The intangibles are being amortized over their estimated useful lives, ranging from one to eight years. Amortization of intangible assets was approximately $967,000, $926,000, and $508,000 for the years ended December 31, 2008, 2007 and 2006,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As of December 31, 2008</w:t>
            </w: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w w:val="96"/>
              </w:rPr>
              <w:t>As of December 31, 2007</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Gross Amount</w:t>
            </w:r>
          </w:p>
        </w:tc>
        <w:tc>
          <w:tcPr>
            <w:tcW w:w="20" w:type="dxa"/>
            <w:vAlign w:val="bottom"/>
            <w:vMerge w:val="restart"/>
          </w:tcPr>
          <w:p>
            <w:pPr>
              <w:spacing w:after="0"/>
              <w:rPr>
                <w:sz w:val="10"/>
                <w:szCs w:val="10"/>
                <w:color w:val="auto"/>
              </w:rPr>
            </w:pPr>
          </w:p>
        </w:tc>
        <w:tc>
          <w:tcPr>
            <w:tcW w:w="540" w:type="dxa"/>
            <w:vAlign w:val="bottom"/>
          </w:tcPr>
          <w:p>
            <w:pPr>
              <w:spacing w:after="0"/>
              <w:rPr>
                <w:sz w:val="10"/>
                <w:szCs w:val="10"/>
                <w:color w:val="auto"/>
              </w:rPr>
            </w:pPr>
          </w:p>
        </w:tc>
        <w:tc>
          <w:tcPr>
            <w:tcW w:w="14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Accumulated</w:t>
            </w:r>
          </w:p>
        </w:tc>
        <w:tc>
          <w:tcPr>
            <w:tcW w:w="84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Net</w:t>
            </w:r>
          </w:p>
        </w:tc>
        <w:tc>
          <w:tcPr>
            <w:tcW w:w="300" w:type="dxa"/>
            <w:vAlign w:val="bottom"/>
            <w:vMerge w:val="restart"/>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Gross Amount</w:t>
            </w:r>
          </w:p>
        </w:tc>
        <w:tc>
          <w:tcPr>
            <w:tcW w:w="120" w:type="dxa"/>
            <w:vAlign w:val="bottom"/>
            <w:vMerge w:val="restart"/>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74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60" w:type="dxa"/>
            <w:vAlign w:val="bottom"/>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Amortization</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9,915,000</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(5,342,099)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$ 4,572,901</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9,915,000</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(4,470,224)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5,444,776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Content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3,500,000</w:t>
            </w:r>
          </w:p>
        </w:tc>
        <w:tc>
          <w:tcPr>
            <w:tcW w:w="20" w:type="dxa"/>
            <w:vAlign w:val="bottom"/>
          </w:tcPr>
          <w:p>
            <w:pPr>
              <w:spacing w:after="0"/>
              <w:rPr>
                <w:sz w:val="18"/>
                <w:szCs w:val="18"/>
                <w:color w:val="auto"/>
              </w:rPr>
            </w:pPr>
          </w:p>
        </w:tc>
        <w:tc>
          <w:tcPr>
            <w:tcW w:w="2000" w:type="dxa"/>
            <w:vAlign w:val="bottom"/>
            <w:gridSpan w:val="3"/>
          </w:tcPr>
          <w:p>
            <w:pPr>
              <w:jc w:val="right"/>
              <w:ind w:right="420"/>
              <w:spacing w:after="0"/>
              <w:rPr>
                <w:sz w:val="20"/>
                <w:szCs w:val="20"/>
                <w:color w:val="auto"/>
              </w:rPr>
            </w:pPr>
            <w:r>
              <w:rPr>
                <w:rFonts w:ascii="Arial" w:cs="Arial" w:eastAsia="Arial" w:hAnsi="Arial"/>
                <w:sz w:val="18"/>
                <w:szCs w:val="18"/>
                <w:color w:val="auto"/>
              </w:rPr>
              <w:t>(3,500,000)</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3,500,000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(3,500,000)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972,142</w:t>
            </w:r>
          </w:p>
        </w:tc>
        <w:tc>
          <w:tcPr>
            <w:tcW w:w="2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(807,222)</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164,920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972,142</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(712,331)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2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14,387,142</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(9,649,321</w:t>
            </w:r>
          </w:p>
        </w:tc>
        <w:tc>
          <w:tcPr>
            <w:tcW w:w="560" w:type="dxa"/>
            <w:vAlign w:val="bottom"/>
          </w:tcPr>
          <w:p>
            <w:pPr>
              <w:jc w:val="right"/>
              <w:ind w:right="4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$ 4,737,821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14,387,142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(8,682,555</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5,704,587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gridSpan w:val="3"/>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80" w:type="dxa"/>
            <w:vAlign w:val="bottom"/>
            <w:gridSpan w:val="9"/>
          </w:tcPr>
          <w:p>
            <w:pPr>
              <w:spacing w:after="0"/>
              <w:rPr>
                <w:sz w:val="20"/>
                <w:szCs w:val="20"/>
                <w:color w:val="auto"/>
              </w:rPr>
            </w:pPr>
            <w:r>
              <w:rPr>
                <w:rFonts w:ascii="Arial" w:cs="Arial" w:eastAsia="Arial" w:hAnsi="Arial"/>
                <w:sz w:val="18"/>
                <w:szCs w:val="18"/>
                <w:color w:val="auto"/>
                <w:w w:val="93"/>
              </w:rPr>
              <w:t>Estimated amortization expense for the years ending December 31, is as follows:</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946,875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886,794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549,632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4,737,821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CONTENT RIGHTS AND DEFERRED SERVICE CREDITS</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2007 and 2006, we completed updates and maintenance required to publish certain courseware owned by one of our customers and were provided the right to distribute and resell such courseware. In exchange for receipt of an exclusive license to distribute and resell this courseware, we provided the customer with service credits that can be used to make future purchases of our products and services. We accounted for this transaction in accordance with Accounting Principles Board Opinion No. 29 “Accounting for Nonmonetary Transactions” as amended by SFAS No. 153, “Exchanges of Nonmonetary Assets.” The initial value assigned to the content rights and the deferred service credits was $191,667 in 2007 and $904,167 in 2006, which represented the estimated fair value of the assets relinquished. The content rights have been fully amortized as of December 31, 2008.</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2008, issued but unexpired credits approximated $376,000, and expire on various dates through May 2010. The service credits are classified within accrued liabilities on our consolidated balance sheets as of December 31, 2008 and 2007. Additional service credits may be provided in the future if the customer provides additional courseware rights to us. Revenues for services provided in exchange for service credits will be recognized in accordance with our revenue recognition policies.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 authoring tools, courseware subscriptions, online training and content development, online sales training courses, live events, HospitalDirect® and other products focused on education and training to serve professionals that work within healthcare organizations.</w:t>
      </w:r>
    </w:p>
    <w:p>
      <w:pPr>
        <w:spacing w:after="0" w:line="6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Effective with the acquisition of TJO in March 2007, we launched HealthStream Research</w:t>
      </w:r>
      <w:r>
        <w:rPr>
          <w:rFonts w:ascii="Arial" w:cs="Arial" w:eastAsia="Arial" w:hAnsi="Arial"/>
          <w:sz w:val="13"/>
          <w:szCs w:val="13"/>
          <w:color w:val="auto"/>
        </w:rPr>
        <w:t>TM</w:t>
      </w:r>
      <w:r>
        <w:rPr>
          <w:rFonts w:ascii="Arial" w:cs="Arial" w:eastAsia="Arial" w:hAnsi="Arial"/>
          <w:sz w:val="16"/>
          <w:szCs w:val="16"/>
          <w:color w:val="auto"/>
        </w:rPr>
        <w:t xml:space="preserve"> which provides a wide range of quality and satisfaction surveys, data analyses of survey results, and other research-based measurement tools focused on patients, employees, physicians, and members of the community. In addition, at that time, we changed our organizational structure, appointing a President of HealthStream Research who reports to our Chief Executive Officer (CEO). Our CEO is also our chief operating decision maker. During the first quarter of 2007, we began reporting and measuring performance based on the delivery of learning services and research services. Accordingly, we began disclosing segment performance under the Learning and Research segments.</w:t>
      </w:r>
    </w:p>
    <w:p>
      <w:pPr>
        <w:spacing w:after="0" w:line="50" w:lineRule="exact"/>
        <w:rPr>
          <w:sz w:val="20"/>
          <w:szCs w:val="20"/>
          <w:color w:val="auto"/>
        </w:rPr>
      </w:pPr>
    </w:p>
    <w:p>
      <w:pPr>
        <w:ind w:right="300"/>
        <w:spacing w:after="0" w:line="272" w:lineRule="auto"/>
        <w:rPr>
          <w:sz w:val="20"/>
          <w:szCs w:val="20"/>
          <w:color w:val="auto"/>
        </w:rPr>
      </w:pPr>
      <w:r>
        <w:rPr>
          <w:rFonts w:ascii="Arial" w:cs="Arial" w:eastAsia="Arial" w:hAnsi="Arial"/>
          <w:sz w:val="17"/>
          <w:szCs w:val="17"/>
          <w:color w:val="auto"/>
        </w:rPr>
        <w:t>The following is our business segment information as of and for the years ended December 31, 2008, 2007 and 2006. We measure segment performance based on operating income (loss) before income taxes and prior to the allocation of certain corporate overhead expenses, interest income, interest expense, and depreciation. During 2008, we revised our measure of segment performance and began allocating building, telecom, and utility expenses to Learning, which had previously been included in Unallocated. We have also restated historical periods for both Learning and Unallocated to reflect the allocation of these corporate overhead expenses. The Unallocated component below includes corporate functions, such as accounting, human resources, legal, investor relations, administrative, and executive personnel, as well as depreciation, a portion of amortization, and certain other expenses, which are not currently allocated in measuring segment performance.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99"/>
              </w:rPr>
              <w:t>Year ended December 31, 2008</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Learning</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6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Unallocated</w:t>
            </w: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32,831,640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18,767,903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$51,599,543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10,616,573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9,036,877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19,653,450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4,634,664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1,035,290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5,669,954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7,087,094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3,522,928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210,040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10,820,062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1,714,119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1,002,527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1,105,622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4,822,268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1,617,432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1,889,971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4,644,888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8,152,291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7,161,758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2,280,310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(6,960,560)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2,481,518</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16,027,451</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27,018,000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9,751,430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594,816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118,328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425,454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1,138,598</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4"/>
              </w:rPr>
              <w:t>Payments associated with capitalized software feature enhancements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513,359</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466,983</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w w:val="99"/>
              </w:rPr>
              <w:t>Year ended December 31, 2007</w:t>
            </w: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Learning</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600" w:type="dxa"/>
            <w:vAlign w:val="bottom"/>
          </w:tcPr>
          <w:p>
            <w:pPr>
              <w:spacing w:after="0"/>
              <w:rPr>
                <w:sz w:val="12"/>
                <w:szCs w:val="12"/>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Unallocated</w:t>
            </w: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27,461,507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16,487,757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$43,949,264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9,272,559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6,889,946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16,162,505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3,668,651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515,605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123,482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4,307,738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6,362,109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2,735,565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114,731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9,212,405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1,627,564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926,393</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1,949,223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4,503,180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1,095,217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2,364,937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4,387,904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7,848,058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5,435,407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9"/>
              </w:rPr>
              <w:t>3,055,311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1"/>
              </w:rPr>
              <w:t>(6,575,340)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1,915,378</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8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17,270,540</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26,284,097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9,806,820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53,361,457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807,450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46,702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410,413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1,264,565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w w:val="94"/>
              </w:rPr>
              <w:t>Payments associated with capitalized software feature enhancements</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2,460,254</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106,184</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2,566,438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SEGMENTS (continued)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6"/>
          </w:tcPr>
          <w:p>
            <w:pPr>
              <w:jc w:val="right"/>
              <w:ind w:right="900"/>
              <w:spacing w:after="0"/>
              <w:rPr>
                <w:sz w:val="20"/>
                <w:szCs w:val="20"/>
                <w:color w:val="auto"/>
              </w:rPr>
            </w:pPr>
            <w:r>
              <w:rPr>
                <w:rFonts w:ascii="Arial" w:cs="Arial" w:eastAsia="Arial" w:hAnsi="Arial"/>
                <w:sz w:val="14"/>
                <w:szCs w:val="14"/>
                <w:b w:val="1"/>
                <w:bCs w:val="1"/>
                <w:color w:val="auto"/>
                <w:w w:val="99"/>
              </w:rPr>
              <w:t>Year ended December 31, 2006</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Learning</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8"/>
              </w:rPr>
              <w:t>Research</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Unallocated</w:t>
            </w:r>
          </w:p>
        </w:tc>
        <w:tc>
          <w:tcPr>
            <w:tcW w:w="62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Consolidated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8"/>
              </w:rPr>
              <w:t>25,069,651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6,713,818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31,783,469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8,979,456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1,889,847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10,869,303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Product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2,988,862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369,682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3,502,790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5,948,316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883,973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187,762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7,020,051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973,859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508,332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1,406,977</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2,889,168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Other general and administrative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1,214,153</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633,190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3,745,683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5,593,026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operations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4,965,005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2,428,794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(5,484,668)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1,909,131</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*Segment assets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w w:val="88"/>
              </w:rPr>
              <w:t>15,167,472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w w:val="88"/>
              </w:rPr>
              <w:t>10,620,782</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15,220,232</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41,008,486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865,416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24,341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510,880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1,400,637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2,274,684</w:t>
            </w: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2,274,684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Segment assets include restricted cash, accounts and unbilled receivables, prepaid and other current assets, other assets, capitalized software feature enhancements, certain property and equipment, and intangible assets. Investments in marketable securities and cash and cash equivalents are not allocated to individual segments, and are included within Unallocated. A significant portion of property and equipment assets are included within Unallocated.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is comprised 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188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7"/>
              </w:rPr>
              <w:t>Year Ended December 31,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Current 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44,366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Current state</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54,928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federal</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(335,944)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(1,780,403)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state</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(39,523)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(209,459)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(301,089)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1"/>
              </w:rPr>
              <w:t>(1,945,496)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Income tax (benefit) provision differs from the amounts computed by applying the federal statutory rate of 34% to the income before income taxes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Pr>
          <w:p>
            <w:pPr>
              <w:spacing w:after="0"/>
              <w:rPr>
                <w:sz w:val="14"/>
                <w:szCs w:val="14"/>
                <w:color w:val="auto"/>
              </w:rPr>
            </w:pPr>
          </w:p>
        </w:tc>
        <w:tc>
          <w:tcPr>
            <w:tcW w:w="8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Federal tax provision at the statutory rate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868,360</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728,176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859,427</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State income tax provision, net of federal benefit</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135,883</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113,081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102,681</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Difference related to warrants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943,018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335,641</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197,989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254,624</w:t>
            </w: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Decrease in valuation allowance</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1"/>
              </w:rPr>
              <w:t>(1,640,973)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(3,927,760)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(1,188,688)</w:t>
            </w: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(301,089</w:t>
            </w:r>
          </w:p>
        </w:tc>
        <w:tc>
          <w:tcPr>
            <w:tcW w:w="180" w:type="dxa"/>
            <w:vAlign w:val="bottom"/>
            <w:gridSpan w:val="2"/>
          </w:tcPr>
          <w:p>
            <w:pPr>
              <w:jc w:val="right"/>
              <w:ind w:right="120"/>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(1,945,496</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December 31, 2008, management concluded that a portion of its deferred tax assets would be realized, and to date, has recognized $2,365,329 of deferred tax assets through the reversal of a portion of the valuation allowance. The recognition of this asset was recorded in our statements of income as an income tax benefit of $375,467 and $1,989,862 for the years ended December 31, 2008 and 2007, respectively, and is shown net of current tax expense. The balance sheet at December 31, 2008 includes current deferred tax assets of $356,987 and non current deferred tax assets of $2,008,342. As a result of prior tax deductions related to stock based compensation, up to $158,922 of future reductions of the valuation allowance would be recognized as an increase to common stock. At December 31, 2008 and 2007, a valuation allowance exists for the remaining portion of deferred tax assets, due to the uncertainty of realizing these assets in the future.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 (continued)</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As of December 31, 2008, we had federal and state net operating loss carryforwards of $38,377,012 and $29,887,616, respectively. These loss carryforwards will expire in years 2012 through 2024. As of December 31, 2008, $2,698,648 of our net operating loss carryforwards is attributable to the exercise of stock options, and if realized, the tax benefit will be recorded as an increase to additional paid-in capital. Our net operating loss carryforwards are subject to annual limitations under Internal Revenue Code Section 382. The annual limitations could result in the expiration of a portion of our net operating loss and tax credit carryforwards before they are fully utilized. During the year, the valuation allowance decreased by $1,638,978, which was comprised of a $1,653,886 decrease related to current taxes and an increase of $14,908 related to the exercise of stock options.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We have research and development tax credit carryforwards of $285,787 that expire in varying amounts through 2024. We have alternative minimum tax</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credit carryforwards of $104,144 that are available to offset future regular tax liabilities and they do not expire. Federal income tax payments of $5,300,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$43,000, and $21,000 were made during the years ended December 31, 2008, 2007, and 2006, respectively. State income tax payments of $41,560, $-0-,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$-0- were made during the years ended December 31, 2008, 2007, and 2006, respectively.</w:t>
      </w:r>
    </w:p>
    <w:p>
      <w:pPr>
        <w:spacing w:after="0" w:line="1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2008 and 2007, the Company’s consolidated balance sheets did not reflect a liability for uncertain tax positions, nor any accrued penalties or interest associated with income tax uncertainties. The Company is subject to income taxation at the federal and various state levels. The Company is subject to U.S. federal tax examinations for tax years through 2008, subject to the statute of limitations. The Company has no income tax examinations in process.</w:t>
      </w:r>
    </w:p>
    <w:p>
      <w:pPr>
        <w:spacing w:after="0" w:line="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deferred tax assets: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Allowance for doubtful accounts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40,486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388,332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Deferred revenue</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606,410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operating loss carryforwards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1,171,087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755,662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1,599,905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1,861,966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Valuation allowance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(1,242,918)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(1,501,654)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Net Current deferred tax assets</w:t>
            </w:r>
          </w:p>
        </w:tc>
        <w:tc>
          <w:tcPr>
            <w:tcW w:w="4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356,987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Noncurrent deferred tax assets: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30,387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Deductible goodwill</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72,437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Difference related to warrants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284,370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284,370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Research and development credits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285,787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Stock based compensation</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158,922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Alternative minimum tax credits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104,144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Net operating loss carryforwards</w:t>
            </w:r>
          </w:p>
        </w:tc>
        <w:tc>
          <w:tcPr>
            <w:tcW w:w="4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13,071,557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13,710,318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14,007,604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15,209,362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Less: Valuation allowance</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(10,883,939)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(12,266,176)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Noncurrent deferred tax assets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3,123,665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2,943,186</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Noncurrent deferred tax liabilities:</w:t>
            </w: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60" w:type="dxa"/>
            <w:vAlign w:val="bottom"/>
            <w:gridSpan w:val="2"/>
            <w:vMerge w:val="continue"/>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Nondeductible intangible assets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1,115,323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1,313,636</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color w:val="auto"/>
              </w:rPr>
              <w:t>Total Noncurrent deferred tax liabilities</w:t>
            </w:r>
          </w:p>
        </w:tc>
        <w:tc>
          <w:tcPr>
            <w:tcW w:w="4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1,115,323</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1,313,636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tax asset</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2,008,342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1,629,550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40" w:type="dxa"/>
            <w:vAlign w:val="bottom"/>
            <w:vMerge w:val="restart"/>
          </w:tcPr>
          <w:p>
            <w:pPr>
              <w:jc w:val="right"/>
              <w:ind w:right="281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4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stock based compensation expense recorded in accordance with Statement 123(R), for the years ended December 31, 2008, 2007, and 2006 which is recorded in our statements of income,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Arial" w:cs="Arial" w:eastAsia="Arial" w:hAnsi="Arial"/>
                <w:sz w:val="14"/>
                <w:szCs w:val="14"/>
                <w:b w:val="1"/>
                <w:bCs w:val="1"/>
                <w:color w:val="auto"/>
                <w:w w:val="96"/>
              </w:rPr>
              <w:t>Years Ended December 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45,479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48,501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53,790</w:t>
            </w:r>
          </w:p>
        </w:tc>
        <w:tc>
          <w:tcPr>
            <w:tcW w:w="0" w:type="dxa"/>
            <w:vAlign w:val="bottom"/>
          </w:tcPr>
          <w:p>
            <w:pPr>
              <w:spacing w:after="0"/>
              <w:rPr>
                <w:sz w:val="1"/>
                <w:szCs w:val="1"/>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157,969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150,193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142,058</w:t>
            </w: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199,832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171,400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127,953</w:t>
            </w:r>
          </w:p>
        </w:tc>
        <w:tc>
          <w:tcPr>
            <w:tcW w:w="0" w:type="dxa"/>
            <w:vAlign w:val="bottom"/>
          </w:tcPr>
          <w:p>
            <w:pPr>
              <w:spacing w:after="0"/>
              <w:rPr>
                <w:sz w:val="1"/>
                <w:szCs w:val="1"/>
                <w:color w:val="auto"/>
              </w:rPr>
            </w:pPr>
          </w:p>
        </w:tc>
      </w:tr>
      <w:tr>
        <w:trPr>
          <w:trHeight w:val="223"/>
        </w:trPr>
        <w:tc>
          <w:tcPr>
            <w:tcW w:w="78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368,280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372,250</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358,267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771,560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742,344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682,068</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Plan</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2000 Stock Incentive Plan (the Plan) authorizes the grant of options or other forms of stock based compensation to employees, officers, directors and others, and such grants must be approved by the Compensation Committee of the Board of Directors. Options granted under the Plan have terms of no more than ten years, with certain restrictions. The Plan allows the Compensation Committee of the Board of Directors to determine the vesting period of each grant. The vesting period of the options granted ranges from immediate vesting (generally associated with our board of directors’ options) to annual vesting over four years, beginning one year after the grant date (generally for employee and officer options). As of December 31, 2008, 1,585,758 shares of unissued common stock remained reserved for future grants under the Plan. The Company issues new shares of common stock when options are exercised.</w:t>
      </w:r>
    </w:p>
    <w:p>
      <w:pPr>
        <w:spacing w:after="0" w:line="5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weighted average fair value of options granted was estimated using the Black-Scholes method. The ranges of assumptions used for these estimates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4"/>
                <w:szCs w:val="14"/>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13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2006</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2.63 - 3.56%</w:t>
            </w:r>
          </w:p>
        </w:tc>
        <w:tc>
          <w:tcPr>
            <w:tcW w:w="18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4.45 - 4.80%</w:t>
            </w:r>
          </w:p>
        </w:tc>
        <w:tc>
          <w:tcPr>
            <w:tcW w:w="18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4.55 - 5.07%</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0.0%</w:t>
            </w:r>
          </w:p>
        </w:tc>
        <w:tc>
          <w:tcPr>
            <w:tcW w:w="1840" w:type="dxa"/>
            <w:vAlign w:val="bottom"/>
            <w:gridSpan w:val="2"/>
          </w:tcPr>
          <w:p>
            <w:pPr>
              <w:jc w:val="right"/>
              <w:ind w:right="79"/>
              <w:spacing w:after="0"/>
              <w:rPr>
                <w:sz w:val="20"/>
                <w:szCs w:val="20"/>
                <w:color w:val="auto"/>
              </w:rPr>
            </w:pPr>
            <w:r>
              <w:rPr>
                <w:rFonts w:ascii="Arial" w:cs="Arial" w:eastAsia="Arial" w:hAnsi="Arial"/>
                <w:sz w:val="18"/>
                <w:szCs w:val="18"/>
                <w:color w:val="auto"/>
              </w:rPr>
              <w:t>0.0%</w:t>
            </w:r>
          </w:p>
        </w:tc>
        <w:tc>
          <w:tcPr>
            <w:tcW w:w="1840" w:type="dxa"/>
            <w:vAlign w:val="bottom"/>
            <w:gridSpan w:val="2"/>
          </w:tcPr>
          <w:p>
            <w:pPr>
              <w:jc w:val="right"/>
              <w:ind w:right="79"/>
              <w:spacing w:after="0"/>
              <w:rPr>
                <w:sz w:val="20"/>
                <w:szCs w:val="20"/>
                <w:color w:val="auto"/>
              </w:rPr>
            </w:pPr>
            <w:r>
              <w:rPr>
                <w:rFonts w:ascii="Arial" w:cs="Arial" w:eastAsia="Arial" w:hAnsi="Arial"/>
                <w:sz w:val="18"/>
                <w:szCs w:val="18"/>
                <w:color w:val="auto"/>
              </w:rPr>
              <w:t>0.0%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 to 8</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rPr>
              <w:t>5 to 8</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5 to 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0-20%</w:t>
            </w:r>
          </w:p>
        </w:tc>
        <w:tc>
          <w:tcPr>
            <w:tcW w:w="1840" w:type="dxa"/>
            <w:vAlign w:val="bottom"/>
            <w:gridSpan w:val="2"/>
          </w:tcPr>
          <w:p>
            <w:pPr>
              <w:jc w:val="right"/>
              <w:ind w:right="79"/>
              <w:spacing w:after="0"/>
              <w:rPr>
                <w:sz w:val="20"/>
                <w:szCs w:val="20"/>
                <w:color w:val="auto"/>
              </w:rPr>
            </w:pPr>
            <w:r>
              <w:rPr>
                <w:rFonts w:ascii="Arial" w:cs="Arial" w:eastAsia="Arial" w:hAnsi="Arial"/>
                <w:sz w:val="18"/>
                <w:szCs w:val="18"/>
                <w:color w:val="auto"/>
              </w:rPr>
              <w:t>0-30%</w:t>
            </w:r>
          </w:p>
        </w:tc>
        <w:tc>
          <w:tcPr>
            <w:tcW w:w="1840" w:type="dxa"/>
            <w:vAlign w:val="bottom"/>
            <w:gridSpan w:val="2"/>
          </w:tcPr>
          <w:p>
            <w:pPr>
              <w:jc w:val="right"/>
              <w:ind w:right="79"/>
              <w:spacing w:after="0"/>
              <w:rPr>
                <w:sz w:val="20"/>
                <w:szCs w:val="20"/>
                <w:color w:val="auto"/>
              </w:rPr>
            </w:pPr>
            <w:r>
              <w:rPr>
                <w:rFonts w:ascii="Arial" w:cs="Arial" w:eastAsia="Arial" w:hAnsi="Arial"/>
                <w:sz w:val="18"/>
                <w:szCs w:val="18"/>
                <w:color w:val="auto"/>
              </w:rPr>
              <w:t>0-20%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3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65%</w:t>
            </w:r>
          </w:p>
        </w:tc>
        <w:tc>
          <w:tcPr>
            <w:tcW w:w="18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75%</w:t>
            </w:r>
          </w:p>
        </w:tc>
        <w:tc>
          <w:tcPr>
            <w:tcW w:w="184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75%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Risk-free interest rate</w:t>
      </w:r>
      <w:r>
        <w:rPr>
          <w:rFonts w:ascii="Arial" w:cs="Arial" w:eastAsia="Arial" w:hAnsi="Arial"/>
          <w:sz w:val="16"/>
          <w:szCs w:val="16"/>
          <w:color w:val="auto"/>
        </w:rPr>
        <w:t xml:space="preserve"> is based on the U.S. Treasury rate in effect at the time of the option grant having a term equivalent to the expected life of the option.</w:t>
      </w:r>
    </w:p>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u w:val="single" w:color="auto"/>
          <w:color w:val="auto"/>
        </w:rPr>
        <w:t>Expected life</w:t>
      </w:r>
      <w:r>
        <w:rPr>
          <w:rFonts w:ascii="Arial" w:cs="Arial" w:eastAsia="Arial" w:hAnsi="Arial"/>
          <w:sz w:val="16"/>
          <w:szCs w:val="16"/>
          <w:color w:val="auto"/>
        </w:rPr>
        <w:t xml:space="preserve"> is the period of time the option is expected to remain outstanding, and is based on historical experience. The contractual option life ranges from eight to ten years. We estimate the expected life of options granted to members of management to be five years and eight years for directors.</w:t>
      </w:r>
    </w:p>
    <w:p>
      <w:pPr>
        <w:spacing w:after="0" w:line="1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6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u w:val="single" w:color="auto"/>
          <w:color w:val="auto"/>
        </w:rPr>
        <w:t>Volatility</w:t>
      </w:r>
      <w:r>
        <w:rPr>
          <w:rFonts w:ascii="Arial" w:cs="Arial" w:eastAsia="Arial" w:hAnsi="Arial"/>
          <w:sz w:val="17"/>
          <w:szCs w:val="17"/>
          <w:color w:val="auto"/>
        </w:rPr>
        <w:t xml:space="preserve"> is the measure of the amount by which the price is expected to fluctuate. We estimate volatility based on the actual historical volatility of our common stock, and we believe future volatility will be similar to our historical volatility experience based on our measurements.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amortize the fair value of all stock based awards on a straight-line basis over the requisite service period, which generally is the vesting period.</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 progression of activity and various other information relative to stock options for the year ended December 31, 2008 is presented in the table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Common</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840" w:type="dxa"/>
            <w:vAlign w:val="bottom"/>
          </w:tcPr>
          <w:p>
            <w:pPr>
              <w:jc w:val="right"/>
              <w:ind w:right="114"/>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Exercise Price</w:t>
            </w:r>
          </w:p>
        </w:tc>
        <w:tc>
          <w:tcPr>
            <w:tcW w:w="1340" w:type="dxa"/>
            <w:vAlign w:val="bottom"/>
            <w:gridSpan w:val="4"/>
          </w:tcPr>
          <w:p>
            <w:pPr>
              <w:ind w:left="320"/>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Outstanding — beginning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2,538,807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498,000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2.92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(106,162)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Expired</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(319,900)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(183,950)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Outstanding — end of period</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2,426,795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9"/>
                <w:szCs w:val="19"/>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725,353</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1,534,045</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725,238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aggregate intrinsic value in the table above represents the total difference between the Company’s closing stock price on December 31, 2008 (the last trading day of the year) of $2.33 and the option exercise price, multiplied by the number of in-the-money options as of December 31, 2008. As of December 31, 2008, total unrecognized compensation expense related to non-vested stock options was $1,192,503, net of estimated forfeitures, with a weighted average expense recognition period of 2.5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relative to option activity during the years ended December 31, 2008, 2007, and 2006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w w:val="98"/>
              </w:rPr>
              <w:t>Year Ended December 31,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Total fair value of stock options vested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629,528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682,084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582,189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61,617</w:t>
            </w: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9"/>
              </w:rPr>
              <w:t>144,826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663,202</w:t>
            </w: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210,928</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248,517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490,467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Employee Stock Purchase Plan (Purchase Plan) incorporates the provisions of Section 423 of the Internal Revenue Code. Under the Purchase Plan, 1,000,000 shares of common stock have been reserved for purchase by employees. The Purchase Plan provides for annual offer periods of twelve months to eligible employees. Under the Purchase Plan, eligible employees can purchase through payroll deductions, the lesser of up to 15% of their eligible base compensation or 2,500 shares of common stock, at a price equivalent to 85% of the lesser of the beginning or end of Purchase Plan year price. During 2008, 53,108 shares were purchased under the plan at $2.46 per share, and during 2007, 37,685 shares were purchased under the plan at $3.23 per share. There were 532,981 shares available for issuance under the Purchase Plan as of December 31, 2008. In accordance with the provisions of SFAS No. 123(R), the Company recognized $24,855 and $33,409 of stock based compensation expense for the Purchase Plan during the years ended December 31, 2008 and 2007,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On February 9, 2009, the Company terminated the Plan and deregistered the unsold and unissued shares remaining in the Plan.</w:t>
      </w:r>
    </w:p>
    <w:p>
      <w:pPr>
        <w:spacing w:after="0" w:line="221" w:lineRule="exact"/>
        <w:rPr>
          <w:sz w:val="20"/>
          <w:szCs w:val="20"/>
          <w:color w:val="auto"/>
        </w:rPr>
      </w:pPr>
    </w:p>
    <w:p>
      <w:pPr>
        <w:ind w:right="8760" w:firstLine="8"/>
        <w:spacing w:after="0" w:line="378" w:lineRule="auto"/>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401(k) Plan</w:t>
      </w:r>
    </w:p>
    <w:p>
      <w:pPr>
        <w:ind w:right="20"/>
        <w:spacing w:after="0" w:line="259" w:lineRule="auto"/>
        <w:rPr>
          <w:sz w:val="20"/>
          <w:szCs w:val="20"/>
          <w:color w:val="auto"/>
        </w:rPr>
      </w:pPr>
      <w:r>
        <w:rPr>
          <w:rFonts w:ascii="Arial" w:cs="Arial" w:eastAsia="Arial" w:hAnsi="Arial"/>
          <w:sz w:val="18"/>
          <w:szCs w:val="18"/>
          <w:color w:val="auto"/>
        </w:rPr>
        <w:t>We have a defined-contribution employee benefit plan (401(k) Plan) incorporating provisions of Section 401(k) of the Internal Revenue Code. Our employees must have attained the age of 21 and have completed thirty days of service to be eligible to participate in the 401(k) Plan. Under the provisions of the 401(k) Plan, a plan member may make contributions, on a tax-deferred basis, not to exceed 20% of compensation, subject to IRS limitations. The Company has not provided matching contributions through December 31, 2008.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and 2007, the Company had the following debt outstanding: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1,031,037</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$ 1,737,735</w:t>
            </w: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(724,095)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(706,698)</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306,942</w:t>
            </w:r>
          </w:p>
        </w:tc>
        <w:tc>
          <w:tcPr>
            <w:tcW w:w="66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$ 1,031,037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2007, the Company financed the purchase of approximately $2.1 million in multi-year software licenses. As a result of this transaction, the Company entered into a promissory note loan agreement which is scheduled to be repaid in 36 payments due on a monthly basis beginning July 1, 2007. The promissory note bears interest at an annual rate of 2.32%, and is unsecured. The Company may not prepay the loan without consent from the lender, and if a prepayment request is granted by the lender, a prepayment fee may be assessed. As of December 31, 2008, the amount outstanding under this loan agreement was $1,031,037.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for debt outstanding, as of December 31, 2008 for the next five years and thereafter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724,095</w:t>
            </w: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306,942</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1,031,037</w:t>
            </w:r>
          </w:p>
        </w:tc>
      </w:tr>
      <w:tr>
        <w:trPr>
          <w:trHeight w:val="20"/>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a Loan Agreement (the “Revolving Credit Facility”) with SunTrust Bank (“SunTrust”) in the aggregate principal amount of</w:t>
      </w:r>
    </w:p>
    <w:p>
      <w:pPr>
        <w:spacing w:after="0" w:line="3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$15.0 million, which matures on July 21, 2009. The obligations under the revolving credit facility are guaranteed by each of the Company’s subsidiaries. The Company’s borrowings under the revolving credit facility bear interest at a LIBOR rate generally defined as the sum of (i) a variable rate of interest equal to the 30-Day LIBOR Rate plus (ii) 150 basis points per annum. Principal is payable in full on the maturity date. The Company is required to pay a commitment fee of 10 basis points per annum of the average daily unused portion of the revolving credit facility.</w:t>
      </w:r>
    </w:p>
    <w:p>
      <w:pPr>
        <w:spacing w:after="0" w:line="6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revolving credit facility requires the Company to meet certain financial tests, including, without limitation:</w:t>
      </w:r>
    </w:p>
    <w:p>
      <w:pPr>
        <w:spacing w:after="0" w:line="117" w:lineRule="exact"/>
        <w:rPr>
          <w:sz w:val="20"/>
          <w:szCs w:val="20"/>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 maximum total leverage ratio (consolidated debt/consolidated EBITDA) of 2.0 to 1.0;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funded debt to total capitalization may not exceed 40%</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2008, the Company believes it was in compliance with all covenants. There were no balances outstanding on the revolving credit facility as of December 31, 2008.</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As of December 31, 2008, we lease office facilities in Nashville, TN, Laurel, MD, and Franklin, TN, under agreements that expire before or during March 2012. Some lease agreements contain provisions for escalating rent payments over the initial terms of the lease. We account for these leases by recognizing rent expense on the straight-line basis and adjusting the deferred rent expense liability for the difference between the straight-line rent expense and the amount of rent paid. The Company also leases certain office equipment under operating leases. Total rent expense under all operating leases was approximately $1,502,000, $1,410,000, and $897,000, for the years ended December 31, 2008, 2007, and 2006, respectively. We also lease certain computer and office equipment from third parties which are accounted for as capital leases.</w:t>
      </w:r>
    </w:p>
    <w:p>
      <w:pPr>
        <w:spacing w:after="0" w:line="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Future rental payment commitments at December 31, 2008 under capital and non-cancelable operating leases, with initial terms of one year or more,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00" w:type="dxa"/>
            <w:vAlign w:val="bottom"/>
          </w:tcPr>
          <w:p>
            <w:pPr>
              <w:spacing w:after="0"/>
              <w:rPr>
                <w:sz w:val="14"/>
                <w:szCs w:val="14"/>
                <w:color w:val="auto"/>
              </w:rPr>
            </w:pPr>
          </w:p>
        </w:tc>
        <w:tc>
          <w:tcPr>
            <w:tcW w:w="1260" w:type="dxa"/>
            <w:vAlign w:val="bottom"/>
            <w:gridSpan w:val="5"/>
          </w:tcPr>
          <w:p>
            <w:pPr>
              <w:spacing w:after="0"/>
              <w:rPr>
                <w:sz w:val="20"/>
                <w:szCs w:val="20"/>
                <w:color w:val="auto"/>
              </w:rPr>
            </w:pPr>
            <w:r>
              <w:rPr>
                <w:rFonts w:ascii="Arial" w:cs="Arial" w:eastAsia="Arial" w:hAnsi="Arial"/>
                <w:sz w:val="14"/>
                <w:szCs w:val="14"/>
                <w:b w:val="1"/>
                <w:bCs w:val="1"/>
                <w:color w:val="auto"/>
              </w:rPr>
              <w:t>Capital Leases</w:t>
            </w:r>
          </w:p>
        </w:tc>
        <w:tc>
          <w:tcPr>
            <w:tcW w:w="1460" w:type="dxa"/>
            <w:vAlign w:val="bottom"/>
            <w:gridSpan w:val="4"/>
          </w:tcPr>
          <w:p>
            <w:pPr>
              <w:ind w:left="280"/>
              <w:spacing w:after="0"/>
              <w:rPr>
                <w:sz w:val="20"/>
                <w:szCs w:val="20"/>
                <w:color w:val="auto"/>
              </w:rPr>
            </w:pPr>
            <w:r>
              <w:rPr>
                <w:rFonts w:ascii="Arial" w:cs="Arial" w:eastAsia="Arial" w:hAnsi="Arial"/>
                <w:sz w:val="14"/>
                <w:szCs w:val="14"/>
                <w:b w:val="1"/>
                <w:bCs w:val="1"/>
                <w:color w:val="auto"/>
                <w:w w:val="98"/>
              </w:rPr>
              <w:t>Operating Leases</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22,389</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1,018,517</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9,072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656,532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569,171</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117,502</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2,361,722</w:t>
            </w: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Present value of minimum lease payments (including $20,592 classified as current)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33,370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carrying value of assets under capital leases, which are included with owned assets in the accompanying consolidated balance sheets, was $24,250 and $128,773 at December 31, 2008 and 2007, respectively. Amortization of the assets under the capital leases is included in depreciation expense on the accompanying consolidated statements of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LITIGATION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various pending legal actions. The litigation process is inherently uncertain and it is possible that the resolution of such matters might have a material adverse effect upon the financial condition and / 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February 9, 2009, the Company terminated the Employee Stock Purchase Plan and deregistered the unsold and unissued shares remaining in the Purchase Plan.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407"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2008.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Securities Exchange Act of 1934,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2008. In making this assessment, management used the criteria set forth by the Committee of Sponsoring Organizations of the Treadway Commission (COSO) in Internal Control-Integrated Framework. Management’s assessment included an evaluation of the design of our internal control over financial reporting and testing of the operational effectiveness of our internal control over financial reporting. Management believes that, as of December 31, 2008, the Company’s internal control over financial reporting was effective based on those criteria.</w:t>
      </w:r>
    </w:p>
    <w:p>
      <w:pPr>
        <w:spacing w:after="0" w:line="80" w:lineRule="exact"/>
        <w:rPr>
          <w:sz w:val="20"/>
          <w:szCs w:val="20"/>
          <w:color w:val="auto"/>
        </w:rPr>
      </w:pPr>
    </w:p>
    <w:p>
      <w:pPr>
        <w:jc w:val="both"/>
        <w:ind w:right="700"/>
        <w:spacing w:after="0" w:line="312"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There were no changes in HealthStream’s internal control over financial reporting that occurred during the fourth quarter of 2008 that have materially affected, or that are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Information as to directors of the Company and corporate governance is incorporated by reference from the information contained in our proxy statement for the 2009 Annual Meeting of Shareholders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“Executive Officers of the Registrant.”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2009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2009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2009 Annual Meeting of Shareholders that we will file with the Securities and Exchange Commission within 120 days of the end of the fiscal year to which this report relates.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Incorporated by reference from the information contained in our proxy statement for the 2009 Annual Meeting of Shareholders that we will file with the Securities and Exchange Commission within 120 days of the end of the fiscal year to which this report relates.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(a)(1) Financial Statements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Reference is made to the financial statements included in Item 8 to this Report on Form 10-K.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(a)(2) Financial Statement Schedules</w:t>
      </w:r>
    </w:p>
    <w:p>
      <w:pPr>
        <w:spacing w:after="0" w:line="117" w:lineRule="exact"/>
        <w:rPr>
          <w:sz w:val="20"/>
          <w:szCs w:val="20"/>
          <w:color w:val="auto"/>
        </w:rPr>
      </w:pPr>
    </w:p>
    <w:p>
      <w:pPr>
        <w:ind w:left="240" w:right="500"/>
        <w:spacing w:after="0" w:line="277" w:lineRule="auto"/>
        <w:rPr>
          <w:sz w:val="20"/>
          <w:szCs w:val="20"/>
          <w:color w:val="auto"/>
        </w:rPr>
      </w:pPr>
      <w:r>
        <w:rPr>
          <w:rFonts w:ascii="Arial" w:cs="Arial" w:eastAsia="Arial" w:hAnsi="Arial"/>
          <w:sz w:val="18"/>
          <w:szCs w:val="18"/>
          <w:color w:val="auto"/>
        </w:rPr>
        <w:t>All schedules are omitted because they are not applicable or the required information is shown in the Consolidated Financial Statements or the notes thereto.</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(a)(3) Exhibits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2.1</w:t>
            </w:r>
            <w:r>
              <w:rPr>
                <w:rFonts w:ascii="Arial" w:cs="Arial" w:eastAsia="Arial" w:hAnsi="Arial"/>
                <w:sz w:val="15"/>
                <w:szCs w:val="15"/>
                <w:color w:val="auto"/>
              </w:rPr>
              <w:t>(1)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Stock Purchase Agreement, dated as of March 28, 2005, by and among HealthStream, Inc., Mel B. Thompson and Data Management &amp;</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Research,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2.2</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Stock Purchase Agreement, dated as of March 12, 2007, by and among HealthStream, Inc., The Jackson Organization, Research Consultants,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David Jackson and the Jackson Charitable Remainder Trust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Indemnification Agreement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dated March 27, 1995, as amended June 6, 1995 and September 22, 1998, between Cummins Station LLC, as landlord, and NewOrder</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Media, Inc., as tenant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Education Services Provider Agreement dated October 1, 2001 between HealthStream, Inc. and HCA Information Technology &amp; Services,</w:t>
            </w: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as amended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5"/>
                <w:szCs w:val="15"/>
                <w:color w:val="auto"/>
              </w:rPr>
              <w:t>(7)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HealthStream, Inc.</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20" w:hanging="452"/>
        <w:spacing w:after="0" w:line="277"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22" w:lineRule="exact"/>
        <w:rPr>
          <w:sz w:val="20"/>
          <w:szCs w:val="20"/>
          <w:color w:val="auto"/>
        </w:rPr>
      </w:pPr>
    </w:p>
    <w:p>
      <w:pPr>
        <w:ind w:right="2760" w:firstLine="8"/>
        <w:spacing w:after="0" w:line="328" w:lineRule="auto"/>
        <w:tabs>
          <w:tab w:leader="none" w:pos="4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 ^ Management contract or compensatory plan or arrangement</w:t>
      </w:r>
    </w:p>
    <w:p>
      <w:pPr>
        <w:spacing w:after="0" w:line="1"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Annual Report on Form 10-K, dated March 30,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27th day of March 2009.</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3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Borders>
              <w:bottom w:val="single" w:sz="8" w:color="auto"/>
            </w:tcBorders>
          </w:tcPr>
          <w:p>
            <w:pPr>
              <w:ind w:left="2000"/>
              <w:spacing w:after="0"/>
              <w:rPr>
                <w:sz w:val="20"/>
                <w:szCs w:val="20"/>
                <w:color w:val="auto"/>
              </w:rPr>
            </w:pPr>
            <w:r>
              <w:rPr>
                <w:rFonts w:ascii="Arial" w:cs="Arial" w:eastAsia="Arial" w:hAnsi="Arial"/>
                <w:sz w:val="14"/>
                <w:szCs w:val="14"/>
                <w:b w:val="1"/>
                <w:bCs w:val="1"/>
                <w:color w:val="auto"/>
              </w:rPr>
              <w:t>Signature</w:t>
            </w:r>
          </w:p>
        </w:tc>
        <w:tc>
          <w:tcPr>
            <w:tcW w:w="340" w:type="dxa"/>
            <w:vAlign w:val="bottom"/>
          </w:tcPr>
          <w:p>
            <w:pPr>
              <w:spacing w:after="0"/>
              <w:rPr>
                <w:sz w:val="14"/>
                <w:szCs w:val="14"/>
                <w:color w:val="auto"/>
              </w:rPr>
            </w:pPr>
          </w:p>
        </w:tc>
        <w:tc>
          <w:tcPr>
            <w:tcW w:w="456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Title(s)</w:t>
            </w:r>
          </w:p>
        </w:tc>
        <w:tc>
          <w:tcPr>
            <w:tcW w:w="340" w:type="dxa"/>
            <w:vAlign w:val="bottom"/>
          </w:tcPr>
          <w:p>
            <w:pPr>
              <w:spacing w:after="0"/>
              <w:rPr>
                <w:sz w:val="14"/>
                <w:szCs w:val="14"/>
                <w:color w:val="auto"/>
              </w:rPr>
            </w:pPr>
          </w:p>
        </w:tc>
        <w:tc>
          <w:tcPr>
            <w:tcW w:w="160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Date</w:t>
            </w:r>
          </w:p>
        </w:tc>
      </w:tr>
      <w:tr>
        <w:trPr>
          <w:trHeight w:val="426"/>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7"/>
              </w:rPr>
              <w:t>President, Chief Executive Officer and Chairman (Principal</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Robert A. Frist, Jr.</w:t>
            </w:r>
          </w:p>
        </w:tc>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Executive Officer)</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6"/>
              </w:rPr>
              <w:t>Chief Financial Officer and Senior Vice President (Principal</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Gerard M. Hayden, Jr.</w:t>
            </w:r>
          </w:p>
        </w:tc>
        <w:tc>
          <w:tcPr>
            <w:tcW w:w="3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Financial and Accounting Officer)</w:t>
            </w: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AMES</w:t>
            </w:r>
            <w:r>
              <w:rPr>
                <w:rFonts w:ascii="Arial" w:cs="Arial" w:eastAsia="Arial" w:hAnsi="Arial"/>
                <w:sz w:val="18"/>
                <w:szCs w:val="18"/>
                <w:color w:val="auto"/>
              </w:rPr>
              <w:t xml:space="preserve"> D</w:t>
            </w:r>
            <w:r>
              <w:rPr>
                <w:rFonts w:ascii="Arial" w:cs="Arial" w:eastAsia="Arial" w:hAnsi="Arial"/>
                <w:sz w:val="12"/>
                <w:szCs w:val="12"/>
                <w:color w:val="auto"/>
              </w:rPr>
              <w:t>ANIELL</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James Daniell</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w:t>
            </w:r>
            <w:r>
              <w:rPr>
                <w:rFonts w:ascii="Arial" w:cs="Arial" w:eastAsia="Arial" w:hAnsi="Arial"/>
                <w:sz w:val="12"/>
                <w:szCs w:val="12"/>
                <w:color w:val="auto"/>
              </w:rPr>
              <w:t>HOMPSON</w:t>
            </w:r>
            <w:r>
              <w:rPr>
                <w:rFonts w:ascii="Arial" w:cs="Arial" w:eastAsia="Arial" w:hAnsi="Arial"/>
                <w:sz w:val="18"/>
                <w:szCs w:val="18"/>
                <w:color w:val="auto"/>
              </w:rPr>
              <w:t xml:space="preserve"> D</w:t>
            </w:r>
            <w:r>
              <w:rPr>
                <w:rFonts w:ascii="Arial" w:cs="Arial" w:eastAsia="Arial" w:hAnsi="Arial"/>
                <w:sz w:val="12"/>
                <w:szCs w:val="12"/>
                <w:color w:val="auto"/>
              </w:rPr>
              <w:t>ENT</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Thompson Dent</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w:t>
            </w:r>
            <w:r>
              <w:rPr>
                <w:rFonts w:ascii="Arial" w:cs="Arial" w:eastAsia="Arial" w:hAnsi="Arial"/>
                <w:sz w:val="12"/>
                <w:szCs w:val="12"/>
                <w:color w:val="auto"/>
              </w:rPr>
              <w:t>RANK</w:t>
            </w:r>
            <w:r>
              <w:rPr>
                <w:rFonts w:ascii="Arial" w:cs="Arial" w:eastAsia="Arial" w:hAnsi="Arial"/>
                <w:sz w:val="18"/>
                <w:szCs w:val="18"/>
                <w:color w:val="auto"/>
              </w:rPr>
              <w:t xml:space="preserve"> G</w:t>
            </w:r>
            <w:r>
              <w:rPr>
                <w:rFonts w:ascii="Arial" w:cs="Arial" w:eastAsia="Arial" w:hAnsi="Arial"/>
                <w:sz w:val="12"/>
                <w:szCs w:val="12"/>
                <w:color w:val="auto"/>
              </w:rPr>
              <w:t>ORDON</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Frank Gordon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t>
            </w:r>
            <w:r>
              <w:rPr>
                <w:rFonts w:ascii="Arial" w:cs="Arial" w:eastAsia="Arial" w:hAnsi="Arial"/>
                <w:sz w:val="12"/>
                <w:szCs w:val="12"/>
                <w:color w:val="auto"/>
              </w:rPr>
              <w:t>EFFREY</w:t>
            </w:r>
            <w:r>
              <w:rPr>
                <w:rFonts w:ascii="Arial" w:cs="Arial" w:eastAsia="Arial" w:hAnsi="Arial"/>
                <w:sz w:val="18"/>
                <w:szCs w:val="18"/>
                <w:color w:val="auto"/>
              </w:rPr>
              <w:t xml:space="preserve"> L. M</w:t>
            </w:r>
            <w:r>
              <w:rPr>
                <w:rFonts w:ascii="Arial" w:cs="Arial" w:eastAsia="Arial" w:hAnsi="Arial"/>
                <w:sz w:val="12"/>
                <w:szCs w:val="12"/>
                <w:color w:val="auto"/>
              </w:rPr>
              <w:t>C</w:t>
            </w:r>
            <w:r>
              <w:rPr>
                <w:rFonts w:ascii="Arial" w:cs="Arial" w:eastAsia="Arial" w:hAnsi="Arial"/>
                <w:sz w:val="18"/>
                <w:szCs w:val="18"/>
                <w:color w:val="auto"/>
              </w:rPr>
              <w:t>L</w:t>
            </w:r>
            <w:r>
              <w:rPr>
                <w:rFonts w:ascii="Arial" w:cs="Arial" w:eastAsia="Arial" w:hAnsi="Arial"/>
                <w:sz w:val="12"/>
                <w:szCs w:val="12"/>
                <w:color w:val="auto"/>
              </w:rPr>
              <w:t>AREN</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Jeffrey L. McLaren</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w:t>
            </w:r>
            <w:r>
              <w:rPr>
                <w:rFonts w:ascii="Arial" w:cs="Arial" w:eastAsia="Arial" w:hAnsi="Arial"/>
                <w:sz w:val="12"/>
                <w:szCs w:val="12"/>
                <w:color w:val="auto"/>
              </w:rPr>
              <w:t>ALE</w:t>
            </w:r>
            <w:r>
              <w:rPr>
                <w:rFonts w:ascii="Arial" w:cs="Arial" w:eastAsia="Arial" w:hAnsi="Arial"/>
                <w:sz w:val="18"/>
                <w:szCs w:val="18"/>
                <w:color w:val="auto"/>
              </w:rPr>
              <w:t xml:space="preserve"> P</w:t>
            </w:r>
            <w:r>
              <w:rPr>
                <w:rFonts w:ascii="Arial" w:cs="Arial" w:eastAsia="Arial" w:hAnsi="Arial"/>
                <w:sz w:val="12"/>
                <w:szCs w:val="12"/>
                <w:color w:val="auto"/>
              </w:rPr>
              <w:t>OLLEY</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Dale Polley</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w:t>
            </w:r>
            <w:r>
              <w:rPr>
                <w:rFonts w:ascii="Arial" w:cs="Arial" w:eastAsia="Arial" w:hAnsi="Arial"/>
                <w:sz w:val="12"/>
                <w:szCs w:val="12"/>
                <w:color w:val="auto"/>
              </w:rPr>
              <w:t>INDA</w:t>
            </w:r>
            <w:r>
              <w:rPr>
                <w:rFonts w:ascii="Arial" w:cs="Arial" w:eastAsia="Arial" w:hAnsi="Arial"/>
                <w:sz w:val="18"/>
                <w:szCs w:val="18"/>
                <w:color w:val="auto"/>
              </w:rPr>
              <w:t xml:space="preserve"> R</w:t>
            </w:r>
            <w:r>
              <w:rPr>
                <w:rFonts w:ascii="Arial" w:cs="Arial" w:eastAsia="Arial" w:hAnsi="Arial"/>
                <w:sz w:val="12"/>
                <w:szCs w:val="12"/>
                <w:color w:val="auto"/>
              </w:rPr>
              <w:t>EBROVICK</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Linda Rebrovick</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S</w:t>
            </w:r>
            <w:r>
              <w:rPr>
                <w:rFonts w:ascii="Arial" w:cs="Arial" w:eastAsia="Arial" w:hAnsi="Arial"/>
                <w:sz w:val="12"/>
                <w:szCs w:val="12"/>
                <w:color w:val="auto"/>
              </w:rPr>
              <w:t>HMERLING</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Michael Shmerling</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31"/>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w:t>
            </w:r>
            <w:r>
              <w:rPr>
                <w:rFonts w:ascii="Arial" w:cs="Arial" w:eastAsia="Arial" w:hAnsi="Arial"/>
                <w:sz w:val="12"/>
                <w:szCs w:val="12"/>
                <w:color w:val="auto"/>
              </w:rPr>
              <w:t>ILLIAM</w:t>
            </w:r>
            <w:r>
              <w:rPr>
                <w:rFonts w:ascii="Arial" w:cs="Arial" w:eastAsia="Arial" w:hAnsi="Arial"/>
                <w:sz w:val="18"/>
                <w:szCs w:val="18"/>
                <w:color w:val="auto"/>
              </w:rPr>
              <w:t xml:space="preserve"> S</w:t>
            </w:r>
            <w:r>
              <w:rPr>
                <w:rFonts w:ascii="Arial" w:cs="Arial" w:eastAsia="Arial" w:hAnsi="Arial"/>
                <w:sz w:val="12"/>
                <w:szCs w:val="12"/>
                <w:color w:val="auto"/>
              </w:rPr>
              <w:t>TEAD</w:t>
            </w:r>
          </w:p>
        </w:tc>
        <w:tc>
          <w:tcPr>
            <w:tcW w:w="34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Director</w:t>
            </w:r>
          </w:p>
        </w:tc>
        <w:tc>
          <w:tcPr>
            <w:tcW w:w="34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March 27, 2009</w:t>
            </w:r>
          </w:p>
        </w:tc>
      </w:tr>
      <w:tr>
        <w:trPr>
          <w:trHeight w:val="224"/>
        </w:trPr>
        <w:tc>
          <w:tcPr>
            <w:tcW w:w="4580" w:type="dxa"/>
            <w:vAlign w:val="bottom"/>
          </w:tcPr>
          <w:p>
            <w:pPr>
              <w:spacing w:after="0"/>
              <w:rPr>
                <w:sz w:val="20"/>
                <w:szCs w:val="20"/>
                <w:color w:val="auto"/>
              </w:rPr>
            </w:pPr>
            <w:r>
              <w:rPr>
                <w:rFonts w:ascii="Arial" w:cs="Arial" w:eastAsia="Arial" w:hAnsi="Arial"/>
                <w:sz w:val="18"/>
                <w:szCs w:val="18"/>
                <w:color w:val="auto"/>
              </w:rPr>
              <w:t>William Stead</w:t>
            </w:r>
          </w:p>
        </w:tc>
        <w:tc>
          <w:tcPr>
            <w:tcW w:w="3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404"/>
        </w:trPr>
        <w:tc>
          <w:tcPr>
            <w:tcW w:w="4580" w:type="dxa"/>
            <w:vAlign w:val="bottom"/>
          </w:tcPr>
          <w:p>
            <w:pPr>
              <w:spacing w:after="0"/>
              <w:rPr>
                <w:sz w:val="24"/>
                <w:szCs w:val="24"/>
                <w:color w:val="auto"/>
              </w:rPr>
            </w:pPr>
          </w:p>
        </w:tc>
        <w:tc>
          <w:tcPr>
            <w:tcW w:w="4900" w:type="dxa"/>
            <w:vAlign w:val="bottom"/>
            <w:gridSpan w:val="2"/>
          </w:tcPr>
          <w:p>
            <w:pPr>
              <w:jc w:val="right"/>
              <w:ind w:right="3591"/>
              <w:spacing w:after="0"/>
              <w:rPr>
                <w:sz w:val="20"/>
                <w:szCs w:val="20"/>
                <w:color w:val="auto"/>
              </w:rPr>
            </w:pPr>
            <w:r>
              <w:rPr>
                <w:rFonts w:ascii="Arial" w:cs="Arial" w:eastAsia="Arial" w:hAnsi="Arial"/>
                <w:sz w:val="18"/>
                <w:szCs w:val="18"/>
                <w:color w:val="auto"/>
              </w:rPr>
              <w:t>55</w:t>
            </w: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26"/>
        </w:trPr>
        <w:tc>
          <w:tcPr>
            <w:tcW w:w="45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66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0260" w:type="dxa"/>
            <w:vAlign w:val="bottom"/>
            <w:vMerge w:val="restart"/>
          </w:tcPr>
          <w:p>
            <w:pPr>
              <w:ind w:left="47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102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920" w:type="dxa"/>
            <w:vAlign w:val="bottom"/>
          </w:tcPr>
          <w:p>
            <w:pPr>
              <w:spacing w:after="0"/>
              <w:rPr>
                <w:sz w:val="20"/>
                <w:szCs w:val="20"/>
                <w:color w:val="auto"/>
              </w:rPr>
            </w:pPr>
            <w:r>
              <w:rPr>
                <w:rFonts w:ascii="Arial" w:cs="Arial" w:eastAsia="Arial" w:hAnsi="Arial"/>
                <w:sz w:val="18"/>
                <w:szCs w:val="18"/>
                <w:color w:val="auto"/>
              </w:rPr>
              <w:t>2.1</w:t>
            </w:r>
            <w:r>
              <w:rPr>
                <w:rFonts w:ascii="Arial" w:cs="Arial" w:eastAsia="Arial" w:hAnsi="Arial"/>
                <w:sz w:val="15"/>
                <w:szCs w:val="15"/>
                <w:color w:val="auto"/>
              </w:rPr>
              <w:t>(1)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4"/>
              </w:rPr>
              <w:t>Stock Purchase Agreement, dated as of March 28, 2005, by and among HealthStream, Inc., Mel B. Thompson and Data Management &amp;</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Research, Inc.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2.2</w:t>
            </w:r>
            <w:r>
              <w:rPr>
                <w:rFonts w:ascii="Arial" w:cs="Arial" w:eastAsia="Arial" w:hAnsi="Arial"/>
                <w:sz w:val="15"/>
                <w:szCs w:val="15"/>
                <w:color w:val="auto"/>
              </w:rPr>
              <w:t>(2)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Stock Purchase Agreement, dated as of March 12, 2007, by and among HealthStream, Inc., The Jackson Organization, Research Consultants,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David Jackson and the Jackson Charitable Remainder Trust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Fourth Amended and Restated Charter of HealthStream, Inc.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Amended and Restated Bylaws of HealthStream, Inc.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certificate representing the common stock, no par value per share, of HealthStream, Inc.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Warrant to purchase common stock of HealthStream, Inc., dated June 14, 1999, held by GE Medical Systems.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Common Stock Purchase Agreement between HealthStream, Inc. and Healtheon/WebMD Corporation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1994 Employee Stock Option Plan, effective as of April 15, 1994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2000 Stock Incentive Plan, effective as of April 10, 2000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*10.4^</w:t>
            </w:r>
            <w:r>
              <w:rPr>
                <w:rFonts w:ascii="Arial" w:cs="Arial" w:eastAsia="Arial" w:hAnsi="Arial"/>
                <w:sz w:val="15"/>
                <w:szCs w:val="15"/>
                <w:color w:val="auto"/>
              </w:rPr>
              <w:t>(3)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Executive Employment Agreement, dated July 21, 2005, between HealthStream, Inc. and Robert A. Frist, Jr.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0"/>
              </w:rPr>
              <w:t>Lease dated March 27, 1995, as amended June 6, 1995 and September 22, 1998, between Cummins Station LLC, as landlord, and NewOrder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Media, Inc., as tenant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Development and Distribution Agreement between HealthStream, Inc. and GE Medical Systems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Education Services Provider Agreement dated October 1, 2001 between HealthStream, Inc. and HCA Information Technology &amp; Systems,</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as amended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Director Stock Option Agreement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5"/>
                <w:szCs w:val="15"/>
                <w:color w:val="auto"/>
              </w:rPr>
              <w:t>(4)</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Form of Employee and Executive Officer Stock Option Agreement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10.10</w:t>
            </w:r>
            <w:r>
              <w:rPr>
                <w:rFonts w:ascii="Arial" w:cs="Arial" w:eastAsia="Arial" w:hAnsi="Arial"/>
                <w:sz w:val="15"/>
                <w:szCs w:val="15"/>
                <w:color w:val="auto"/>
              </w:rPr>
              <w:t>(5)</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Loan Agreement dated July 21, 2006 between HealthStream, Inc. and SunTrust Bank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10.11</w:t>
            </w:r>
            <w:r>
              <w:rPr>
                <w:rFonts w:ascii="Arial" w:cs="Arial" w:eastAsia="Arial" w:hAnsi="Arial"/>
                <w:sz w:val="15"/>
                <w:szCs w:val="15"/>
                <w:color w:val="auto"/>
              </w:rPr>
              <w:t>(6)</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First Amendment to Loan Agreement dated February 16, 2007 between HealthStream, Inc. and SunTrust Bank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10.12</w:t>
            </w:r>
            <w:r>
              <w:rPr>
                <w:rFonts w:ascii="Arial" w:cs="Arial" w:eastAsia="Arial" w:hAnsi="Arial"/>
                <w:sz w:val="15"/>
                <w:szCs w:val="15"/>
                <w:color w:val="auto"/>
              </w:rPr>
              <w:t>(7)</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Second Amendment to Loan Agreement dated July 23, 2007 between HealthStream, Inc. and SunTrust Bank</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Summary of Director and Executive Officer Compensation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Subsidiaries of HealthStream, Inc.</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the Chief Financial Officer Pursuant to Section 302 of the Sarbanes-Oxley Act of 2002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right="68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treatment was received with respect to certain portions of this document. Such portions were omitted and filed separately with the Securities and Exchange Commission.</w:t>
      </w:r>
    </w:p>
    <w:p>
      <w:pPr>
        <w:spacing w:after="0" w:line="22" w:lineRule="exact"/>
        <w:rPr>
          <w:sz w:val="20"/>
          <w:szCs w:val="20"/>
          <w:color w:val="auto"/>
        </w:rPr>
      </w:pPr>
    </w:p>
    <w:p>
      <w:pPr>
        <w:ind w:right="2760" w:firstLine="8"/>
        <w:spacing w:after="0" w:line="328" w:lineRule="auto"/>
        <w:tabs>
          <w:tab w:leader="none" w:pos="4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on Form S-1, as amended (Reg. No. 333-88939). ^ Management contract or compensatory plan or arrangement</w:t>
      </w:r>
    </w:p>
    <w:p>
      <w:pPr>
        <w:spacing w:after="0" w:line="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29,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March 12,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2005.</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Annual Report on Form 10-K, dated March 30,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25, 2006.</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February 20,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from exhibit filed on our Current Report on Form 8-K, dated July 24, 2007.</w:t>
      </w:r>
    </w:p>
    <w:p>
      <w:pPr>
        <w:sectPr>
          <w:pgSz w:w="11900" w:h="16838" w:orient="portrait"/>
          <w:cols w:equalWidth="0" w:num="1">
            <w:col w:w="11420"/>
          </w:cols>
          <w:pgMar w:left="240" w:top="419"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10.13</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 (the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Director and Executive Officer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 </w:t>
      </w:r>
      <w:r>
        <w:rPr>
          <w:rFonts w:ascii="Arial" w:cs="Arial" w:eastAsia="Arial" w:hAnsi="Arial"/>
          <w:sz w:val="16"/>
          <w:szCs w:val="16"/>
          <w:b w:val="1"/>
          <w:bCs w:val="1"/>
          <w:color w:val="auto"/>
        </w:rPr>
        <w:t>Director Compensation</w:t>
      </w:r>
      <w:r>
        <w:rPr>
          <w:rFonts w:ascii="Arial" w:cs="Arial" w:eastAsia="Arial" w:hAnsi="Arial"/>
          <w:sz w:val="16"/>
          <w:szCs w:val="16"/>
          <w:color w:val="auto"/>
        </w:rPr>
        <w:t>. Directors who are employees of the Company do not receive additional compensation for serving as directors of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current rates of cash compensation for the Company’s non-employee directors.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780" w:type="dxa"/>
            <w:vAlign w:val="bottom"/>
            <w:gridSpan w:val="2"/>
          </w:tcPr>
          <w:p>
            <w:pPr>
              <w:spacing w:after="0"/>
              <w:rPr>
                <w:sz w:val="20"/>
                <w:szCs w:val="20"/>
                <w:color w:val="auto"/>
              </w:rPr>
            </w:pPr>
            <w:r>
              <w:rPr>
                <w:rFonts w:ascii="Arial" w:cs="Arial" w:eastAsia="Arial" w:hAnsi="Arial"/>
                <w:sz w:val="14"/>
                <w:szCs w:val="14"/>
                <w:b w:val="1"/>
                <w:bCs w:val="1"/>
                <w:color w:val="auto"/>
              </w:rPr>
              <w:t>Retainers and Fees</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14"/>
              <w:spacing w:after="0"/>
              <w:rPr>
                <w:sz w:val="20"/>
                <w:szCs w:val="20"/>
                <w:color w:val="auto"/>
              </w:rPr>
            </w:pPr>
            <w:r>
              <w:rPr>
                <w:rFonts w:ascii="Arial" w:cs="Arial" w:eastAsia="Arial" w:hAnsi="Arial"/>
                <w:sz w:val="14"/>
                <w:szCs w:val="14"/>
                <w:b w:val="1"/>
                <w:bCs w:val="1"/>
                <w:color w:val="auto"/>
              </w:rPr>
              <w:t>2009</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Board meeting fee</w:t>
            </w:r>
          </w:p>
        </w:tc>
        <w:tc>
          <w:tcPr>
            <w:tcW w:w="5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4"/>
              </w:rPr>
              <w:t>1,000</w:t>
            </w: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Committee chair meeting fee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w w:val="84"/>
              </w:rPr>
              <w:t>1,000</w:t>
            </w: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Committee member meeting fee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rPr>
              <w:t>500</w:t>
            </w:r>
          </w:p>
        </w:tc>
      </w:tr>
    </w:tbl>
    <w:p>
      <w:pPr>
        <w:spacing w:after="0" w:line="94"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color w:val="auto"/>
        </w:rPr>
        <w:t>In addition to the cash compensation set forth above, each non-employee director receives a nondiscretionary annual grant of a non-qualified option for the purchase of 6,000 shares of the Company’s common stock. The option is granted in connection with our Annual Meeting of Shareholders, vests over a one year period, and has an exercise price equal to the fair market value of the stock on the grant date.</w:t>
      </w:r>
    </w:p>
    <w:p>
      <w:pPr>
        <w:spacing w:after="0" w:line="69" w:lineRule="exact"/>
        <w:rPr>
          <w:sz w:val="20"/>
          <w:szCs w:val="20"/>
          <w:color w:val="auto"/>
        </w:rPr>
      </w:pPr>
    </w:p>
    <w:p>
      <w:pPr>
        <w:ind w:right="600" w:firstLine="8"/>
        <w:spacing w:after="0" w:line="282" w:lineRule="auto"/>
        <w:tabs>
          <w:tab w:leader="none" w:pos="210"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Executive Officer Compensation</w:t>
      </w:r>
      <w:r>
        <w:rPr>
          <w:rFonts w:ascii="Arial" w:cs="Arial" w:eastAsia="Arial" w:hAnsi="Arial"/>
          <w:sz w:val="18"/>
          <w:szCs w:val="18"/>
          <w:color w:val="auto"/>
        </w:rPr>
        <w:t>. The following table sets forth the current base salaries and the fiscal 2008 performance bonuses provided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who the Company expects to be its Named Executive Officers for 2008.</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w:t>
            </w:r>
          </w:p>
        </w:tc>
        <w:tc>
          <w:tcPr>
            <w:tcW w:w="500" w:type="dxa"/>
            <w:vAlign w:val="bottom"/>
          </w:tcPr>
          <w:p>
            <w:pPr>
              <w:spacing w:after="0"/>
              <w:rPr>
                <w:sz w:val="14"/>
                <w:szCs w:val="14"/>
                <w:color w:val="auto"/>
              </w:rPr>
            </w:pPr>
          </w:p>
        </w:tc>
        <w:tc>
          <w:tcPr>
            <w:tcW w:w="1400" w:type="dxa"/>
            <w:vAlign w:val="bottom"/>
          </w:tcPr>
          <w:p>
            <w:pPr>
              <w:jc w:val="right"/>
              <w:ind w:right="159"/>
              <w:spacing w:after="0"/>
              <w:rPr>
                <w:sz w:val="20"/>
                <w:szCs w:val="20"/>
                <w:color w:val="auto"/>
              </w:rPr>
            </w:pPr>
            <w:r>
              <w:rPr>
                <w:rFonts w:ascii="Arial" w:cs="Arial" w:eastAsia="Arial" w:hAnsi="Arial"/>
                <w:sz w:val="14"/>
                <w:szCs w:val="14"/>
                <w:b w:val="1"/>
                <w:bCs w:val="1"/>
                <w:color w:val="auto"/>
              </w:rPr>
              <w:t>Current Salary</w:t>
            </w:r>
          </w:p>
        </w:tc>
        <w:tc>
          <w:tcPr>
            <w:tcW w:w="2120" w:type="dxa"/>
            <w:vAlign w:val="bottom"/>
            <w:gridSpan w:val="2"/>
          </w:tcPr>
          <w:p>
            <w:pPr>
              <w:jc w:val="right"/>
              <w:spacing w:after="0"/>
              <w:rPr>
                <w:sz w:val="20"/>
                <w:szCs w:val="20"/>
                <w:color w:val="auto"/>
              </w:rPr>
            </w:pPr>
            <w:r>
              <w:rPr>
                <w:rFonts w:ascii="Arial" w:cs="Arial" w:eastAsia="Arial" w:hAnsi="Arial"/>
                <w:sz w:val="14"/>
                <w:szCs w:val="14"/>
                <w:b w:val="1"/>
                <w:bCs w:val="1"/>
                <w:color w:val="auto"/>
              </w:rPr>
              <w:t>Fiscal 2008 Bonus Amount</w:t>
            </w:r>
          </w:p>
        </w:tc>
      </w:tr>
      <w:tr>
        <w:trPr>
          <w:trHeight w:val="210"/>
        </w:trPr>
        <w:tc>
          <w:tcPr>
            <w:tcW w:w="20" w:type="dxa"/>
            <w:vAlign w:val="bottom"/>
          </w:tcPr>
          <w:p>
            <w:pPr>
              <w:spacing w:after="0"/>
              <w:rPr>
                <w:sz w:val="18"/>
                <w:szCs w:val="18"/>
                <w:color w:val="auto"/>
              </w:rPr>
            </w:pPr>
          </w:p>
        </w:tc>
        <w:tc>
          <w:tcPr>
            <w:tcW w:w="7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5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rPr>
              <w:t>$210,000</w:t>
            </w:r>
          </w:p>
        </w:tc>
        <w:tc>
          <w:tcPr>
            <w:tcW w:w="48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 -0-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Arthur E. Newman</w:t>
            </w:r>
          </w:p>
        </w:tc>
        <w:tc>
          <w:tcPr>
            <w:tcW w:w="1900" w:type="dxa"/>
            <w:vAlign w:val="bottom"/>
            <w:gridSpan w:val="2"/>
          </w:tcPr>
          <w:p>
            <w:pPr>
              <w:jc w:val="right"/>
              <w:ind w:right="319"/>
              <w:spacing w:after="0"/>
              <w:rPr>
                <w:sz w:val="20"/>
                <w:szCs w:val="20"/>
                <w:color w:val="auto"/>
              </w:rPr>
            </w:pPr>
            <w:r>
              <w:rPr>
                <w:rFonts w:ascii="Arial" w:cs="Arial" w:eastAsia="Arial" w:hAnsi="Arial"/>
                <w:sz w:val="18"/>
                <w:szCs w:val="18"/>
                <w:color w:val="auto"/>
              </w:rPr>
              <w:t>$210,000</w:t>
            </w:r>
          </w:p>
        </w:tc>
        <w:tc>
          <w:tcPr>
            <w:tcW w:w="2120" w:type="dxa"/>
            <w:vAlign w:val="bottom"/>
            <w:gridSpan w:val="2"/>
          </w:tcPr>
          <w:p>
            <w:pPr>
              <w:jc w:val="right"/>
              <w:ind w:right="610"/>
              <w:spacing w:after="0"/>
              <w:rPr>
                <w:sz w:val="20"/>
                <w:szCs w:val="20"/>
                <w:color w:val="auto"/>
              </w:rPr>
            </w:pPr>
            <w:r>
              <w:rPr>
                <w:rFonts w:ascii="Arial" w:cs="Arial" w:eastAsia="Arial" w:hAnsi="Arial"/>
                <w:sz w:val="18"/>
                <w:szCs w:val="18"/>
                <w:color w:val="auto"/>
              </w:rPr>
              <w:t>$ -0-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J. Edward Pearson</w:t>
            </w:r>
          </w:p>
        </w:tc>
        <w:tc>
          <w:tcPr>
            <w:tcW w:w="1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$215,000</w:t>
            </w:r>
          </w:p>
        </w:tc>
        <w:tc>
          <w:tcPr>
            <w:tcW w:w="2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 -0-</w:t>
            </w: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Kevin P. O’Hara</w:t>
            </w:r>
          </w:p>
        </w:tc>
        <w:tc>
          <w:tcPr>
            <w:tcW w:w="1900" w:type="dxa"/>
            <w:vAlign w:val="bottom"/>
            <w:gridSpan w:val="2"/>
          </w:tcPr>
          <w:p>
            <w:pPr>
              <w:jc w:val="right"/>
              <w:ind w:right="319"/>
              <w:spacing w:after="0"/>
              <w:rPr>
                <w:sz w:val="20"/>
                <w:szCs w:val="20"/>
                <w:color w:val="auto"/>
              </w:rPr>
            </w:pPr>
            <w:r>
              <w:rPr>
                <w:rFonts w:ascii="Arial" w:cs="Arial" w:eastAsia="Arial" w:hAnsi="Arial"/>
                <w:sz w:val="18"/>
                <w:szCs w:val="18"/>
                <w:color w:val="auto"/>
              </w:rPr>
              <w:t>$200,000</w:t>
            </w:r>
          </w:p>
        </w:tc>
        <w:tc>
          <w:tcPr>
            <w:tcW w:w="2120" w:type="dxa"/>
            <w:vAlign w:val="bottom"/>
            <w:gridSpan w:val="2"/>
          </w:tcPr>
          <w:p>
            <w:pPr>
              <w:jc w:val="right"/>
              <w:ind w:right="610"/>
              <w:spacing w:after="0"/>
              <w:rPr>
                <w:sz w:val="20"/>
                <w:szCs w:val="20"/>
                <w:color w:val="auto"/>
              </w:rPr>
            </w:pPr>
            <w:r>
              <w:rPr>
                <w:rFonts w:ascii="Arial" w:cs="Arial" w:eastAsia="Arial" w:hAnsi="Arial"/>
                <w:sz w:val="18"/>
                <w:szCs w:val="18"/>
                <w:color w:val="auto"/>
              </w:rPr>
              <w:t>$ -0-</w:t>
            </w: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Gerard M. Hayden, Jr.</w:t>
            </w:r>
          </w:p>
        </w:tc>
        <w:tc>
          <w:tcPr>
            <w:tcW w:w="1900" w:type="dxa"/>
            <w:vAlign w:val="bottom"/>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$205,000</w:t>
            </w:r>
          </w:p>
        </w:tc>
        <w:tc>
          <w:tcPr>
            <w:tcW w:w="21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 -0-</w:t>
            </w:r>
          </w:p>
        </w:tc>
      </w:tr>
      <w:tr>
        <w:trPr>
          <w:trHeight w:val="230"/>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Jeffrey S. Doster</w:t>
            </w:r>
          </w:p>
        </w:tc>
        <w:tc>
          <w:tcPr>
            <w:tcW w:w="1900" w:type="dxa"/>
            <w:vAlign w:val="bottom"/>
            <w:gridSpan w:val="2"/>
          </w:tcPr>
          <w:p>
            <w:pPr>
              <w:jc w:val="right"/>
              <w:ind w:right="319"/>
              <w:spacing w:after="0"/>
              <w:rPr>
                <w:sz w:val="20"/>
                <w:szCs w:val="20"/>
                <w:color w:val="auto"/>
              </w:rPr>
            </w:pPr>
            <w:r>
              <w:rPr>
                <w:rFonts w:ascii="Arial" w:cs="Arial" w:eastAsia="Arial" w:hAnsi="Arial"/>
                <w:sz w:val="18"/>
                <w:szCs w:val="18"/>
                <w:color w:val="auto"/>
              </w:rPr>
              <w:t>$205,000</w:t>
            </w:r>
          </w:p>
        </w:tc>
        <w:tc>
          <w:tcPr>
            <w:tcW w:w="2120" w:type="dxa"/>
            <w:vAlign w:val="bottom"/>
            <w:gridSpan w:val="2"/>
          </w:tcPr>
          <w:p>
            <w:pPr>
              <w:jc w:val="right"/>
              <w:ind w:right="610"/>
              <w:spacing w:after="0"/>
              <w:rPr>
                <w:sz w:val="20"/>
                <w:szCs w:val="20"/>
                <w:color w:val="auto"/>
              </w:rPr>
            </w:pPr>
            <w:r>
              <w:rPr>
                <w:rFonts w:ascii="Arial" w:cs="Arial" w:eastAsia="Arial" w:hAnsi="Arial"/>
                <w:sz w:val="18"/>
                <w:szCs w:val="18"/>
                <w:color w:val="auto"/>
              </w:rPr>
              <w:t>$ -0-</w:t>
            </w:r>
          </w:p>
        </w:tc>
      </w:tr>
    </w:tbl>
    <w:p>
      <w:pPr>
        <w:spacing w:after="0" w:line="79"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Named Executive Officers also participate in the Company’s 2009 Incremental Net Income Incentive Plan and will continue to be eligible to receive long-term incentive awards pursuant to the Company’s shareholder approved equity incentive plans. The material terms of the 2009 Incremental Net Income Incentive Plan include tiered bonuses as a percentage of base salary ranging from a minimum payout of 2.6 percent for exceeding the Company’s budgeted net income for 2009, with incremental payouts for net income performance above the minimum level, and a maximum payout of 35 percent for net income performance significantly higher than the minimum payout level.</w:t>
      </w:r>
    </w:p>
    <w:p>
      <w:pPr>
        <w:spacing w:after="0" w:line="76" w:lineRule="exact"/>
        <w:rPr>
          <w:sz w:val="20"/>
          <w:szCs w:val="20"/>
          <w:color w:val="auto"/>
        </w:rPr>
      </w:pPr>
    </w:p>
    <w:p>
      <w:pPr>
        <w:ind w:right="440" w:firstLine="8"/>
        <w:spacing w:after="0" w:line="266" w:lineRule="auto"/>
        <w:tabs>
          <w:tab w:leader="none" w:pos="27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Additional Information</w:t>
      </w:r>
      <w:r>
        <w:rPr>
          <w:rFonts w:ascii="Arial" w:cs="Arial" w:eastAsia="Arial" w:hAnsi="Arial"/>
          <w:sz w:val="18"/>
          <w:szCs w:val="18"/>
          <w:color w:val="auto"/>
        </w:rPr>
        <w:t>. The foregoing information is summary in nature. Additional information regarding Director and Named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will be contained in our proxy statement for the 2009 Annual Meeting of Shareholders that we will file with the Securities and Exchange Commission within 120 days of the end of the fiscal year to which this report relates.</w:t>
      </w:r>
    </w:p>
    <w:p>
      <w:pPr>
        <w:sectPr>
          <w:pgSz w:w="11900" w:h="16838" w:orient="portrait"/>
          <w:cols w:equalWidth="0" w:num="1">
            <w:col w:w="11420"/>
          </w:cols>
          <w:pgMar w:left="240" w:top="125"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60" w:type="dxa"/>
            <w:vAlign w:val="bottom"/>
            <w:gridSpan w:val="2"/>
          </w:tcPr>
          <w:p>
            <w:pPr>
              <w:ind w:left="1760"/>
              <w:spacing w:after="0"/>
              <w:rPr>
                <w:sz w:val="20"/>
                <w:szCs w:val="20"/>
                <w:color w:val="auto"/>
              </w:rPr>
            </w:pPr>
            <w:r>
              <w:rPr>
                <w:rFonts w:ascii="Arial" w:cs="Arial" w:eastAsia="Arial" w:hAnsi="Arial"/>
                <w:sz w:val="18"/>
                <w:szCs w:val="18"/>
                <w:color w:val="auto"/>
                <w:w w:val="98"/>
              </w:rPr>
              <w:t>EXHIBIT 21.1</w:t>
            </w:r>
          </w:p>
        </w:tc>
      </w:tr>
      <w:tr>
        <w:trPr>
          <w:trHeight w:val="540"/>
        </w:trPr>
        <w:tc>
          <w:tcPr>
            <w:tcW w:w="20" w:type="dxa"/>
            <w:vAlign w:val="bottom"/>
          </w:tcPr>
          <w:p>
            <w:pPr>
              <w:spacing w:after="0"/>
              <w:rPr>
                <w:sz w:val="24"/>
                <w:szCs w:val="24"/>
                <w:color w:val="auto"/>
              </w:rPr>
            </w:pPr>
          </w:p>
        </w:tc>
        <w:tc>
          <w:tcPr>
            <w:tcW w:w="7980" w:type="dxa"/>
            <w:vAlign w:val="bottom"/>
          </w:tcPr>
          <w:p>
            <w:pPr>
              <w:ind w:left="3900"/>
              <w:spacing w:after="0"/>
              <w:rPr>
                <w:sz w:val="20"/>
                <w:szCs w:val="20"/>
                <w:color w:val="auto"/>
              </w:rPr>
            </w:pPr>
            <w:r>
              <w:rPr>
                <w:rFonts w:ascii="Arial" w:cs="Arial" w:eastAsia="Arial" w:hAnsi="Arial"/>
                <w:sz w:val="18"/>
                <w:szCs w:val="18"/>
                <w:b w:val="1"/>
                <w:bCs w:val="1"/>
                <w:color w:val="auto"/>
              </w:rPr>
              <w:t>SUBSIDIARIES OF HEALTHSTREAM, INC.</w:t>
            </w: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6"/>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6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State or Other</w:t>
            </w: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Jurisdiction of</w:t>
            </w:r>
          </w:p>
        </w:tc>
      </w:tr>
      <w:tr>
        <w:trPr>
          <w:trHeight w:val="149"/>
        </w:trPr>
        <w:tc>
          <w:tcPr>
            <w:tcW w:w="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Incorporation or</w:t>
            </w:r>
          </w:p>
        </w:tc>
      </w:tr>
      <w:tr>
        <w:trPr>
          <w:trHeight w:val="167"/>
        </w:trPr>
        <w:tc>
          <w:tcPr>
            <w:tcW w:w="20" w:type="dxa"/>
            <w:vAlign w:val="bottom"/>
          </w:tcPr>
          <w:p>
            <w:pPr>
              <w:spacing w:after="0"/>
              <w:rPr>
                <w:sz w:val="14"/>
                <w:szCs w:val="14"/>
                <w:color w:val="auto"/>
              </w:rPr>
            </w:pPr>
          </w:p>
        </w:tc>
        <w:tc>
          <w:tcPr>
            <w:tcW w:w="7980" w:type="dxa"/>
            <w:vAlign w:val="bottom"/>
          </w:tcPr>
          <w:p>
            <w:pPr>
              <w:ind w:left="2880"/>
              <w:spacing w:after="0"/>
              <w:rPr>
                <w:sz w:val="20"/>
                <w:szCs w:val="20"/>
                <w:color w:val="auto"/>
              </w:rPr>
            </w:pPr>
            <w:r>
              <w:rPr>
                <w:rFonts w:ascii="Arial" w:cs="Arial" w:eastAsia="Arial" w:hAnsi="Arial"/>
                <w:sz w:val="14"/>
                <w:szCs w:val="14"/>
                <w:color w:val="auto"/>
              </w:rPr>
              <w:t>Names Under Which We Do Business</w:t>
            </w:r>
          </w:p>
        </w:tc>
        <w:tc>
          <w:tcPr>
            <w:tcW w:w="580" w:type="dxa"/>
            <w:vAlign w:val="bottom"/>
          </w:tcPr>
          <w:p>
            <w:pPr>
              <w:spacing w:after="0"/>
              <w:rPr>
                <w:sz w:val="14"/>
                <w:szCs w:val="14"/>
                <w:color w:val="auto"/>
              </w:rPr>
            </w:pPr>
          </w:p>
        </w:tc>
        <w:tc>
          <w:tcPr>
            <w:tcW w:w="2860" w:type="dxa"/>
            <w:vAlign w:val="bottom"/>
            <w:gridSpan w:val="2"/>
          </w:tcPr>
          <w:p>
            <w:pPr>
              <w:jc w:val="center"/>
              <w:ind w:right="40"/>
              <w:spacing w:after="0"/>
              <w:rPr>
                <w:sz w:val="20"/>
                <w:szCs w:val="20"/>
                <w:color w:val="auto"/>
              </w:rPr>
            </w:pPr>
            <w:r>
              <w:rPr>
                <w:rFonts w:ascii="Arial" w:cs="Arial" w:eastAsia="Arial" w:hAnsi="Arial"/>
                <w:sz w:val="14"/>
                <w:szCs w:val="14"/>
                <w:color w:val="auto"/>
                <w:w w:val="93"/>
              </w:rPr>
              <w:t>Organization</w:t>
            </w:r>
          </w:p>
        </w:tc>
      </w:tr>
      <w:tr>
        <w:trPr>
          <w:trHeight w:val="195"/>
        </w:trPr>
        <w:tc>
          <w:tcPr>
            <w:tcW w:w="20" w:type="dxa"/>
            <w:vAlign w:val="bottom"/>
          </w:tcPr>
          <w:p>
            <w:pPr>
              <w:spacing w:after="0"/>
              <w:rPr>
                <w:sz w:val="16"/>
                <w:szCs w:val="16"/>
                <w:color w:val="auto"/>
              </w:rPr>
            </w:pPr>
          </w:p>
        </w:tc>
        <w:tc>
          <w:tcPr>
            <w:tcW w:w="7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Education Design, Inc.</w:t>
            </w:r>
          </w:p>
        </w:tc>
        <w:tc>
          <w:tcPr>
            <w:tcW w:w="580" w:type="dxa"/>
            <w:vAlign w:val="bottom"/>
          </w:tcPr>
          <w:p>
            <w:pPr>
              <w:spacing w:after="0"/>
              <w:rPr>
                <w:sz w:val="16"/>
                <w:szCs w:val="16"/>
                <w:color w:val="auto"/>
              </w:rPr>
            </w:pPr>
          </w:p>
        </w:tc>
        <w:tc>
          <w:tcPr>
            <w:tcW w:w="2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Tennessee</w:t>
            </w:r>
          </w:p>
        </w:tc>
        <w:tc>
          <w:tcPr>
            <w:tcW w:w="20" w:type="dxa"/>
            <w:vAlign w:val="bottom"/>
          </w:tcPr>
          <w:p>
            <w:pPr>
              <w:spacing w:after="0"/>
              <w:rPr>
                <w:sz w:val="16"/>
                <w:szCs w:val="16"/>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Data Management &amp; Research, Inc.</w:t>
            </w:r>
          </w:p>
        </w:tc>
        <w:tc>
          <w:tcPr>
            <w:tcW w:w="580" w:type="dxa"/>
            <w:vAlign w:val="bottom"/>
          </w:tcPr>
          <w:p>
            <w:pPr>
              <w:spacing w:after="0"/>
              <w:rPr>
                <w:sz w:val="18"/>
                <w:szCs w:val="18"/>
                <w:color w:val="auto"/>
              </w:rPr>
            </w:pPr>
          </w:p>
        </w:tc>
        <w:tc>
          <w:tcPr>
            <w:tcW w:w="2860" w:type="dxa"/>
            <w:vAlign w:val="bottom"/>
            <w:gridSpan w:val="2"/>
          </w:tcPr>
          <w:p>
            <w:pPr>
              <w:jc w:val="center"/>
              <w:ind w:right="40"/>
              <w:spacing w:after="0"/>
              <w:rPr>
                <w:sz w:val="20"/>
                <w:szCs w:val="20"/>
                <w:color w:val="auto"/>
              </w:rPr>
            </w:pPr>
            <w:r>
              <w:rPr>
                <w:rFonts w:ascii="Arial" w:cs="Arial" w:eastAsia="Arial" w:hAnsi="Arial"/>
                <w:sz w:val="18"/>
                <w:szCs w:val="18"/>
                <w:color w:val="auto"/>
                <w:w w:val="83"/>
              </w:rPr>
              <w:t>Tennessee</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The Jackson Organization, Research Consultants, Inc.</w:t>
            </w:r>
          </w:p>
        </w:tc>
        <w:tc>
          <w:tcPr>
            <w:tcW w:w="580" w:type="dxa"/>
            <w:vAlign w:val="bottom"/>
          </w:tcPr>
          <w:p>
            <w:pPr>
              <w:spacing w:after="0"/>
              <w:rPr>
                <w:sz w:val="18"/>
                <w:szCs w:val="18"/>
                <w:color w:val="auto"/>
              </w:rPr>
            </w:pPr>
          </w:p>
        </w:tc>
        <w:tc>
          <w:tcPr>
            <w:tcW w:w="28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Maryland</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HealthStream Acquisition I, Inc.</w:t>
            </w:r>
          </w:p>
        </w:tc>
        <w:tc>
          <w:tcPr>
            <w:tcW w:w="580" w:type="dxa"/>
            <w:vAlign w:val="bottom"/>
          </w:tcPr>
          <w:p>
            <w:pPr>
              <w:spacing w:after="0"/>
              <w:rPr>
                <w:sz w:val="18"/>
                <w:szCs w:val="18"/>
                <w:color w:val="auto"/>
              </w:rPr>
            </w:pPr>
          </w:p>
        </w:tc>
        <w:tc>
          <w:tcPr>
            <w:tcW w:w="2860" w:type="dxa"/>
            <w:vAlign w:val="bottom"/>
            <w:gridSpan w:val="2"/>
          </w:tcPr>
          <w:p>
            <w:pPr>
              <w:jc w:val="center"/>
              <w:ind w:right="40"/>
              <w:spacing w:after="0"/>
              <w:rPr>
                <w:sz w:val="20"/>
                <w:szCs w:val="20"/>
                <w:color w:val="auto"/>
              </w:rPr>
            </w:pPr>
            <w:r>
              <w:rPr>
                <w:rFonts w:ascii="Arial" w:cs="Arial" w:eastAsia="Arial" w:hAnsi="Arial"/>
                <w:sz w:val="18"/>
                <w:szCs w:val="18"/>
                <w:color w:val="auto"/>
                <w:w w:val="83"/>
              </w:rPr>
              <w:t>Tennessee</w:t>
            </w:r>
          </w:p>
        </w:tc>
      </w:tr>
      <w:tr>
        <w:trPr>
          <w:trHeight w:val="230"/>
        </w:trPr>
        <w:tc>
          <w:tcPr>
            <w:tcW w:w="8000" w:type="dxa"/>
            <w:vAlign w:val="bottom"/>
            <w:gridSpan w:val="2"/>
          </w:tcPr>
          <w:p>
            <w:pPr>
              <w:spacing w:after="0"/>
              <w:rPr>
                <w:sz w:val="20"/>
                <w:szCs w:val="20"/>
                <w:color w:val="auto"/>
              </w:rPr>
            </w:pPr>
            <w:r>
              <w:rPr>
                <w:rFonts w:ascii="Arial" w:cs="Arial" w:eastAsia="Arial" w:hAnsi="Arial"/>
                <w:sz w:val="18"/>
                <w:szCs w:val="18"/>
                <w:color w:val="auto"/>
              </w:rPr>
              <w:t>HealthStream Acquisition II, Inc.</w:t>
            </w:r>
          </w:p>
        </w:tc>
        <w:tc>
          <w:tcPr>
            <w:tcW w:w="580" w:type="dxa"/>
            <w:vAlign w:val="bottom"/>
          </w:tcPr>
          <w:p>
            <w:pPr>
              <w:spacing w:after="0"/>
              <w:rPr>
                <w:sz w:val="20"/>
                <w:szCs w:val="20"/>
                <w:color w:val="auto"/>
              </w:rPr>
            </w:pPr>
          </w:p>
        </w:tc>
        <w:tc>
          <w:tcPr>
            <w:tcW w:w="2860" w:type="dxa"/>
            <w:vAlign w:val="bottom"/>
            <w:gridSpan w:val="2"/>
          </w:tcPr>
          <w:p>
            <w:pPr>
              <w:jc w:val="center"/>
              <w:ind w:right="40"/>
              <w:spacing w:after="0"/>
              <w:rPr>
                <w:sz w:val="20"/>
                <w:szCs w:val="20"/>
                <w:color w:val="auto"/>
              </w:rPr>
            </w:pPr>
            <w:r>
              <w:rPr>
                <w:rFonts w:ascii="Arial" w:cs="Arial" w:eastAsia="Arial" w:hAnsi="Arial"/>
                <w:sz w:val="18"/>
                <w:szCs w:val="18"/>
                <w:color w:val="auto"/>
                <w:w w:val="83"/>
              </w:rPr>
              <w:t>Tennessee</w:t>
            </w:r>
          </w:p>
        </w:tc>
      </w:tr>
    </w:tbl>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No. 333-37440) pertaining to the (1) HealthStream, Inc. 1994 Employee Stock Option Plan; and (2) HealthStream, Inc. 2000 Stock Incentive Plan; of our report dated March 23, 2009, with respect to the consolidated financial statements of HealthStream, Inc. included in this Annual Report (Form 10-K) for the year ended December 31, 2008.</w:t>
      </w:r>
    </w:p>
    <w:p>
      <w:pPr>
        <w:spacing w:after="0" w:line="38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Ernst &amp; Young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2009</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3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HealthStream,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3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260" w:right="580" w:hanging="252"/>
        <w:spacing w:after="0" w:line="308" w:lineRule="auto"/>
        <w:tabs>
          <w:tab w:leader="none" w:pos="2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March 27,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557"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2008, as filed with the Securities and Exchange Commission on the date hereof (the “Report”), Robert A. Frist, Jr., Chief Executive Officer of the Company certifies, pursuant to 18 U.S.C. §1350, as adopted pursuant to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OBERT</w:t>
      </w:r>
      <w:r>
        <w:rPr>
          <w:rFonts w:ascii="Arial" w:cs="Arial" w:eastAsia="Arial" w:hAnsi="Arial"/>
          <w:sz w:val="18"/>
          <w:szCs w:val="18"/>
          <w:color w:val="auto"/>
        </w:rPr>
        <w:t xml:space="preserve"> A. F</w:t>
      </w:r>
      <w:r>
        <w:rPr>
          <w:rFonts w:ascii="Arial" w:cs="Arial" w:eastAsia="Arial" w:hAnsi="Arial"/>
          <w:sz w:val="12"/>
          <w:szCs w:val="12"/>
          <w:color w:val="auto"/>
        </w:rPr>
        <w:t>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2009</w:t>
      </w:r>
    </w:p>
    <w:p>
      <w:pPr>
        <w:sectPr>
          <w:pgSz w:w="11900" w:h="16838" w:orient="portrait"/>
          <w:cols w:equalWidth="0" w:num="1">
            <w:col w:w="11420"/>
          </w:cols>
          <w:pgMar w:left="240" w:top="557"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 connection with the Annual Report of HealthStream, Inc. (the “Company”) on Form 10-K for the year ending December 31, 2008, as filed with the Securities and Exchange Commission on the date hereof (the “Report”), Gerard M. Hayden, Jr., Chief Financial Officer of the Company certifies, pursuant to 18 U.S.C. § 1350, as adopted pursuant to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27, 2009</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o"/>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emdash "/>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3"/>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1."/>
      <w:numFmt w:val="upperLetter"/>
      <w:start w:val="35"/>
    </w:lvl>
  </w:abstractNum>
  <w:abstractNum w:abstractNumId="30">
    <w:nsid w:val="4516DDE9"/>
    <w:multiLevelType w:val="hybridMultilevel"/>
    <w:lvl w:ilvl="0">
      <w:lvlJc w:val="left"/>
      <w:lvlText w:val="%1."/>
      <w:numFmt w:val="upperLetter"/>
      <w:start w:val="6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2019-12-10T18:12:03Z</dcterms:created>
  <dcterms:modified xsi:type="dcterms:W3CDTF">2019-12-10T18:12:03Z</dcterms:modified>
</cp:coreProperties>
</file>