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Collier Michael Manning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11TH AVENUE NORTH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HEALTHSTREAM INC</w:t>
              </w:r>
            </w:hyperlink>
            <w:r>
              <w:rPr/>
              <w:t xml:space="preserve"> [ </w:t>
            </w:r>
            <w:r>
              <w:rPr>
                <w:rFonts w:ascii="Times;serif" w:hAnsi="Times;serif"/>
                <w:color w:val="0000FF"/>
                <w:sz w:val="24"/>
                <w:shd w:fill="FFFFFF" w:val="clear"/>
              </w:rPr>
              <w:t>HSTM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60,293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15,395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5,132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(RSU) represents the contingent right to receive one share of common stock upon vesting of the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are subject to a four year vesting schedule, contingent upon continued service at the time of vesting. 15% vest on September 18, 2027, 20% vest on September 18, 2028, 30% vest on September 18, 2029, and the remaining 35% vest on September 18,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are subject to a four year vesting schedule, contingent upon continued service at the time of vesting. The RSUs vest annually beginning September 18, 2027 in four equal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Vesting of these RSUs is contingent upon continued service at the time of vesting and the achievement of certain performance criteria. The performance criteria will be established on an annual basis by the Compensation Committee of the Board of Directors. Up to 25% vest on February 23, 2028 for the period January 1, 2027 through December 31, 2027; up to 25% vest on February 23, 2029 for the period January 1, 2028 through December 31, 2028; up to 25% vest on February 23, 2030 for the period January 1, 2029 through December 31, 2029; and up to 25% vest on February 23, 2031 for the period January 1, 2030 through December 31, 2030. Vesting will be determined based on actual performance. RSUs that do not vest during a performance period may become eligible for vesting during the next performance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 Collier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5401" TargetMode="External"/><Relationship Id="rId5" Type="http://schemas.openxmlformats.org/officeDocument/2006/relationships/hyperlink" Target="http://www.sec.gov/cgi-bin/browse-edgar?action=getcompany&amp;CIK=00010955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849</Words>
  <Characters>4432</Characters>
  <CharactersWithSpaces>5178</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