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March 31, 2023</w:t>
      </w:r>
    </w:p>
    <w:p>
      <w:pPr>
        <w:spacing w:after="0" w:line="225" w:lineRule="exact"/>
        <w:rPr>
          <w:sz w:val="24"/>
          <w:szCs w:val="24"/>
          <w:color w:val="auto"/>
        </w:rPr>
      </w:pPr>
    </w:p>
    <w:p>
      <w:pPr>
        <w:ind w:left="4380" w:right="4060" w:hanging="4372"/>
        <w:spacing w:after="0" w:line="547" w:lineRule="auto"/>
        <w:tabs>
          <w:tab w:leader="none" w:pos="3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000-27701</w:t>
      </w: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90"/>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91"/>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414"/>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89"/>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00" w:type="dxa"/>
            <w:vAlign w:val="bottom"/>
            <w:gridSpan w:val="8"/>
          </w:tcPr>
          <w:p>
            <w:pPr>
              <w:jc w:val="center"/>
              <w:ind w:left="650"/>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97"/>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7"/>
          </w:tcPr>
          <w:p>
            <w:pPr>
              <w:jc w:val="center"/>
              <w:spacing w:after="0"/>
              <w:rPr>
                <w:sz w:val="20"/>
                <w:szCs w:val="20"/>
                <w:color w:val="auto"/>
              </w:rPr>
            </w:pPr>
            <w:r>
              <w:rPr>
                <w:rFonts w:ascii="Arial" w:cs="Arial" w:eastAsia="Arial" w:hAnsi="Arial"/>
                <w:sz w:val="18"/>
                <w:szCs w:val="18"/>
                <w:color w:val="auto"/>
                <w:w w:val="90"/>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24, 2023, there were 30,682,518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Arial" w:cs="Arial" w:eastAsia="Arial" w:hAnsi="Arial"/>
                <w:sz w:val="18"/>
                <w:szCs w:val="18"/>
                <w:b w:val="1"/>
                <w:bCs w:val="1"/>
                <w:color w:val="auto"/>
                <w:w w:val="94"/>
              </w:rPr>
              <w:t>Index to Form 10</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Arial" w:cs="Arial" w:eastAsia="Arial" w:hAnsi="Arial"/>
                <w:sz w:val="18"/>
                <w:szCs w:val="18"/>
                <w:b w:val="1"/>
                <w:bCs w:val="1"/>
                <w:color w:val="auto"/>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Financial Information</w:t>
            </w:r>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69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Condensed Consolidated Balance Sheets (Unaudited) – March 31, 2023 and December 31, 2022</w:t>
            </w:r>
          </w:p>
        </w:tc>
        <w:tc>
          <w:tcPr>
            <w:tcW w:w="23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rPr>
              <w:t>Condensed Consolidated Statements of Income (Unaudited) – Three Months ended March 31, 2023 and 2022</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2"/>
              </w:rPr>
              <w:t>Condensed Consolidated Statements of Comprehensive Income (Unaudited) – Three Months ended March 31, 2023 and 2022</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3</w:t>
            </w:r>
          </w:p>
        </w:tc>
      </w:tr>
      <w:tr>
        <w:trPr>
          <w:trHeight w:val="250"/>
        </w:trPr>
        <w:tc>
          <w:tcPr>
            <w:tcW w:w="940" w:type="dxa"/>
            <w:vAlign w:val="bottom"/>
          </w:tcPr>
          <w:p>
            <w:pPr>
              <w:spacing w:after="0"/>
              <w:rPr>
                <w:sz w:val="21"/>
                <w:szCs w:val="21"/>
                <w:color w:val="auto"/>
              </w:rPr>
            </w:pPr>
          </w:p>
        </w:tc>
        <w:tc>
          <w:tcPr>
            <w:tcW w:w="87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Condensed Consolidated Statement of Shareholders' Equity (Unaudited) – Three Months ended March 31, 2023 and 2022</w:t>
            </w:r>
          </w:p>
        </w:tc>
        <w:tc>
          <w:tcPr>
            <w:tcW w:w="28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79"/>
              </w:rPr>
              <w:t>4</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82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Condensed Consolidated Statements of Cash Flows (Unaudited) – Three Months ended March 31, 2023 and 2022</w:t>
            </w:r>
          </w:p>
        </w:tc>
        <w:tc>
          <w:tcPr>
            <w:tcW w:w="110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6</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6440" w:type="dxa"/>
            <w:vAlign w:val="bottom"/>
            <w:gridSpan w:val="11"/>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11</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18</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sz w:val="20"/>
                <w:szCs w:val="20"/>
                <w:color w:val="auto"/>
              </w:rPr>
            </w:pPr>
            <w:r>
              <w:rPr>
                <w:rFonts w:ascii="Arial" w:cs="Arial" w:eastAsia="Arial" w:hAnsi="Arial"/>
                <w:sz w:val="18"/>
                <w:szCs w:val="18"/>
                <w:color w:val="0000EE"/>
              </w:rPr>
              <w:t>Controls and Procedures</w:t>
            </w:r>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18</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Part II.</w:t>
            </w:r>
          </w:p>
        </w:tc>
        <w:tc>
          <w:tcPr>
            <w:tcW w:w="1320" w:type="dxa"/>
            <w:vAlign w:val="bottom"/>
            <w:gridSpan w:val="5"/>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sz w:val="20"/>
                <w:szCs w:val="20"/>
                <w:color w:val="auto"/>
              </w:rPr>
            </w:pPr>
            <w:r>
              <w:rPr>
                <w:rFonts w:ascii="Arial" w:cs="Arial" w:eastAsia="Arial" w:hAnsi="Arial"/>
                <w:sz w:val="18"/>
                <w:szCs w:val="18"/>
                <w:color w:val="0000EE"/>
              </w:rPr>
              <w:t>Risk Factors</w:t>
            </w:r>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EE"/>
                <w:w w:val="91"/>
              </w:rPr>
              <w:t>Exhibits</w:t>
            </w:r>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rPr>
              <w:t>SIGNATURE</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21</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46,023</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7,885</w:t>
            </w: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Accounts receivable, net of allowance for doubtful accounts of $616 and $544 at March 31, 2023 and December 31,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2022,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36,730</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receivable - unbilled</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5,980</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royalties, net of amortization</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9,071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Other prepaid expenses and other current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114,377</w:t>
            </w:r>
          </w:p>
        </w:tc>
      </w:t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Property and equipment, net of accumulated depreciation of $21,326 and $20,280 at March 31, 2023 and December 31,</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15,483</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5"/>
              </w:rPr>
              <w:t>Capitalized software development, net of accumulated amortization of $110,182 and $105,025 at March 31, 2023 and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December 31, 2022, respectively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37,118</w:t>
            </w:r>
          </w:p>
        </w:tc>
      </w:tr>
      <w:tr>
        <w:trPr>
          <w:trHeight w:val="20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net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22,759</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192,398</w:t>
            </w: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Customer-related intangibles, net of accumulated amortization of $50,679 and $48,552 at March 31, 2023 and December</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31, 2022,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61,269</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4"/>
              </w:rPr>
              <w:t>Other intangible assets, net of accumulated amortization of $14,346 and $12,818 at March 31, 2023 and December 31,</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2022, respectively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20,284</w:t>
            </w:r>
          </w:p>
        </w:tc>
      </w:tr>
      <w:tr>
        <w:trPr>
          <w:trHeight w:val="205"/>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commissions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28,344</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Non-marketable equity investments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4,518</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503,159</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497,741</w:t>
            </w:r>
          </w:p>
        </w:tc>
      </w:tr>
      <w:tr>
        <w:trPr>
          <w:trHeight w:val="183"/>
        </w:trPr>
        <w:tc>
          <w:tcPr>
            <w:tcW w:w="80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20,122</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32,301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Accrued royalties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5,443</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94,349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121,004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117,213</w:t>
            </w:r>
          </w:p>
        </w:tc>
      </w:tr>
      <w:tr>
        <w:trPr>
          <w:trHeight w:val="203"/>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17,996</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2,937</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Operating lease liability, noncurrent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23,321</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2,210</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Common stock, no par value, 75,000 shares authorized; 30,682 and 30,579 shares issued and outstanding at March</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31, 2023 and December 31, 2022, respectively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254,832</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82,069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80,213</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(981)</w:t>
            </w:r>
          </w:p>
        </w:tc>
      </w:tr>
      <w:tr>
        <w:trPr>
          <w:trHeight w:val="196"/>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336,039</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334,064</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503,159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497,741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CONDENSED CONSOLIDATED STATEMENTS OF INCOME (UNAUDITED)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10,412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9,183</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66,055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61,332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4,035</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3,759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Weighted average shares of common stock outstanding: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30,659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30,976</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Dividends declared per share</w:t>
            </w: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416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rPr>
              <w:t>HEALTHSTREAM, INC.</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0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16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0"/>
              </w:rPr>
              <w:t>(In thousands)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2023</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18"/>
                <w:szCs w:val="18"/>
                <w:color w:val="auto"/>
              </w:rPr>
            </w:pPr>
          </w:p>
        </w:tc>
      </w:tr>
      <w:tr>
        <w:trPr>
          <w:trHeight w:val="209"/>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w:t>
            </w:r>
          </w:p>
        </w:tc>
      </w:tr>
      <w:tr>
        <w:trPr>
          <w:trHeight w:val="216"/>
        </w:trPr>
        <w:tc>
          <w:tcPr>
            <w:tcW w:w="1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3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on marketable securities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49"/>
        </w:trPr>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3"/>
          </w:tcPr>
          <w:p>
            <w:pPr>
              <w:jc w:val="center"/>
              <w:ind w:right="60"/>
              <w:spacing w:after="0"/>
              <w:rPr>
                <w:sz w:val="20"/>
                <w:szCs w:val="20"/>
                <w:color w:val="auto"/>
              </w:rPr>
            </w:pPr>
            <w:r>
              <w:rPr>
                <w:rFonts w:ascii="Arial" w:cs="Arial" w:eastAsia="Arial" w:hAnsi="Arial"/>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8"/>
                <w:szCs w:val="18"/>
                <w:b w:val="1"/>
                <w:bCs w:val="1"/>
                <w:color w:val="auto"/>
                <w:w w:val="92"/>
              </w:rPr>
              <w:t>Three Months Ended March 31,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30,579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334,064</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2,623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w w:val="91"/>
              </w:rPr>
              <w:t>Dividends declared on common stock ($0.025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2"/>
        </w:trPr>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w w:val="94"/>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withheld for employee taxes</w:t>
            </w:r>
          </w:p>
        </w:tc>
        <w:tc>
          <w:tcPr>
            <w:tcW w:w="4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254,986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8"/>
                <w:szCs w:val="18"/>
                <w:b w:val="1"/>
                <w:bCs w:val="1"/>
                <w:color w:val="auto"/>
                <w:w w:val="92"/>
              </w:rPr>
              <w:t>Three Months Ended March 31, 2022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31,327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339,019</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issued under stock plans, net of shares</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(19,889)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322,572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9,322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commissions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non-marketable equity investments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and unbilled receivables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(4,787)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(5,874)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commissions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royalties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20,655</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net of cash acquired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maturities of marketable securities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(7,566)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(6,305)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(3,962)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(19,726)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(20,223)</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(3,535)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48,836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HealthStream provides primarily Software-as-a-Service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 The Company is organized and operated according to our One HealthStream approach, with our hStream technology platform at the center of that approach. Increasingly, SaaS based applications in our diverse ecosystem of solutions utilize our proprietary hStream technology platform to enhance their value proposition by creating interoperability with and among other applications. As used in this Report, “HealthStream,” “Company,” “we,” “us,” and “our” mean HealthStream, Inc. and its subsidiaries unless the context indicates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2023 are not necessarily indicative of the results that may be expected for the year ending December 31, 2023.</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2022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2022 (included in the Company's Annual Report on Form 10-K, filed with the Securities and Exchange Commission on February 28,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Segment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managed and organized around a single platform strategy, also referred to as our One HealthStream approach. At the center of this single platform strategy is our hStream technology platform. By facilitating interoperability among our applications, as well as third party applications, we believe that our hStream technology platform is allowing stand-alone applications to leverage each other to more efficiently and effectively empower our customers to manage their business and improve their outcomes.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Company’s Annual Report on Form 10-K for the year ended December 31, 2022, filed on February 28, 2023, the Company has reached an inflection point in its efforts to operate according to its single platform strategy, also known as our One HealthStream approach. As of January 1, 2023, the Company’s business is now organized and managed around a consolidated, enterprise approach, including with regard to technology, operations, accounting, internal reporting (including the nature of information reviewed by our key decision maker), organization structure, compensation, performance assessment, and resource allocation.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result of these developments, the Company determined that Workforce Solutions and Provider Solutions were no longer separate operating segments or separate reportable segments as of January 1, 2023, such that the Company would no longer present two reportable segments for periods beginning on and after this date. As such, beginning January 1, 2023, the Company has a single reportable segment, such that the Company is presenting historical financial information on a single segment basis beginning with this Quarterly Report on Form 10-Q for the three months ended March 31, 2023. For purposes of reporting historical 2022 results in this Quarterly Report on Form 10-Q, we are reporting comparable performance on a consolidated basis unless otherwise indicated.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AND SALES COMMISSIONS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225" w:lineRule="exact"/>
        <w:rPr>
          <w:sz w:val="20"/>
          <w:szCs w:val="20"/>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66,015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62,075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Professional services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68,946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and 2022, the Company recognized $0.2 million and $6,000, respectively, in impairment losses on receivables and contract assets arising from the Company’s contracts with customers.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Deferred revenue represents contract liabilities that are recorded when cash payments are received or are due in advance of our satisfaction of performance obligations. During the three months ended March 31, 2023 and 2022, we recognized revenues of approximately $39.1 million and $34.6 million, respectively, from amounts included in deferred revenue at the beginning of the respective periods. As of March 31, 2023, approximately $504 million of revenue is expected to be recognized from remaining performance obligations under contracts with customers. We expect to recognize revenue related to approximately 44% of these remaining performance obligations over the next 12 months, with the remaining amounts recognized thereafter.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commissions earned by our sales force are considered incremental and recoverable costs of obtaining a contract with a customer. The Company recorded amortization of deferred commissions of approximately $2.7 million and $2.5 million for the three months ended March 31, 2023 and 2022, respectively, which is included in sales and marketing expenses in the accompanying Condensed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March 31, 2023 and 2022, the Company recorded a provision for income taxes of approximately $0.5 million and $0.9 million, respectively. The Company’s effective tax rate was 16% and 23% for the three months ended March 31, 2023 and 2022, respectively. The Company’s effective tax rate primarily reflects the statutory corporate income tax rate, the net effect of state taxes, foreign income taxes, and the effect of various permanent tax differences. The Company recognizes excess tax benefits and tax deficiencies associated with stock-based awards as a component of its provision for income taxes. During the three months ended March 31, 2023, the Company recorded discrete tax benefits of $53,000, which consisted primarily of a $133,000 tax benefit associated with stock-based awards. This tax benefit was partially offset by $80,000 of discrete tax expense related to reserves for uncertain tax positions. During the three months ended March 31, 2022, the Company recorded discrete tax expense of $0.1 million, which consisted primarily of tax deficiencies associated with stock-based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February 20, 2023, the Company's Board of Directors ("Board") approved a dividend policy under which the Board declared the initial quarterly dividend in the amount of $0.025 per share, which will be payable on April 28, 2023 to the holders of record of all of the issued and outstanding shares of common stock as of the close of business on April 17, 2023. This marks the first quarterly cash dividend policy adopted by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24, 2023, the Board approved the Company's second quarterly cash dividend of $0.025 per share, payable on June 23, 2023 to holders of record on June 12,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stock awards outstanding under its 2016 Omnibus Incentive Plan and 2022 Omnibus Incentive Plan. The Company accounts for its stock-based compensation plans using the fair-value based method for costs related to share-based payments, including restricted share units (“RSUs”) and stock options. During the three months ended March 31, 2023, the Company issued 45,907 RSUs subject to service-based time vesting, with a weighted average grant date fair value of $26.25 per share, measured based on the closing fair market value of the Company's stock on the date of the grant. During the three months ended March 31, 2022, the Company approved the grant of 135,352 RSUs subject to service-based time vesting, of which 35,161 of these RSUs were conditioned upon and subject to shareholder approval of the 2022 Omnibus Incentive Plan submitted to the Company's shareholders for approval at the annual meeting of the Company's shareholders held on May 26, 2022</w:t>
      </w:r>
      <w:r>
        <w:rPr>
          <w:rFonts w:ascii="Arial" w:cs="Arial" w:eastAsia="Arial" w:hAnsi="Arial"/>
          <w:sz w:val="16"/>
          <w:szCs w:val="16"/>
          <w:i w:val="1"/>
          <w:iCs w:val="1"/>
          <w:color w:val="auto"/>
        </w:rPr>
        <w:t>.</w:t>
      </w:r>
      <w:r>
        <w:rPr>
          <w:rFonts w:ascii="Arial" w:cs="Arial" w:eastAsia="Arial" w:hAnsi="Arial"/>
          <w:sz w:val="16"/>
          <w:szCs w:val="16"/>
          <w:color w:val="auto"/>
        </w:rPr>
        <w:t xml:space="preserve"> Of these, the 100,191 RSUs that were not conditioned on shareholder approval of the 2022 Omnibus Incentive Plan were granted with a weighted average grant date fair value of $20.32 per share, measured based on the closing fair market value of the Company’s stock on the date of grant. Applicable accounting standards required that the 35,161 RSUs conditioned upon approval of the 2022 Omnibus Incentive Plan not be valued until the condition was met (that is, at such time that the 2022 Omnibus Incentive Plan was approved by shareholders at the annual meeting of the Company’s shareholders on May 26, 2022)</w:t>
      </w:r>
      <w:r>
        <w:rPr>
          <w:rFonts w:ascii="Arial" w:cs="Arial" w:eastAsia="Arial" w:hAnsi="Arial"/>
          <w:sz w:val="16"/>
          <w:szCs w:val="16"/>
          <w:i w:val="1"/>
          <w:iCs w:val="1"/>
          <w:color w:val="auto"/>
        </w:rPr>
        <w:t>.</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2023, the Company granted 138,000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2023, 2024, 2025, 2026, and 2027, respectively. The performance criteria for the first-year tranche, or 20,700 of these performance-based RSUs, is based on 2023 adjusted EBITDA. The measurement date for these 20,700 performance-based RSUs was established during the three months ended March 31, 2023 with a weighted average grant date fair value of $26.25 per share, measured based on the closing fair market value of the Company's stock on the date the performance criteria was established. The performance criteria for the remaining 117,300 performance-based RSUs has not yet been determined and will be established on an annual basis in 2024, 2025, 2026, and 2027, as applicable; therefore, the measurement date for these remaining 117,300 performance-based RSUs cannot be determined until the performance criteria have been established.</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March 31,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approved the grant of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2022, 2023, 2024, 2025, and 2026, respectively. The performance criteria and measurement date for the second-year tranche, or 18,210 of these performance-based RSUs, is based on 2023 adjusted EBITDA and was established during the three months ended March 31, 2023 with a grant date fair value of $26.25 per share, measured based on the closing fair market value of the Company's stock on the date the performance criteria was established. The performance criteria for the remaining 59,178 performance-based RSUs has not yet been determined and will be established on an annual basis in 2024, 2025, and 2026, as applicable; therefore, the measurement date for these remaining 59,178 performance-based RSUs cannot be determined until the performance criteria have been established.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Product development</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528</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2022, the Company's Board approved an expansion of the Company's share repurchase program initially authorized by the Board on November 1, 2021 by authorizing the repurchase of up to an additional $10.0 million of the Company's outstanding shares of common stock. The share repurchase expansion program expired on March 13, 2023. Under this program, the Company repurchased a total of 402,050 shares at an aggregate fair value of $8.1 million, reflecting an average price per share of $20.19 (excluding the cost of broker commissions). No repurchases occurred during the three months ended March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268,000 and 218,000 for the three months ended March 31, 2023 and 2022, respectively.</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2,623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30,591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30,955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shares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Weighted-average diluted shares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30,659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30,976</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per share: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5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000" w:type="dxa"/>
            <w:vAlign w:val="bottom"/>
          </w:tcPr>
          <w:p>
            <w:pPr>
              <w:jc w:val="right"/>
              <w:ind w:right="137"/>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9,818</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9,818</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9,818</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000" w:type="dxa"/>
            <w:vAlign w:val="bottom"/>
          </w:tcPr>
          <w:p>
            <w:pPr>
              <w:jc w:val="right"/>
              <w:ind w:right="137"/>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7,882</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7,882</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reported in the Condensed Consolidated Balance Sheets approximate fair value based on quoted market prices or alternative pricing sources and models utilizing market observable inputs. As of March 31, 2023,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31,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acquired substantially all of the assets of Electronic Education Documentation System, LLC (d/b/a eeds) ("eeds"), an Asheville, North Carolina-based healthcare technology company offering a SaaS-based continuing education (CME/CE) management system for healthcare organizations, for approximately $6.6 million in cash, reflecting customary purchase price adjustments made to the purchase price paid of $7.0 million. After the filing of the Company’s Annual Report on Form 10-K for the year ended December 31, 2022 on February 28, 2023, the Company received an updated valuation report for the acquisition from a third-party valuation firm. Based on the results of that valuation report, the Company has estimated the fair value of the customer relationships, developed technology, non-compete, and trade name intangible assets to be $2.6 million, $1.9 million, $0.2 million, and $0.1 million, respectively. As a result, the fair value of the customer relationships and non-compete intangible assets were increased by $2.0 million and $0.1 million during the three months ended March 31, 2023, respectively, while the developed technology and trade name intangible assets were decreased by $0.8 million and $20,000 during the three months ended March 31, 2023, respectively, due to this new information, with a corresponding decrease to goodwill of $1.3 million for the net change in the fair value of identifiable intangible assets.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2023, the Company was in compliance with all covenants. There were no balances outstanding on the Revolving Credit Facility as of or during the three months ended March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Special Cautionary Notice Regarding Forward</w:t>
      </w:r>
      <w:r>
        <w:rPr>
          <w:rFonts w:ascii="MS PGothic" w:cs="MS PGothic" w:eastAsia="MS PGothic" w:hAnsi="MS PGothic"/>
          <w:sz w:val="18"/>
          <w:szCs w:val="18"/>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2022, appearing in our Annual Report on Form 10-K that was filed with the Securities and Exchange Commission (“SEC”) on February 28, 2023 (the “2022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2022 Form 10-K and other disclosures in our 2022 Form 10-K, earnings releases, and other filings with the SEC from time to time, as well as other cautionary statements contained elsewhere in this report, including our critical accounting policies and estimates as discussed in this report and our 2022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HealthStream provides primarily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managed and organized around a single platform strategy, also referred to as our One HealthStream approach. At the center of this single platform strategy is our hStream technology platform. By facilitating interoperability among our applications, as well as third party applications, we believe that our hStream technology platform is allowing stand-alone applications to leverage each other to more efficiently and effectively empower our customers to manage their business and improve their outcomes.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indicated in the Company’s Annual Report on Form 10-K for the year ended December 31, 2022, filed on February 28, 2023, the Company has reached an inflection point in its efforts to operate according to its One HealthStream approach. As of January 1, 2023, the Company’s business is now organized and managed around a consolidated, enterprise approach, including with regard to technology, operations, accounting, internal reporting (including the nature of information reviewed by our key decision maker), organization structure, compensation, performance assessment, and resource allocation.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the result of these developments, the Company determined that Workforce Solutions and Provider Solutions were no longer separate operating segments or separate reportable segments as of January 1, 2023, such that the Company would no longer present two reportable segments for periods beginning on and after this date. As such, beginning January 1, 2023, the Company has a single reportable segment, such that the Company is presenting historical financial information on a single segment basis beginning with this Quarterly Report on Form 10-Q for the three months ending March 31,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first quarter of 2023 are set forth in the bullets below.</w:t>
      </w:r>
    </w:p>
    <w:p>
      <w:pPr>
        <w:spacing w:after="0" w:line="225" w:lineRule="exact"/>
        <w:rPr>
          <w:sz w:val="20"/>
          <w:szCs w:val="20"/>
          <w:color w:val="auto"/>
        </w:rPr>
      </w:pPr>
    </w:p>
    <w:p>
      <w:pPr>
        <w:ind w:left="22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$68.9 million in the first quarter of 2023, up 5% from $65.4 million in the first quarter of 2022, attributable primarily to growth in several of our subscription-based product categories, including contributions from recent acquisitions.</w:t>
      </w:r>
    </w:p>
    <w:p>
      <w:pPr>
        <w:spacing w:after="0" w:line="170" w:lineRule="exact"/>
        <w:rPr>
          <w:rFonts w:ascii="Arial" w:cs="Arial" w:eastAsia="Arial" w:hAnsi="Arial"/>
          <w:sz w:val="18"/>
          <w:szCs w:val="18"/>
          <w:color w:val="auto"/>
        </w:rPr>
      </w:pPr>
    </w:p>
    <w:p>
      <w:pPr>
        <w:jc w:val="both"/>
        <w:ind w:left="220" w:hanging="212"/>
        <w:spacing w:after="0" w:line="263"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of $2.9 million in the first quarter of 2023, down 28% from $4.0 million in the first quarter of 2022, which comparison was negatively impacted in the amount of $1.0 million by the severance charge in the first quarter of 2023 associated with the consolidation of HealthStream's business under a single platform strategy, as further discussed below.</w:t>
      </w:r>
    </w:p>
    <w:p>
      <w:pPr>
        <w:spacing w:after="0" w:line="183" w:lineRule="exact"/>
        <w:rPr>
          <w:rFonts w:ascii="Arial" w:cs="Arial" w:eastAsia="Arial" w:hAnsi="Arial"/>
          <w:sz w:val="18"/>
          <w:szCs w:val="18"/>
          <w:color w:val="auto"/>
        </w:rPr>
      </w:pPr>
    </w:p>
    <w:p>
      <w:pPr>
        <w:jc w:val="both"/>
        <w:ind w:left="220" w:hanging="212"/>
        <w:spacing w:after="0" w:line="263"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$2.6 million in the first quarter of 2023, down 9% from $2.9 million in the first quarter of 2022, which comparison was negatively impacted in the amount of $0.8 million by the severance charge in the first quarter of 2023 associated with HealthStream’s consolidation referenced above.</w:t>
      </w:r>
    </w:p>
    <w:p>
      <w:pPr>
        <w:spacing w:after="0" w:line="183" w:lineRule="exact"/>
        <w:rPr>
          <w:rFonts w:ascii="Arial" w:cs="Arial" w:eastAsia="Arial" w:hAnsi="Arial"/>
          <w:sz w:val="18"/>
          <w:szCs w:val="18"/>
          <w:color w:val="auto"/>
        </w:rPr>
      </w:pPr>
    </w:p>
    <w:p>
      <w:pPr>
        <w:ind w:left="220" w:hanging="212"/>
        <w:spacing w:after="0" w:line="342"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Earnings per share (“EPS”) of $0.09 per share (diluted) in both the first quarters of 2023 and 2022, which comparison was negatively impacted in the amount of $0.03 per share (diluted) by the severance charge in the first quarter of 2023 associated with HealthStream’s consolidation referenced above.</w:t>
      </w:r>
    </w:p>
    <w:p>
      <w:pPr>
        <w:spacing w:after="0" w:line="123" w:lineRule="exact"/>
        <w:rPr>
          <w:rFonts w:ascii="Arial" w:cs="Arial" w:eastAsia="Arial" w:hAnsi="Arial"/>
          <w:sz w:val="16"/>
          <w:szCs w:val="16"/>
          <w:color w:val="auto"/>
        </w:rPr>
      </w:pPr>
    </w:p>
    <w:p>
      <w:pPr>
        <w:jc w:val="both"/>
        <w:ind w:left="220" w:hanging="212"/>
        <w:spacing w:after="0" w:line="222"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$13.7 million in the first quarter of 2023, down 2% from $14.0 million in the first quarter of 2022, which comparison was negatively impacted in the amount of $1.0 million by the severance charge in the first quarter of 2023 associated with HealthStream’s consolidation referenced above.</w:t>
      </w:r>
    </w:p>
    <w:p>
      <w:pPr>
        <w:spacing w:after="0" w:line="209" w:lineRule="exact"/>
        <w:rPr>
          <w:sz w:val="20"/>
          <w:szCs w:val="20"/>
          <w:color w:val="auto"/>
        </w:rPr>
      </w:pPr>
    </w:p>
    <w:p>
      <w:pPr>
        <w:ind w:left="220" w:hanging="212"/>
        <w:spacing w:after="0" w:line="198" w:lineRule="auto"/>
        <w:tabs>
          <w:tab w:leader="none" w:pos="22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Other Recent Developments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impact of the COVID-19 pandemic continues to cause uncertainty and potential economic volatility, including with regard to our healthcare customers and our business. However, the impact of the pandemic itself on public health and economic conditions has significantly lessened and conditions have normalized since the height of the pandemic in 2020 and 2021, potentially to the point of reaching an endemic stage.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is focused on providing solutions to healthcare organizations, and as such the pandemic’s adverse impact on healthcare organizations has resulted in an adverse impact on our Company. We believe that certain developments related to the pandemic negatively impacted our business in 2021 and to a lesser extent in 2022 and the three months ended March 31, 2023. In particular, sales cycles in 2021 and 2022 were delayed or postponed such that declines in sales bookings by customers over this period resulted in a negative impact to revenue and earnings in 2022 and the three months ended March 31, 2023 and may continue to result in a negative impact (to a lesser extent) to revenue and earnings for a portion of the remainder of 2023. Earlier in the pandemic, such impacts on our healthcare organization customers were more frequently associated with the need to focus on providing critical care to pandemic victims and the negative economic impact many of our healthcare organization customers experienced from being forced to temporarily reduce or discontinue services, like elective surgeries, from which they derive revenue. More recently, such impacts on healthcare customers appear to be associated with the cessation of or significant reduction in governmental funds such customers have received or anticipate receiving through earlier federal stimulus and relief measures, including the Public Health Emergency Fund, the Paycheck Protection Program, and the Provider Relief Fund.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conditions in the U.S. continue to be challenging in various respects, including as the result of ongoing inflationary pressures, elevated interest rate levels, disruptions to global supply networks, challenging labor market conditions, and instability in the banking system. Such negative macroeconomic conditions have adversely affected, and may continue to adversely affect, us and our customers in the healthcare industry. In particular, we have experienced, and believe that some of our customers have experienced, increased labor, supply chain, capital, and other expenditures associated with current inflationary pressures and labor market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225" w:lineRule="exact"/>
        <w:rPr>
          <w:sz w:val="20"/>
          <w:szCs w:val="20"/>
          <w:color w:val="auto"/>
        </w:rPr>
      </w:pPr>
    </w:p>
    <w:p>
      <w:pPr>
        <w:jc w:val="both"/>
        <w:ind w:left="420" w:hanging="210"/>
        <w:spacing w:after="0" w:line="275"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Revenues, net</w:t>
      </w:r>
      <w:r>
        <w:rPr>
          <w:rFonts w:ascii="Arial" w:cs="Arial" w:eastAsia="Arial" w:hAnsi="Arial"/>
          <w:sz w:val="17"/>
          <w:szCs w:val="17"/>
          <w:color w:val="auto"/>
        </w:rPr>
        <w:t>. Revenues, net, reflect income generated by the sales of goods and services related to our operations and, for businesses acquired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adoption of ASU 2021-08 on January 1, 2022, reflects deferred revenue write-downs associated with fair value accounting for such acquired businesses. Revenues, net, were $68.9 million for the three months ended March 31, 2023, compared to $65.4 million for the three months ended March 31, 2022. Management utilizes revenue in connection with managing our business and believes that this metric provides useful information to investors as a key indicator of the growth and success of our products.</w:t>
      </w:r>
    </w:p>
    <w:p>
      <w:pPr>
        <w:spacing w:after="0" w:line="176" w:lineRule="exact"/>
        <w:rPr>
          <w:rFonts w:ascii="Arial" w:cs="Arial" w:eastAsia="Arial" w:hAnsi="Arial"/>
          <w:sz w:val="17"/>
          <w:szCs w:val="17"/>
          <w:color w:val="auto"/>
        </w:rPr>
      </w:pPr>
    </w:p>
    <w:p>
      <w:pPr>
        <w:jc w:val="both"/>
        <w:ind w:left="420" w:hanging="210"/>
        <w:spacing w:after="0" w:line="290"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Adjusted EBITDA</w:t>
      </w:r>
      <w:r>
        <w:rPr>
          <w:rFonts w:ascii="Arial" w:cs="Arial" w:eastAsia="Arial" w:hAnsi="Arial"/>
          <w:sz w:val="16"/>
          <w:szCs w:val="16"/>
          <w:color w:val="auto"/>
        </w:rPr>
        <w:t>. Adjusted EBITDA, calculated as set forth below under “Reconciliation of Non-GAAP Financial Measures,” is utilized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short-term cash incentive bonuses and performance-based equity award grants are based on the achievement of adjusted EBITDA targets (as defined in applicable bonus and equity grant documentation). Adjusted EBITDA was $13.7 million for the three months ended March 31, 2023, compared to $14.0 million for the three months ended March 31, 2022, which comparison was negatively impacted in the amount of $1.0 million by the severance charge in the first quarter of 2023 associated with HealthStream's consolidation referenced above.</w:t>
      </w:r>
    </w:p>
    <w:p>
      <w:pPr>
        <w:spacing w:after="0" w:line="165" w:lineRule="exact"/>
        <w:rPr>
          <w:rFonts w:ascii="Arial" w:cs="Arial" w:eastAsia="Arial" w:hAnsi="Arial"/>
          <w:sz w:val="16"/>
          <w:szCs w:val="16"/>
          <w:color w:val="auto"/>
        </w:rPr>
      </w:pPr>
    </w:p>
    <w:p>
      <w:pPr>
        <w:jc w:val="both"/>
        <w:ind w:left="420" w:hanging="210"/>
        <w:spacing w:after="0" w:line="275"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hStream Subscriptions</w:t>
      </w:r>
      <w:r>
        <w:rPr>
          <w:rFonts w:ascii="Arial" w:cs="Arial" w:eastAsia="Arial" w:hAnsi="Arial"/>
          <w:sz w:val="17"/>
          <w:szCs w:val="17"/>
          <w:color w:val="auto"/>
        </w:rPr>
        <w:t>. hStream subscriptions are determined as the number of subscriptions under contract for hStream, our proprietary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that enables healthcare organizations and their respective workforces to connect to and gain value from the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March 31, 2023, we had approximately 5.52 million contracted subscriptions to hStream, compared to 5.13 million as of March 31,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170" w:lineRule="exact"/>
        <w:rPr>
          <w:sz w:val="20"/>
          <w:szCs w:val="20"/>
          <w:color w:val="auto"/>
        </w:rPr>
      </w:pPr>
    </w:p>
    <w:p>
      <w:pPr>
        <w:ind w:left="420" w:hanging="21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2022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2022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$3.5 million, or 5%, to $68.9 million for the three months ended March 31, 2023 from $65.4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2022. The revenue growth was attributable to growth in several product categories, including contributions from our recent acquisitions. Subscription revenues increased $3.9 million, or six percent, but were partially offset by $0.4 million of declines from professional services revenues.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w w:val="97"/>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150"/>
              <w:spacing w:after="0"/>
              <w:rPr>
                <w:sz w:val="20"/>
                <w:szCs w:val="20"/>
                <w:color w:val="auto"/>
              </w:rPr>
            </w:pPr>
            <w:r>
              <w:rPr>
                <w:rFonts w:ascii="Arial" w:cs="Arial" w:eastAsia="Arial" w:hAnsi="Arial"/>
                <w:sz w:val="18"/>
                <w:szCs w:val="18"/>
                <w:b w:val="1"/>
                <w:bCs w:val="1"/>
                <w:color w:val="auto"/>
                <w:w w:val="93"/>
              </w:rPr>
              <w:t>Three Months Ended March 31,</w:t>
            </w:r>
          </w:p>
        </w:tc>
        <w:tc>
          <w:tcPr>
            <w:tcW w:w="1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66,015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62,075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2,931</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3,292</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68,946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65,367</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Subscription services</w:t>
            </w:r>
          </w:p>
        </w:tc>
        <w:tc>
          <w:tcPr>
            <w:tcW w:w="3840" w:type="dxa"/>
            <w:vAlign w:val="bottom"/>
          </w:tcPr>
          <w:p>
            <w:pPr>
              <w:jc w:val="right"/>
              <w:ind w:right="610"/>
              <w:spacing w:after="0"/>
              <w:rPr>
                <w:sz w:val="20"/>
                <w:szCs w:val="20"/>
                <w:color w:val="auto"/>
              </w:rPr>
            </w:pPr>
            <w:r>
              <w:rPr>
                <w:rFonts w:ascii="Arial" w:cs="Arial" w:eastAsia="Arial" w:hAnsi="Arial"/>
                <w:sz w:val="18"/>
                <w:szCs w:val="18"/>
                <w:color w:val="auto"/>
              </w:rPr>
              <w:t>96%</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95%</w:t>
            </w: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$1.9 million, or 8%, to $23.9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2023, from $22.0 million for the three months ended March 31, 2022. Cost of revenues as a percentage of revenues were 35% and 34% for the three months ended March 31, 2023 and 2022, respectively. The increase is primarily associated with personnel costs, including severance costs associated with the elimination of 33 job roles as part of the consolidation of HealthStream's business under a single platform strategy. In addition, we experienced higher costs for contract labor, software expenses, royalties, and cloud hosting.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$1.3 million, or 12%, to $11.7 million for the three months ended March 31, 2023, from</w:t>
      </w:r>
      <w:r>
        <w:rPr>
          <w:rFonts w:ascii="Arial" w:cs="Arial" w:eastAsia="Arial" w:hAnsi="Arial"/>
          <w:sz w:val="16"/>
          <w:szCs w:val="16"/>
          <w:i w:val="1"/>
          <w:iCs w:val="1"/>
          <w:color w:val="auto"/>
        </w:rPr>
        <w:t xml:space="preserve"> </w:t>
      </w:r>
      <w:r>
        <w:rPr>
          <w:rFonts w:ascii="Arial" w:cs="Arial" w:eastAsia="Arial" w:hAnsi="Arial"/>
          <w:sz w:val="16"/>
          <w:szCs w:val="16"/>
          <w:color w:val="auto"/>
        </w:rPr>
        <w:t>$10.4 million for the three months ended March 31, 2022. Product development expenses as a percentage of revenues were 17% and 16% for the three months ended March 31, 2023 and 2022, respectively. The increase is primarily due to increased personnel costs, including severance costs as noted above, and an increase in contract labor, which were partially offset by an increase in labor capitalized for internally developed software.</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$1.3 million, or 13%, to $11.7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2023, from $10.4 million for the three months ended March 31, 2022. Sales and marketing expenses were 17% and 16% of revenues for the three months ended March 31, 2023 and 2022, respectively. The increase is primarily due to increased personnel costs, including severance costs as noted above, as well as higher travel expense and higher software costs, which were partially offset by a decrease in general marketing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$0.3 million, or 3%, to $8.9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2023, from $9.2 million for the three months ended March 31, 2022. Other general and administrative expenses were 13% and 14% of revenues for the three months ended March 31, 2023 and 2022, respectively. The decrease is primarily due to lower employee recruitment expenses, professional service fees, and software.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$0.6 million, or 6%, to $9.9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$9.3 million for the three months ended March 31, 2022. This increase is primarily a result of an increase in amortization associated with capitalized software but was partially offset by lower depreciation expense.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Income (Loss), Net</w:t>
      </w:r>
      <w:r>
        <w:rPr>
          <w:rFonts w:ascii="Arial" w:cs="Arial" w:eastAsia="Arial" w:hAnsi="Arial"/>
          <w:sz w:val="18"/>
          <w:szCs w:val="18"/>
          <w:color w:val="auto"/>
        </w:rPr>
        <w:t>. Other income (loss), net was income of $0.3 million for the three months ended March 31, 2023, compared to a loss of $0.3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2022. The increase is primarily the result of interest income earned on cash and investments during the three months ended March 31, 2023 compared to the prior year period.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$0.5 million for the three months ended March 31, 2023, compared to $0.9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the three months ended March 31, 2022. The Company’s effective tax rate was 16% for the three months ended March 31, 2023, compared to 23% for the three months ended March 31, 2022. The Company’s effective tax rate primarily reflects the statutory corporate income tax rate, the net effect of state taxes, foreign income taxes, the effect of various permanent tax differences, and recognition of discrete tax items. During the three months ended March 31, 2023, the Company recorded discrete tax benefits of $53,000, which consisted primarily of a $133,000 tax benefit associated with stock-based awards. This tax benefit was partially offset by $80,000 of discrete tax expense related to uncertain tax positions. During the three months ended March 31, 2022, the Company recorded discrete tax expense of $0.1 million, primarily related to tax deficiencies associated with stock-based awards.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$2.6 million and $2.9 million for the three months ended March 31, 2023 and 2022, respectively. Earnings per share (EPS)</w:t>
      </w:r>
      <w:r>
        <w:rPr>
          <w:rFonts w:ascii="Arial" w:cs="Arial" w:eastAsia="Arial" w:hAnsi="Arial"/>
          <w:sz w:val="18"/>
          <w:szCs w:val="18"/>
          <w:i w:val="1"/>
          <w:iCs w:val="1"/>
          <w:color w:val="auto"/>
        </w:rPr>
        <w:t xml:space="preserve"> </w:t>
      </w:r>
      <w:r>
        <w:rPr>
          <w:rFonts w:ascii="Arial" w:cs="Arial" w:eastAsia="Arial" w:hAnsi="Arial"/>
          <w:sz w:val="18"/>
          <w:szCs w:val="18"/>
          <w:color w:val="auto"/>
        </w:rPr>
        <w:t>was $0.09 per share (diluted) for both the three months ended March 31, 2023 and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was $13.7 million for the three months ended March 31, 2023, compared to $14.0 million for the three months ended March 31, 2022.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Quarterly Report on Form 10-Q presents adjusted EBITDA, which is a non-GAAP financial measure used by management in analyzing our financial results and ongoing operational performance.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also believe that adjusted EBITDA is useful to investors to assess the Company’s ongoing operating performance and to compare the Company’s operating performance between periods. Additionally, short-term cash incentive bonuses and performance-based equity awards are based on the achievement of adjusted EBITDA targets (as defined in applicable bonus and equity grant documentation).</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are measured as if the Company had originated the contract (rather than the contract being measured at fair value) such that, for such acquisitions, the Company no longer records deferred revenue write-downs associated with acquired businesses (for acquisitions completed prior to January 1, 2022, the Company continues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EBITDA is not a measurement determined in accordance with GAAP, adjusted EBITDA is susceptible to varying calculations. Accordingly,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as presented, may not be comparable to other similarly titled measures of other companies and has limitations as an analytical tool.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49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9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49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13,732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960" w:type="dxa"/>
            <w:vAlign w:val="bottom"/>
            <w:vMerge w:val="restart"/>
          </w:tcPr>
          <w:p>
            <w:pPr>
              <w:jc w:val="right"/>
              <w:ind w:right="2190"/>
              <w:spacing w:after="0"/>
              <w:rPr>
                <w:sz w:val="20"/>
                <w:szCs w:val="20"/>
                <w:color w:val="auto"/>
              </w:rPr>
            </w:pPr>
            <w:r>
              <w:rPr>
                <w:rFonts w:ascii="Arial" w:cs="Arial" w:eastAsia="Arial" w:hAnsi="Arial"/>
                <w:sz w:val="18"/>
                <w:szCs w:val="18"/>
                <w:color w:val="auto"/>
              </w:rPr>
              <w:t>16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operating activities decreased by $0.1 million to $20.5 million during the three months ended March 31, 2023, from $20.7 million during the three months ended March 31, 2022. Our days sales outstanding ("DSO") was 51 days for the first quarter of 2023 compared to 45 days for the first quarter of 2022.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investing activities was $16.9 million for the three months ended March 31, 2023, compared to $4.0 million for the three months ended March 31, 2022. During the three months ended March 31, 2023, the Company spent $6.6 million for the acquisition of substantially all of the assets of Electronic Education Documentation System, LLC ("eeds") (note: the eeds acquisition was consummated on December 31, 2022, but was funded in January 2023 such that the purchase price for eeds impacted net cash used in investing activities during the three months ended March 31, 2023), invested in marketable securities of $2.9 million, made payments for capitalized software development of $7.6 million, and purchased property and equipment of $0.9 million. These uses of cash were partially offset by $1.0 million in maturities of marketable securities. During the three months ended March 31, 2022, the Company spent $22,000 related to a post-closing adjustment for a prior acquisition, invested in marketable securities of $2.0 million, made payments for capitalized software development of $6.3 million, and purchased property and equipment of $0.6 million. These uses of cash were partially offset by $5.0 million in maturities of marketable securities.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was approximately $0.8 million for the three months ended March 31, 2023, compared to $20.2 million for the three months ended March 31, 2022. The uses of cash for the three months ended March 31, 2023 included $0.8 million for the payment of employee payroll taxes in relation to the vesting of restricted share units. The uses of cash for the three months ended March 31, 2022 included $19.7 million for repurchases of common stock and $0.5 million for the payment of employee payroll taxes in relation to the vesting of restricted share units.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balance sheet reflects positive working capital of $4.1 million at March 31, 2023, compared to negative working capital of $2.8 million at December 31, 2022. The increase in working capital is primarily a result of an increase in cash and cash equivalents despite the use of cash to fund the acquisition of eeds during the quarter as a result of strong collections coupled with an increase in accounts receivable. The Company’s primary source of liquidity as of March 31, 2023 was $48.8 million of cash and cash equivalents and $9.8 million of marketable securities. The Company also has a $65.0 million revolving credit facility, all of which was available for additional borrowing at March 31, 2023. The revolving credit facility expires on October 28, 2023, unless earlier renewed or amended.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30, 2021, the Company announced a share repurchase program approved by the Company’s Board of Directors under which the Company was authorized to purchase up to $20.0 million of its common stock. This share repurchase program concluded on March 8, 2022, when the maximum dollar amount authorized under the program was expended. During the three months ended March 31, 2022 the Company repurchased 649,739 shares of common stock pursuant to this share repurchase program at an aggregate fair value of $14.9 million, reflecting an average price per share of $22.92 (excluding the cost of broker commissions).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14, 2022, the Board approved an expansion of the Company's share repurchase program by authorizing the repurchase of up to an additional $10.0 million of the Company's outstanding shares of common stock. The share repurchase program expired on March 13, 2023, and no repurchases occurred during the three months ended March 31, 2023. Under this program, the Company repurchased a total of 402,050 shares at an aggregate fair value of $8.1 million, based on an average price per share of $20.19 (excluding the cost of broker commissions), including 242,647 shares purchased during the three months ended March 31, 2022, at an aggregate fair value of $5.0 million, based on an average per share price of $20.52 (excluding the cost of broker commissions). We may elect in the future to adopt a new share repurchase program.</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20, 2023, we announced that our Board approved a dividend policy under which we intend to pay quarterly cash dividends on our common stock, at an initial rate of $0.025 per share per fiscal quarter. We also announced that our Board declared the initial quarterly dividend under the new policy in the amount of $0.025 per share, which will be payable on April 28, 2023 to the holders of record of all of the issued and outstanding shares of common stock as of the close of business on April 17, 2023. This marks the first quarterly cash dividend policy adopted by the Company.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24, 2023, the Board approved the Company's second quarterly cash dividend of $0.025 per share, payable on June 23, 2023 to holders of record on June 12, 2023. Further, the Company intends to declare and pay two more quarterly cash dividends in 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dividend policy and the declaration and payment of each quarterly cash dividend will be subject to our Board’s continuing determination that the policy and the declaration of dividends thereunder are in the best interests of our stockholders and are in compliance with applicable law and our credit agreement. Our Board retains the power to modify, suspend, or cancel the dividend policy in any manner and at any time that our Board may deem necessary or appropriate.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and for the foreseeable future thereafter.</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March 31, 2023,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market risk from changes in interest rates, foreign currency risk, and investment risk. We do not have any commodity price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2023,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$58.7 million at March 31, 2023. Assuming a hypothetical 10% decrease in interest rates for invested balances, interest income from cash and investments would decrease on an annualized basis by approximately $0.2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first quarter of 2023 that has materially affected, or that is reasonably likely to materially affect, HealthStream’s internal control over financial reporting.</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2022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14, 2022, the Company announced an expansion of the share repurchase program authorized by the Company’s Board of Directors under which the Company could purchase up to an additional $10.0 million of its common stock. Under this program, the Company repurchased 402,050 shares at an aggregate fair value of $8.1 million, reflecting an average price per share of $20.19 (excluding the cost of broker commissions). The program expired on March 13,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three months ended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 Total number of</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approximate dollar</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 units)</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value) of shares (or</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 Total number 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units) that may yet be</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(b) Average price paid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publicly announced</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30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220" w:type="dxa"/>
            <w:vAlign w:val="bottom"/>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per share (or unit)(1)</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20"/>
                <w:szCs w:val="20"/>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Month #1 (January 1 - January 31)</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1,880,642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Month #2 (February 1 - February 28)</w:t>
            </w:r>
          </w:p>
        </w:tc>
        <w:tc>
          <w:tcPr>
            <w:tcW w:w="120" w:type="dxa"/>
            <w:vAlign w:val="bottom"/>
          </w:tcPr>
          <w:p>
            <w:pPr>
              <w:spacing w:after="0"/>
              <w:rPr>
                <w:sz w:val="18"/>
                <w:szCs w:val="18"/>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1,880,642</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Month #3 (March 1 - March 31)</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was required to be disclosed in a Current Report on Form 8-K during the period covered by this Quarterly Report on Form 10-Q, but was inadvertently not timely reported by the Company. Instead of filing such information on a separate Current Report on Form 8-K, we have elected to make the following disclosure in this Quarterly Report on Form 10-Q under Item 2.05 of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2.05 Costs Associated with Exit or Disposal Activities.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organizing HealthStream’s business under a single platform strategy as previously disclosed and as described in this Quarterly Report on Form 10-Q, on February 17, 2023, authorized officers of the Company approved a consolidation program involving the elimination of 33 job roles during the first quarter of 2023, many of which job roles were duplicative as a result of several areas of consolidation. In connection with these job reductions, we incurred severance charges in the amount of approximately $1.0 million during the three months ended March 31, 2023. In addition, while these job reductions were completed during the three months ended March 31, 2023, we expect to incur additional severance charges in the range of $0.1 million to $0.2 million associated with these job reductions during the remainder of 2023, the substantial majority of which remaining charges are expected to be incurred during the three months ended June 30, 2023. All of the charges noted above have involved or will involve cash outlays. A portion of these cash outlays were made by the Company during the three months ended March 31, 2023, and the remaining portion of these cash outlays are expected to be made during the remainder of 2023 and in 2024, with the majority of such remaining outlays anticipated to be made during the three months ended June 30, 2023.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37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HealthStream, Inc. 2023 Cash Incentive Bonus Plan</w:t>
            </w:r>
          </w:p>
        </w:tc>
        <w:tc>
          <w:tcPr>
            <w:tcW w:w="6420" w:type="dxa"/>
            <w:vAlign w:val="bottom"/>
            <w:gridSpan w:val="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180" w:type="dxa"/>
            <w:vAlign w:val="bottom"/>
            <w:gridSpan w:val="7"/>
          </w:tcPr>
          <w:p>
            <w:pPr>
              <w:spacing w:after="0" w:line="196" w:lineRule="exact"/>
              <w:rPr>
                <w:sz w:val="20"/>
                <w:szCs w:val="20"/>
                <w:color w:val="auto"/>
              </w:rPr>
            </w:pPr>
            <w:r>
              <w:rPr>
                <w:rFonts w:ascii="Arial" w:cs="Arial" w:eastAsia="Arial" w:hAnsi="Arial"/>
                <w:sz w:val="18"/>
                <w:szCs w:val="18"/>
                <w:color w:val="0000EE"/>
              </w:rPr>
              <w:t>Letter Agreement, dated as of February 20, 2023, between HealthStream, Inc. and Michael Sousa</w:t>
            </w:r>
          </w:p>
        </w:tc>
      </w:tr>
      <w:tr>
        <w:trPr>
          <w:trHeight w:val="20"/>
        </w:trPr>
        <w:tc>
          <w:tcPr>
            <w:tcW w:w="1040" w:type="dxa"/>
            <w:vAlign w:val="bottom"/>
          </w:tcPr>
          <w:p>
            <w:pPr>
              <w:spacing w:after="0" w:line="20" w:lineRule="exact"/>
              <w:rPr>
                <w:sz w:val="1"/>
                <w:szCs w:val="1"/>
                <w:color w:val="auto"/>
              </w:rPr>
            </w:pPr>
          </w:p>
        </w:tc>
        <w:tc>
          <w:tcPr>
            <w:tcW w:w="70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81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Form of HealthStream, Inc. Restricted Share Unit Agreement (Time Based) under 2022 Omnibus Incentive Plan</w:t>
            </w:r>
          </w:p>
        </w:tc>
        <w:tc>
          <w:tcPr>
            <w:tcW w:w="208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180" w:type="dxa"/>
            <w:vAlign w:val="bottom"/>
            <w:gridSpan w:val="7"/>
          </w:tcPr>
          <w:p>
            <w:pPr>
              <w:spacing w:after="0" w:line="196" w:lineRule="exact"/>
              <w:rPr>
                <w:sz w:val="20"/>
                <w:szCs w:val="20"/>
                <w:color w:val="auto"/>
              </w:rPr>
            </w:pPr>
            <w:r>
              <w:rPr>
                <w:rFonts w:ascii="Arial" w:cs="Arial" w:eastAsia="Arial" w:hAnsi="Arial"/>
                <w:sz w:val="18"/>
                <w:szCs w:val="18"/>
                <w:color w:val="0000EE"/>
              </w:rPr>
              <w:t>Certification of the Chief Executive Officer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74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180" w:type="dxa"/>
            <w:vAlign w:val="bottom"/>
            <w:gridSpan w:val="7"/>
          </w:tcPr>
          <w:p>
            <w:pPr>
              <w:spacing w:after="0" w:line="196" w:lineRule="exact"/>
              <w:rPr>
                <w:sz w:val="20"/>
                <w:szCs w:val="20"/>
                <w:color w:val="auto"/>
              </w:rPr>
            </w:pPr>
            <w:r>
              <w:rPr>
                <w:rFonts w:ascii="Arial" w:cs="Arial" w:eastAsia="Arial" w:hAnsi="Arial"/>
                <w:sz w:val="18"/>
                <w:szCs w:val="18"/>
                <w:color w:val="0000EE"/>
              </w:rPr>
              <w:t>Certification of the Principal Financial Officer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766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180" w:type="dxa"/>
            <w:vAlign w:val="bottom"/>
            <w:gridSpan w:val="7"/>
          </w:tcPr>
          <w:p>
            <w:pPr>
              <w:spacing w:after="0" w:line="196" w:lineRule="exact"/>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40" w:type="dxa"/>
            <w:vAlign w:val="bottom"/>
          </w:tcPr>
          <w:p>
            <w:pPr>
              <w:spacing w:after="0" w:line="20" w:lineRule="exact"/>
              <w:rPr>
                <w:sz w:val="1"/>
                <w:szCs w:val="1"/>
                <w:color w:val="auto"/>
              </w:rPr>
            </w:pPr>
          </w:p>
        </w:tc>
        <w:tc>
          <w:tcPr>
            <w:tcW w:w="8740" w:type="dxa"/>
            <w:vAlign w:val="bottom"/>
            <w:gridSpan w:val="6"/>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180" w:type="dxa"/>
            <w:vAlign w:val="bottom"/>
            <w:gridSpan w:val="7"/>
          </w:tcPr>
          <w:p>
            <w:pPr>
              <w:spacing w:after="0" w:line="196" w:lineRule="exact"/>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40" w:type="dxa"/>
            <w:vAlign w:val="bottom"/>
          </w:tcPr>
          <w:p>
            <w:pPr>
              <w:spacing w:after="0" w:line="20" w:lineRule="exact"/>
              <w:rPr>
                <w:sz w:val="1"/>
                <w:szCs w:val="1"/>
                <w:color w:val="auto"/>
              </w:rPr>
            </w:pPr>
          </w:p>
        </w:tc>
        <w:tc>
          <w:tcPr>
            <w:tcW w:w="8740" w:type="dxa"/>
            <w:vAlign w:val="bottom"/>
            <w:gridSpan w:val="6"/>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101.1 INS</w:t>
            </w:r>
          </w:p>
        </w:tc>
        <w:tc>
          <w:tcPr>
            <w:tcW w:w="1018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instant document does not appear in the Interactive Data File because its XBRL tags are embedded</w:t>
            </w:r>
          </w:p>
        </w:tc>
      </w:tr>
      <w:tr>
        <w:trPr>
          <w:trHeight w:val="216"/>
        </w:trPr>
        <w:tc>
          <w:tcPr>
            <w:tcW w:w="1040" w:type="dxa"/>
            <w:vAlign w:val="bottom"/>
          </w:tcPr>
          <w:p>
            <w:pPr>
              <w:spacing w:after="0"/>
              <w:rPr>
                <w:sz w:val="18"/>
                <w:szCs w:val="18"/>
                <w:color w:val="auto"/>
              </w:rPr>
            </w:pPr>
          </w:p>
        </w:tc>
        <w:tc>
          <w:tcPr>
            <w:tcW w:w="1018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SCH</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CAL</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DEF</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101.1 LAB</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101.1 PRE</w:t>
            </w:r>
          </w:p>
        </w:tc>
        <w:tc>
          <w:tcPr>
            <w:tcW w:w="101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040" w:hanging="1032"/>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March 31, 2023, has been formatted in Inline</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9"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Management contract of compensatory plan or arrangement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940" w:type="dxa"/>
            <w:vAlign w:val="bottom"/>
            <w:gridSpan w:val="2"/>
          </w:tcPr>
          <w:p>
            <w:pPr>
              <w:ind w:left="2720"/>
              <w:spacing w:after="0"/>
              <w:rPr>
                <w:sz w:val="20"/>
                <w:szCs w:val="20"/>
                <w:color w:val="auto"/>
              </w:rPr>
            </w:pPr>
            <w:r>
              <w:rPr>
                <w:rFonts w:ascii="Arial" w:cs="Arial" w:eastAsia="Arial" w:hAnsi="Arial"/>
                <w:sz w:val="18"/>
                <w:szCs w:val="18"/>
                <w:color w:val="auto"/>
              </w:rPr>
              <w:t>HEALTHSTREAM,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April 27, 2023</w:t>
            </w:r>
          </w:p>
        </w:tc>
        <w:tc>
          <w:tcPr>
            <w:tcW w:w="7940" w:type="dxa"/>
            <w:vAlign w:val="bottom"/>
            <w:gridSpan w:val="2"/>
          </w:tcPr>
          <w:p>
            <w:pPr>
              <w:ind w:left="2720"/>
              <w:spacing w:after="0"/>
              <w:rPr>
                <w:sz w:val="20"/>
                <w:szCs w:val="20"/>
                <w:color w:val="auto"/>
              </w:rPr>
            </w:pPr>
            <w:r>
              <w:rPr>
                <w:rFonts w:ascii="Arial" w:cs="Arial" w:eastAsia="Arial" w:hAnsi="Arial"/>
                <w:sz w:val="18"/>
                <w:szCs w:val="18"/>
                <w:color w:val="auto"/>
              </w:rPr>
              <w:t>By:   /s/ Scott A. Roberts</w:t>
            </w:r>
          </w:p>
        </w:tc>
      </w:tr>
      <w:tr>
        <w:trPr>
          <w:trHeight w:val="195"/>
        </w:trPr>
        <w:tc>
          <w:tcPr>
            <w:tcW w:w="33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300" w:type="dxa"/>
            <w:vAlign w:val="bottom"/>
          </w:tcPr>
          <w:p>
            <w:pPr>
              <w:spacing w:after="0"/>
              <w:rPr>
                <w:sz w:val="24"/>
                <w:szCs w:val="24"/>
                <w:color w:val="auto"/>
              </w:rPr>
            </w:pPr>
          </w:p>
        </w:tc>
        <w:tc>
          <w:tcPr>
            <w:tcW w:w="3200" w:type="dxa"/>
            <w:vAlign w:val="bottom"/>
          </w:tcPr>
          <w:p>
            <w:pPr>
              <w:jc w:val="right"/>
              <w:ind w:right="690"/>
              <w:spacing w:after="0"/>
              <w:rPr>
                <w:sz w:val="20"/>
                <w:szCs w:val="20"/>
                <w:color w:val="auto"/>
              </w:rPr>
            </w:pPr>
            <w:r>
              <w:rPr>
                <w:rFonts w:ascii="Arial" w:cs="Arial" w:eastAsia="Arial" w:hAnsi="Arial"/>
                <w:sz w:val="18"/>
                <w:szCs w:val="18"/>
                <w:color w:val="auto"/>
              </w:rPr>
              <w:t>21</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Cash Incentive Bonus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Pursuant to the HealthStream, Inc. 2022 Omnibus Incentive Plan, the Compensation Committee (the “Committee”) of the Board of Directors of HealthStream, Inc. (the “Company”) hereby establishes this 2023 Cash Incentive Bonus Plan (the “Plan”). The Plan is the cash-based, short-term incentive portion of HealthStream's incentive compensation structure for certain executive officers, as well as the vice presidents, associate vice presidents, senior directors, and directors of the Company (such individuals referred to collectively as “Management”). The purpose of the Plan is to specify appropriate opportunities to earn a cash bonus with respect to the Company’s 2023 fiscal year in order to reward Management for facilitating the Company’s achievement of certain levels of financial performance during fiscal year 2023 and to further align their interests with those of the shareholders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 The annual bonus paid to Management after the Committee determines the applicable financial measure has been achieved.</w:t>
      </w:r>
    </w:p>
    <w:p>
      <w:pPr>
        <w:spacing w:after="0" w:line="248" w:lineRule="exact"/>
        <w:rPr>
          <w:rFonts w:ascii="Arial" w:cs="Arial" w:eastAsia="Arial" w:hAnsi="Arial"/>
          <w:sz w:val="16"/>
          <w:szCs w:val="16"/>
          <w:color w:val="auto"/>
        </w:rPr>
      </w:pPr>
    </w:p>
    <w:p>
      <w:pPr>
        <w:ind w:left="980" w:right="20" w:hanging="324"/>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 The Company’s Adjusted EBITDA for the 2023 fiscal year calculated as set forth in the “Reconciliation of Non-GAAP</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Measures” in the Company’s annual report on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2023 budget; and (ii) Adjusted EBITDA (profit/loss) from acquisitions and divestitures consummated during 2023 (collectively, the “Excluded Expenses”). The Committee has the negative discretion to include the Excluded Expenses in the calculation of Adjusted EBITDA.</w:t>
      </w:r>
    </w:p>
    <w:p>
      <w:pPr>
        <w:spacing w:after="0" w:line="171" w:lineRule="exact"/>
        <w:rPr>
          <w:rFonts w:ascii="Arial" w:cs="Arial" w:eastAsia="Arial" w:hAnsi="Arial"/>
          <w:sz w:val="17"/>
          <w:szCs w:val="17"/>
          <w:color w:val="auto"/>
        </w:rPr>
      </w:pPr>
    </w:p>
    <w:p>
      <w:pPr>
        <w:jc w:val="both"/>
        <w:ind w:left="980" w:right="10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Incremental Threshold Adjusted EBITDA </w:t>
      </w:r>
      <w:r>
        <w:rPr>
          <w:rFonts w:ascii="Arial" w:cs="Arial" w:eastAsia="Arial" w:hAnsi="Arial"/>
          <w:sz w:val="18"/>
          <w:szCs w:val="18"/>
          <w:color w:val="auto"/>
        </w:rPr>
        <w:t>– the amount of Adjusted EBITDA before bonuses less Threshold Adjusted EBITDA;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Adjusted EBITDA amount is established by the Committee. Incremental Threshold Adjusted EBITDA funds the Threshold Bonus Pool as set forth in the “Payout” section below.</w:t>
      </w:r>
    </w:p>
    <w:p>
      <w:pPr>
        <w:spacing w:after="0" w:line="175" w:lineRule="exact"/>
        <w:rPr>
          <w:rFonts w:ascii="Arial" w:cs="Arial" w:eastAsia="Arial" w:hAnsi="Arial"/>
          <w:sz w:val="18"/>
          <w:szCs w:val="18"/>
          <w:color w:val="auto"/>
        </w:rPr>
      </w:pPr>
    </w:p>
    <w:p>
      <w:pPr>
        <w:ind w:left="980" w:right="260" w:hanging="324"/>
        <w:spacing w:after="0" w:line="34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Incremental Target Adjusted EBITDA </w:t>
      </w:r>
      <w:r>
        <w:rPr>
          <w:rFonts w:ascii="Arial" w:cs="Arial" w:eastAsia="Arial" w:hAnsi="Arial"/>
          <w:sz w:val="16"/>
          <w:szCs w:val="16"/>
          <w:color w:val="auto"/>
        </w:rPr>
        <w:t>– the amount of Adjusted EBITDA before bonuses less Target Adjusted EBITDA; as such Target</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EBITDA amount is established by the Committee. Incremental Target EBITDA funds the Target Bonus Pool as set forth below.</w:t>
      </w:r>
    </w:p>
    <w:p>
      <w:pPr>
        <w:spacing w:after="0" w:line="115" w:lineRule="exact"/>
        <w:rPr>
          <w:rFonts w:ascii="Arial" w:cs="Arial" w:eastAsia="Arial" w:hAnsi="Arial"/>
          <w:sz w:val="16"/>
          <w:szCs w:val="16"/>
          <w:color w:val="auto"/>
        </w:rPr>
      </w:pPr>
    </w:p>
    <w:p>
      <w:pPr>
        <w:ind w:left="980" w:right="180" w:hanging="324"/>
        <w:spacing w:after="0" w:line="28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Incremental Stretch Adjusted EBITDA </w:t>
      </w:r>
      <w:r>
        <w:rPr>
          <w:rFonts w:ascii="Arial" w:cs="Arial" w:eastAsia="Arial" w:hAnsi="Arial"/>
          <w:sz w:val="18"/>
          <w:szCs w:val="18"/>
          <w:color w:val="auto"/>
        </w:rPr>
        <w:t>– the amount of Adjusted EBITDA before bonuses that is achieved after the Target Bonus Pool is</w:t>
      </w:r>
      <w:r>
        <w:rPr>
          <w:rFonts w:ascii="Arial" w:cs="Arial" w:eastAsia="Arial" w:hAnsi="Arial"/>
          <w:sz w:val="18"/>
          <w:szCs w:val="18"/>
          <w:b w:val="1"/>
          <w:bCs w:val="1"/>
          <w:color w:val="auto"/>
        </w:rPr>
        <w:t xml:space="preserve"> </w:t>
      </w:r>
      <w:r>
        <w:rPr>
          <w:rFonts w:ascii="Arial" w:cs="Arial" w:eastAsia="Arial" w:hAnsi="Arial"/>
          <w:sz w:val="18"/>
          <w:szCs w:val="18"/>
          <w:color w:val="auto"/>
        </w:rPr>
        <w:t>fully funded. The Incremental Stretch Adjusted EBITDA funds the Stretch Bonus Pool as set forth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2023 Financial Measure and Plan Principles: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Financial Measure </w:t>
      </w:r>
      <w:r>
        <w:rPr>
          <w:rFonts w:ascii="Arial" w:cs="Arial" w:eastAsia="Arial" w:hAnsi="Arial"/>
          <w:sz w:val="18"/>
          <w:szCs w:val="18"/>
          <w:color w:val="auto"/>
        </w:rPr>
        <w:t>– Adjusted EBITDA before bonuses will be the financial measure for 2023.</w:t>
      </w:r>
    </w:p>
    <w:p>
      <w:pPr>
        <w:spacing w:after="0" w:line="225" w:lineRule="exact"/>
        <w:rPr>
          <w:rFonts w:ascii="Arial" w:cs="Arial" w:eastAsia="Arial" w:hAnsi="Arial"/>
          <w:sz w:val="18"/>
          <w:szCs w:val="18"/>
          <w:color w:val="auto"/>
        </w:rPr>
      </w:pPr>
    </w:p>
    <w:p>
      <w:pPr>
        <w:ind w:left="660" w:hanging="328"/>
        <w:spacing w:after="0" w:line="28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Funding Principle </w:t>
      </w:r>
      <w:r>
        <w:rPr>
          <w:rFonts w:ascii="Arial" w:cs="Arial" w:eastAsia="Arial" w:hAnsi="Arial"/>
          <w:sz w:val="17"/>
          <w:szCs w:val="17"/>
          <w:color w:val="auto"/>
        </w:rPr>
        <w:t>– The Annual Bonus will be funded: (i) first from the amount of Incremental Threshold Adjusted EBITDA that exceeds</w:t>
      </w:r>
      <w:r>
        <w:rPr>
          <w:rFonts w:ascii="Arial" w:cs="Arial" w:eastAsia="Arial" w:hAnsi="Arial"/>
          <w:sz w:val="17"/>
          <w:szCs w:val="17"/>
          <w:b w:val="1"/>
          <w:bCs w:val="1"/>
          <w:color w:val="auto"/>
        </w:rPr>
        <w:t xml:space="preserve"> </w:t>
      </w:r>
      <w:r>
        <w:rPr>
          <w:rFonts w:ascii="Arial" w:cs="Arial" w:eastAsia="Arial" w:hAnsi="Arial"/>
          <w:sz w:val="17"/>
          <w:szCs w:val="17"/>
          <w:color w:val="auto"/>
        </w:rPr>
        <w:t>Threshold Adjusted EBITDA, (ii) then from the amount of Incremental Target Adjusted EBITDA that exceeds Target Adjusted EBITDA, and (iii) finally, for Executives only from the amount of Incremental Stretch Adjusted EBITDA that exceeds Stretch Adjusted EBITDA.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Five groups are eligible for participation in the Plan:</w:t>
      </w:r>
    </w:p>
    <w:p>
      <w:pPr>
        <w:spacing w:after="0" w:line="221" w:lineRule="exact"/>
        <w:rPr>
          <w:sz w:val="20"/>
          <w:szCs w:val="20"/>
          <w:color w:val="auto"/>
        </w:rPr>
      </w:pPr>
    </w:p>
    <w:p>
      <w:pPr>
        <w:ind w:left="980" w:right="60" w:hanging="365"/>
        <w:spacing w:after="0" w:line="277" w:lineRule="auto"/>
        <w:tabs>
          <w:tab w:leader="none" w:pos="980"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Executive Team </w:t>
      </w:r>
      <w:r>
        <w:rPr>
          <w:rFonts w:ascii="Arial" w:cs="Arial" w:eastAsia="Arial" w:hAnsi="Arial"/>
          <w:sz w:val="17"/>
          <w:szCs w:val="17"/>
          <w:color w:val="auto"/>
        </w:rPr>
        <w:t>– The maximum Annual Bonus (prior to giving effect to any payment of any Stretch Bonus Amount) that (i)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HealthStream and Executive Vice Presidents shall be eligible to receive under the Plan shall be an amount equal to 40% of such member’s base salary; and (ii) Senior Vice Presidents shall be eligible to receive under the Plan shall be an amount equal to 35% of such member’s base salary. Unless otherwise excluded below, the Executive Team eligible for participation includes the Chief Executive Officer, Executive Vice Presidents, and Senior Vice Presidents of the Company (collectively, the “Executives”).</w:t>
      </w:r>
    </w:p>
    <w:p>
      <w:pPr>
        <w:spacing w:after="0" w:line="167" w:lineRule="exact"/>
        <w:rPr>
          <w:rFonts w:ascii="Arial" w:cs="Arial" w:eastAsia="Arial" w:hAnsi="Arial"/>
          <w:sz w:val="17"/>
          <w:szCs w:val="17"/>
          <w:b w:val="1"/>
          <w:bCs w:val="1"/>
          <w:color w:val="auto"/>
        </w:rPr>
      </w:pPr>
    </w:p>
    <w:p>
      <w:pPr>
        <w:ind w:left="980" w:right="200" w:hanging="365"/>
        <w:spacing w:after="0" w:line="282" w:lineRule="auto"/>
        <w:tabs>
          <w:tab w:leader="none" w:pos="98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Vice Presidents </w:t>
      </w:r>
      <w:r>
        <w:rPr>
          <w:rFonts w:ascii="Arial" w:cs="Arial" w:eastAsia="Arial" w:hAnsi="Arial"/>
          <w:sz w:val="18"/>
          <w:szCs w:val="18"/>
          <w:color w:val="auto"/>
        </w:rPr>
        <w:t>– The maximum Annual Bonus that Vice Presidents shall be eligible to receive under the Plan shall be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20% of such Vice President’s base salary.</w:t>
      </w:r>
    </w:p>
    <w:p>
      <w:pPr>
        <w:spacing w:after="0" w:line="161" w:lineRule="exact"/>
        <w:rPr>
          <w:rFonts w:ascii="Arial" w:cs="Arial" w:eastAsia="Arial" w:hAnsi="Arial"/>
          <w:sz w:val="18"/>
          <w:szCs w:val="18"/>
          <w:b w:val="1"/>
          <w:bCs w:val="1"/>
          <w:color w:val="auto"/>
        </w:rPr>
      </w:pPr>
    </w:p>
    <w:p>
      <w:pPr>
        <w:ind w:left="980" w:right="80" w:hanging="378"/>
        <w:spacing w:after="0" w:line="282" w:lineRule="auto"/>
        <w:tabs>
          <w:tab w:leader="none" w:pos="101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Associate Vice Presidents </w:t>
      </w:r>
      <w:r>
        <w:rPr>
          <w:rFonts w:ascii="Arial" w:cs="Arial" w:eastAsia="Arial" w:hAnsi="Arial"/>
          <w:sz w:val="18"/>
          <w:szCs w:val="18"/>
          <w:color w:val="auto"/>
        </w:rPr>
        <w:t>– The maximum Annual Bonus that Associate Vice Presidents shall be eligible to receive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an amount equal to 18% of such Associate Vice President’s base salary.</w:t>
      </w:r>
    </w:p>
    <w:p>
      <w:pPr>
        <w:spacing w:after="0" w:line="161" w:lineRule="exact"/>
        <w:rPr>
          <w:rFonts w:ascii="Arial" w:cs="Arial" w:eastAsia="Arial" w:hAnsi="Arial"/>
          <w:sz w:val="18"/>
          <w:szCs w:val="18"/>
          <w:b w:val="1"/>
          <w:bCs w:val="1"/>
          <w:color w:val="auto"/>
        </w:rPr>
      </w:pPr>
    </w:p>
    <w:p>
      <w:pPr>
        <w:ind w:left="980" w:right="80" w:hanging="365"/>
        <w:spacing w:after="0" w:line="266" w:lineRule="auto"/>
        <w:tabs>
          <w:tab w:leader="none" w:pos="98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Directors </w:t>
      </w:r>
      <w:r>
        <w:rPr>
          <w:rFonts w:ascii="Arial" w:cs="Arial" w:eastAsia="Arial" w:hAnsi="Arial"/>
          <w:sz w:val="18"/>
          <w:szCs w:val="18"/>
          <w:color w:val="auto"/>
        </w:rPr>
        <w:t>- The maximum Annual Bonus that Senior Directors shall be eligible to receive under the Plan shall be an amount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10% of such Senior Director’s base salary. For purposes of clarity, Directors do not include members of the Board of Directors, but are management-level employees of the Company.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5" w:name="page26"/>
    <w:bookmarkEnd w:id="25"/>
    <w:p>
      <w:pPr>
        <w:ind w:left="980" w:right="300" w:hanging="365"/>
        <w:spacing w:after="0" w:line="266" w:lineRule="auto"/>
        <w:tabs>
          <w:tab w:leader="none" w:pos="102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 The maximum Annual Bonus that Directors shall be eligible to receive under the Plan shall be an amount equal to 8%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base salary. For purposes of clarity, Directors do not include members of the Board of Directors, but are management-level employees of the Company</w:t>
      </w:r>
    </w:p>
    <w:p>
      <w:pPr>
        <w:spacing w:after="0" w:line="175" w:lineRule="exact"/>
        <w:rPr>
          <w:rFonts w:ascii="Arial" w:cs="Arial" w:eastAsia="Arial" w:hAnsi="Arial"/>
          <w:sz w:val="18"/>
          <w:szCs w:val="18"/>
          <w:b w:val="1"/>
          <w:bCs w:val="1"/>
          <w:color w:val="auto"/>
        </w:rPr>
      </w:pPr>
    </w:p>
    <w:p>
      <w:pPr>
        <w:ind w:left="1040" w:right="40" w:hanging="425"/>
        <w:spacing w:after="0" w:line="261" w:lineRule="auto"/>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Requirements </w:t>
      </w:r>
      <w:r>
        <w:rPr>
          <w:rFonts w:ascii="Arial" w:cs="Arial" w:eastAsia="Arial" w:hAnsi="Arial"/>
          <w:sz w:val="18"/>
          <w:szCs w:val="18"/>
          <w:color w:val="auto"/>
        </w:rPr>
        <w:t>– Participants in the Plan who were employed with the Company through December 31, 2023 shall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bonus payments, if any, under the Plan regardless of whether such employees are employed on the date such payments are actually made. Notwithstanding the foregoing, in the case of death or disability, the participant’s pro rata share from January 1, 2023 through the date of participant’s death or disability shall be awarded.</w:t>
      </w:r>
    </w:p>
    <w:p>
      <w:pPr>
        <w:spacing w:after="0" w:line="179" w:lineRule="exact"/>
        <w:rPr>
          <w:rFonts w:ascii="Arial" w:cs="Arial" w:eastAsia="Arial" w:hAnsi="Arial"/>
          <w:sz w:val="18"/>
          <w:szCs w:val="18"/>
          <w:b w:val="1"/>
          <w:bCs w:val="1"/>
          <w:color w:val="auto"/>
        </w:rPr>
      </w:pPr>
    </w:p>
    <w:p>
      <w:pPr>
        <w:ind w:left="980" w:right="20" w:hanging="365"/>
        <w:spacing w:after="0" w:line="282" w:lineRule="auto"/>
        <w:tabs>
          <w:tab w:leader="none" w:pos="102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Exclusions </w:t>
      </w:r>
      <w:r>
        <w:rPr>
          <w:rFonts w:ascii="Arial" w:cs="Arial" w:eastAsia="Arial" w:hAnsi="Arial"/>
          <w:sz w:val="18"/>
          <w:szCs w:val="18"/>
          <w:color w:val="auto"/>
        </w:rPr>
        <w:t>- Members of the Executive Team with a commission-based incentive compensation plan shall not be eligible to participate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Payouts under the Plan shall be determined as follows: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Annual Bonus payable to any participant in this Plan will be determined as follows:</w:t>
      </w:r>
    </w:p>
    <w:p>
      <w:pPr>
        <w:spacing w:after="0" w:line="225" w:lineRule="exact"/>
        <w:rPr>
          <w:rFonts w:ascii="Arial" w:cs="Arial" w:eastAsia="Arial" w:hAnsi="Arial"/>
          <w:sz w:val="18"/>
          <w:szCs w:val="18"/>
          <w:color w:val="auto"/>
        </w:rPr>
      </w:pPr>
    </w:p>
    <w:p>
      <w:pPr>
        <w:ind w:left="1300" w:right="32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that Adjusted EBITDA before bonuses is less than or equal to Threshold Adjusted EBITDA, a participant will receive no Annual Bonus.</w:t>
      </w:r>
    </w:p>
    <w:p>
      <w:pPr>
        <w:spacing w:after="0" w:line="170" w:lineRule="exact"/>
        <w:rPr>
          <w:rFonts w:ascii="Arial" w:cs="Arial" w:eastAsia="Arial" w:hAnsi="Arial"/>
          <w:sz w:val="18"/>
          <w:szCs w:val="18"/>
          <w:color w:val="auto"/>
        </w:rPr>
      </w:pPr>
    </w:p>
    <w:p>
      <w:pPr>
        <w:ind w:left="1300" w:right="20" w:hanging="320"/>
        <w:spacing w:after="0" w:line="29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the extent Incremental Threshold Adjusted funds the Threshold Bonus Pool, a participant will receive a percentage of his or her maximum Annual Bonus payable as set forth above under “The Plan-Eligibility” (the “Maximum Annual Bonus”) in an amount between 0% and 35% of the Maximum Annual Bonus payable to such participant, based on the amount of bonus pool that is funded for that range (the “Threshold Bonus Pool”). The Threshold Bonus Pool shall be funded by every dollar of Incremental Threshold Adjusted EBITDA until the Threshold Pool is fully funded. The Threshold Bonus Pool is fully funded at the point in which the Threshold Adjusted EBITDA is reached after bonus payments equal to 35% of the Maximum Annual Bonus for all participants is achieved.</w:t>
      </w:r>
    </w:p>
    <w:p>
      <w:pPr>
        <w:spacing w:after="0" w:line="164" w:lineRule="exact"/>
        <w:rPr>
          <w:rFonts w:ascii="Arial" w:cs="Arial" w:eastAsia="Arial" w:hAnsi="Arial"/>
          <w:sz w:val="16"/>
          <w:szCs w:val="16"/>
          <w:color w:val="auto"/>
        </w:rPr>
      </w:pPr>
    </w:p>
    <w:p>
      <w:pPr>
        <w:ind w:left="1300" w:hanging="320"/>
        <w:spacing w:after="0" w:line="25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that the Threshold Bonus Pool is fully funded, a participant will then be eligible to receive an Annual Bonus in an amount between 36% and 100% of the Maximum Annual Bonus payable to such participant, based on the amount of bonus pool that is funded for that range (the “Target Bonus Pool”). The Target Bonus Pool shall be funded by fifty-eight cents of every dollar of Incremental Target Adjusted EBITDA until the Target Bonus Pool is fully funded. The Target Bonus Pool is fully funded at the point in which the Target Adjusted EBITDA is reached after bonus payments equal to the remaining 65% of the Maximum Bonus Amount (at which point 100% of the Maximum Bonus in the aggregate would be earned); provided Executives shall also be eligible to receive a Stretch Bonus Amount as set forth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left="968" w:hanging="320"/>
        <w:spacing w:after="0" w:line="25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Solely for Executives, in the event that Target Bonus Pool is fully funded, each Executive will then be eligible to receive—in addition to her or his Maximum Annual Bonus, which has already been earned—an additional payment (the “Stretch Bonus Amount”) in an amount equal to a percentage between 0% and 10% of the base salary payable to such Executive based on the amount of bonus pool that is funded for that range (the “Stretch Bonus Pool”). The Stretch Bonus Pool shall by funded by fifteen cents of every dollar of Incremental Stretch Adjusted EBITDA until the Stretch Bonus Pool is fully funded. The Stretch Bonus Pool is fully funded at the point in which the Stretch Adjusted EBITDA (as established by the Committee) is reached after bonus payments equal to 10% of each Executives base salary. For purposes of clarity, Executives shall become eligible to begin achieving the Stretch Bonus Amount after 100% of the Maximum Annual Bonus is achieved, and payment for any Stretch Bonus Amount an executive achieves shall be in addition to the 100% Maximum Annual Bonus.</w:t>
      </w:r>
    </w:p>
    <w:p>
      <w:pPr>
        <w:spacing w:after="0" w:line="196"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Annual Bonus payouts made to the Executive Team, Vice President, Associate Vice President, Senior Directors, or Directors pursuant to the Plan shall be payable at such time as bonuses are paid generally to executive officers of the Company.</w:t>
      </w:r>
    </w:p>
    <w:p>
      <w:pPr>
        <w:spacing w:after="0" w:line="170" w:lineRule="exact"/>
        <w:rPr>
          <w:rFonts w:ascii="Arial" w:cs="Arial" w:eastAsia="Arial" w:hAnsi="Arial"/>
          <w:sz w:val="18"/>
          <w:szCs w:val="18"/>
          <w:color w:val="auto"/>
        </w:rPr>
      </w:pPr>
    </w:p>
    <w:p>
      <w:pPr>
        <w:ind w:left="328" w:hanging="328"/>
        <w:spacing w:after="0" w:line="253"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Annual Bonus paid or payable to any recipient pursuant to the Plan shall be subject to forfeiture, repayment, reimbursement or other recoupment (i) to the extent provided in the Company’s current Compensation Recoupment Policy, as it may be amended from time to time (the “</w:t>
      </w:r>
      <w:r>
        <w:rPr>
          <w:rFonts w:ascii="Arial" w:cs="Arial" w:eastAsia="Arial" w:hAnsi="Arial"/>
          <w:sz w:val="18"/>
          <w:szCs w:val="18"/>
          <w:u w:val="single" w:color="auto"/>
          <w:color w:val="auto"/>
        </w:rPr>
        <w:t>Current Recoupment Policy</w:t>
      </w:r>
      <w:r>
        <w:rPr>
          <w:rFonts w:ascii="Arial" w:cs="Arial" w:eastAsia="Arial" w:hAnsi="Arial"/>
          <w:sz w:val="18"/>
          <w:szCs w:val="18"/>
          <w:color w:val="auto"/>
        </w:rPr>
        <w:t>”), (ii) to the extent that such recipient in the future becomes subject to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w:t>
      </w:r>
      <w:r>
        <w:rPr>
          <w:rFonts w:ascii="Arial" w:cs="Arial" w:eastAsia="Arial" w:hAnsi="Arial"/>
          <w:sz w:val="18"/>
          <w:szCs w:val="18"/>
          <w:u w:val="single" w:color="auto"/>
          <w:color w:val="auto"/>
        </w:rPr>
        <w:t>Dodd-Frank Clawback Requirements</w:t>
      </w:r>
      <w:r>
        <w:rPr>
          <w:rFonts w:ascii="Arial" w:cs="Arial" w:eastAsia="Arial" w:hAnsi="Arial"/>
          <w:sz w:val="18"/>
          <w:szCs w:val="18"/>
          <w:color w:val="auto"/>
        </w:rPr>
        <w:t>”) (such policies referenced in clause (i) or this clause (ii), collectively, the “</w:t>
      </w:r>
      <w:r>
        <w:rPr>
          <w:rFonts w:ascii="Arial" w:cs="Arial" w:eastAsia="Arial" w:hAnsi="Arial"/>
          <w:sz w:val="18"/>
          <w:szCs w:val="18"/>
          <w:u w:val="single" w:color="auto"/>
          <w:color w:val="auto"/>
        </w:rPr>
        <w:t>Policies</w:t>
      </w:r>
      <w:r>
        <w:rPr>
          <w:rFonts w:ascii="Arial" w:cs="Arial" w:eastAsia="Arial" w:hAnsi="Arial"/>
          <w:sz w:val="18"/>
          <w:szCs w:val="18"/>
          <w:color w:val="auto"/>
        </w:rPr>
        <w:t>”),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pursuant to the terms of the Policies.</w:t>
      </w:r>
    </w:p>
    <w:p>
      <w:pPr>
        <w:spacing w:after="0" w:line="185"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868"/>
          </w:cols>
          <w:pgMar w:left="652" w:top="584"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14605</wp:posOffset>
            </wp:positionV>
            <wp:extent cx="1868805" cy="891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880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February 20, 2023</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 Offer Letter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jc w:val="both"/>
        <w:ind w:left="40" w:right="120"/>
        <w:spacing w:after="0" w:line="263" w:lineRule="auto"/>
        <w:rPr>
          <w:sz w:val="20"/>
          <w:szCs w:val="20"/>
          <w:color w:val="auto"/>
        </w:rPr>
      </w:pPr>
      <w:r>
        <w:rPr>
          <w:rFonts w:ascii="Arial" w:cs="Arial" w:eastAsia="Arial" w:hAnsi="Arial"/>
          <w:sz w:val="18"/>
          <w:szCs w:val="18"/>
          <w:color w:val="auto"/>
        </w:rPr>
        <w:t>This offer letter will confirm the terms of your offer of employment with HealthStream, Inc. (the “Company”) as its Executive Vice President, Enterprise Applications, as well as anticipated increases in responsibilities and potentially changing titles (</w:t>
      </w:r>
      <w:r>
        <w:rPr>
          <w:rFonts w:ascii="Arial" w:cs="Arial" w:eastAsia="Arial" w:hAnsi="Arial"/>
          <w:sz w:val="18"/>
          <w:szCs w:val="18"/>
          <w:i w:val="1"/>
          <w:iCs w:val="1"/>
          <w:color w:val="auto"/>
        </w:rPr>
        <w:t>e.g.</w:t>
      </w:r>
      <w:r>
        <w:rPr>
          <w:rFonts w:ascii="Arial" w:cs="Arial" w:eastAsia="Arial" w:hAnsi="Arial"/>
          <w:sz w:val="18"/>
          <w:szCs w:val="18"/>
          <w:color w:val="auto"/>
        </w:rPr>
        <w:t>, Chief Transformation Officer) over the course of the next five-year period. The following describes the general terms of your employment:</w:t>
      </w:r>
    </w:p>
    <w:p>
      <w:pPr>
        <w:spacing w:after="0" w:line="184" w:lineRule="exact"/>
        <w:rPr>
          <w:sz w:val="20"/>
          <w:szCs w:val="20"/>
          <w:color w:val="auto"/>
        </w:rPr>
      </w:pPr>
    </w:p>
    <w:p>
      <w:pPr>
        <w:ind w:left="160" w:hanging="158"/>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Position and Responsibilities.</w:t>
      </w:r>
    </w:p>
    <w:p>
      <w:pPr>
        <w:spacing w:after="0" w:line="225" w:lineRule="exact"/>
        <w:rPr>
          <w:sz w:val="20"/>
          <w:szCs w:val="20"/>
          <w:color w:val="auto"/>
        </w:rPr>
      </w:pPr>
    </w:p>
    <w:p>
      <w:pPr>
        <w:ind w:left="360" w:right="120"/>
        <w:spacing w:after="0" w:line="257" w:lineRule="auto"/>
        <w:rPr>
          <w:sz w:val="20"/>
          <w:szCs w:val="20"/>
          <w:color w:val="auto"/>
        </w:rPr>
      </w:pPr>
      <w:r>
        <w:rPr>
          <w:rFonts w:ascii="Arial" w:cs="Arial" w:eastAsia="Arial" w:hAnsi="Arial"/>
          <w:sz w:val="18"/>
          <w:szCs w:val="18"/>
          <w:color w:val="auto"/>
        </w:rPr>
        <w:t>Effective immediately as “Phase 1” of the next five years, you will serve in the position of Executive Vice President, Enterprise Applications. You will also serve as a member of the Company’s Executive Team. You are responsible for establishing and leading the development and execution of the growth strategy for HealthStream’s Enterprise Applications, beginning with the Scheduling and Credentialing product portfolios. You will merge and integrate existing Credentialing and Scheduling business operations to create a single leadership team and realize synergies across functional areas.</w:t>
      </w:r>
    </w:p>
    <w:p>
      <w:pPr>
        <w:spacing w:after="0" w:line="188"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During “Phase 2” of the next five years, which is estimated to begin in 12 to 24 months, you will assume additional responsibilities, such as for additional enterprise applications and/or other corporate roles (</w:t>
      </w:r>
      <w:r>
        <w:rPr>
          <w:rFonts w:ascii="Arial" w:cs="Arial" w:eastAsia="Arial" w:hAnsi="Arial"/>
          <w:sz w:val="18"/>
          <w:szCs w:val="18"/>
          <w:i w:val="1"/>
          <w:iCs w:val="1"/>
          <w:color w:val="auto"/>
        </w:rPr>
        <w:t>e.g.</w:t>
      </w:r>
      <w:r>
        <w:rPr>
          <w:rFonts w:ascii="Arial" w:cs="Arial" w:eastAsia="Arial" w:hAnsi="Arial"/>
          <w:sz w:val="18"/>
          <w:szCs w:val="18"/>
          <w:color w:val="auto"/>
        </w:rPr>
        <w:t>, Chief Transformation Officer).</w:t>
      </w:r>
    </w:p>
    <w:p>
      <w:pPr>
        <w:spacing w:after="0" w:line="170" w:lineRule="exact"/>
        <w:rPr>
          <w:sz w:val="20"/>
          <w:szCs w:val="20"/>
          <w:color w:val="auto"/>
        </w:rPr>
      </w:pPr>
    </w:p>
    <w:p>
      <w:pPr>
        <w:ind w:left="360" w:right="60"/>
        <w:spacing w:after="0" w:line="279" w:lineRule="auto"/>
        <w:rPr>
          <w:sz w:val="20"/>
          <w:szCs w:val="20"/>
          <w:color w:val="auto"/>
        </w:rPr>
      </w:pPr>
      <w:r>
        <w:rPr>
          <w:rFonts w:ascii="Arial" w:cs="Arial" w:eastAsia="Arial" w:hAnsi="Arial"/>
          <w:sz w:val="17"/>
          <w:szCs w:val="17"/>
          <w:color w:val="auto"/>
        </w:rPr>
        <w:t>The compensation package set forth in this offer letter is designed to include compensation for the additional responsibilities and/or titles you assume during Phase 2 of the next five years, while granting that compensation to you at the outset of Phase 1. Granting you compensation now for responsibilities and/or titles you are expected to assume in the future is based on the Company’s confidence and trust in you over the next five years as well as the Company’s desire to incentivize you to remain with the Company for at least another five years.</w:t>
      </w:r>
    </w:p>
    <w:p>
      <w:pPr>
        <w:spacing w:after="0" w:line="171" w:lineRule="exact"/>
        <w:rPr>
          <w:sz w:val="20"/>
          <w:szCs w:val="20"/>
          <w:color w:val="auto"/>
        </w:rPr>
      </w:pPr>
    </w:p>
    <w:p>
      <w:pPr>
        <w:ind w:left="360" w:right="100"/>
        <w:spacing w:after="0" w:line="268" w:lineRule="auto"/>
        <w:rPr>
          <w:sz w:val="20"/>
          <w:szCs w:val="20"/>
          <w:color w:val="auto"/>
        </w:rPr>
      </w:pPr>
      <w:r>
        <w:rPr>
          <w:rFonts w:ascii="Arial" w:cs="Arial" w:eastAsia="Arial" w:hAnsi="Arial"/>
          <w:sz w:val="17"/>
          <w:szCs w:val="17"/>
          <w:color w:val="auto"/>
        </w:rPr>
        <w:t>You will report to the Chief Executive Officer and assume and discharge such responsibilities as are commensurate with your position and as the Chief Executive Officer may direct. During your employment with the Company, you shall devote your full-time attention to your duties and responsibilities and shall perform them faithfully, diligently and completely. In addition, you shall comply with and be bound by the operating policies, procedures and practices of the Company including, without limitation, the Employee Handbook, Code of Conduct, Code of Ethics, and insider trading policies, in effect from time to time during your employment. Moreover, all compensation which has been paid to you or may be payable to you will be subject to recoupment pursuant to, and to the extent provided by, (i) the terms of the Company’s Compensation Recoupment Policy (as it may be amended from time to time) (the “Current Recoupment Policy”), (ii)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SEC rules and Nasdaq listing standards, the “Dodd-Frank Clawback Requirements”) (such policies referenced in clauses (i) and (ii), the “Policies”) and (iii) applicable SEC rules and NASDAQ listing requirements as in effect from time to time. The Company may utilize any method of recovery specified in the Policies in connection with any recoupment pursuant to the terms of the Policies.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75565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28" w:name="page29"/>
    <w:bookmarkEnd w:id="28"/>
    <w:p>
      <w:pPr>
        <w:ind w:left="360"/>
        <w:spacing w:after="0"/>
        <w:rPr>
          <w:sz w:val="20"/>
          <w:szCs w:val="20"/>
          <w:color w:val="auto"/>
        </w:rPr>
      </w:pPr>
      <w:r>
        <w:rPr>
          <w:rFonts w:ascii="Arial" w:cs="Arial" w:eastAsia="Arial" w:hAnsi="Arial"/>
          <w:sz w:val="18"/>
          <w:szCs w:val="18"/>
          <w:color w:val="auto"/>
        </w:rPr>
        <w:t>You acknowledge that you will be required to travel, potentially extensively, in connection with the performance of your duties.</w:t>
      </w:r>
    </w:p>
    <w:p>
      <w:pPr>
        <w:spacing w:after="0" w:line="225" w:lineRule="exact"/>
        <w:rPr>
          <w:sz w:val="20"/>
          <w:szCs w:val="20"/>
          <w:color w:val="auto"/>
        </w:rPr>
      </w:pPr>
    </w:p>
    <w:p>
      <w:pPr>
        <w:ind w:left="160" w:hanging="158"/>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for your services, during the term of your employment, you will receive:</w:t>
      </w:r>
    </w:p>
    <w:p>
      <w:pPr>
        <w:spacing w:after="0" w:line="225" w:lineRule="exact"/>
        <w:rPr>
          <w:rFonts w:ascii="Arial" w:cs="Arial" w:eastAsia="Arial" w:hAnsi="Arial"/>
          <w:sz w:val="18"/>
          <w:szCs w:val="18"/>
          <w:color w:val="auto"/>
        </w:rPr>
      </w:pPr>
    </w:p>
    <w:p>
      <w:pPr>
        <w:ind w:left="680" w:right="120" w:hanging="327"/>
        <w:spacing w:after="0" w:line="277" w:lineRule="auto"/>
        <w:tabs>
          <w:tab w:leader="none" w:pos="6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annual base salary will remain $375,000.00 (“Base Salary”) through May 1, 2024. Base Salary is payable in accordance with the Company’s prevailing payroll practices.</w:t>
      </w:r>
    </w:p>
    <w:p>
      <w:pPr>
        <w:spacing w:after="0" w:line="170" w:lineRule="exact"/>
        <w:rPr>
          <w:rFonts w:ascii="Arial" w:cs="Arial" w:eastAsia="Arial" w:hAnsi="Arial"/>
          <w:sz w:val="18"/>
          <w:szCs w:val="18"/>
          <w:color w:val="auto"/>
        </w:rPr>
      </w:pPr>
    </w:p>
    <w:p>
      <w:pPr>
        <w:ind w:left="680" w:right="20" w:hanging="327"/>
        <w:spacing w:after="0" w:line="271" w:lineRule="auto"/>
        <w:tabs>
          <w:tab w:leader="none" w:pos="68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Cash Bonus Plan</w:t>
      </w:r>
      <w:r>
        <w:rPr>
          <w:rFonts w:ascii="Arial" w:cs="Arial" w:eastAsia="Arial" w:hAnsi="Arial"/>
          <w:sz w:val="17"/>
          <w:szCs w:val="17"/>
          <w:color w:val="auto"/>
        </w:rPr>
        <w:t>. You will be eligible to participate in an annual cash bonus plan (“Bonus Plan”). Under the Bonus Plan you will be eligible to receive a bonus of up to forty (40%) of your Base Salary, assuming achievement of 100% of the target thresholds established annually by the Compensation Committee. You will also be eligible to receive a “stretch bonus” of up to 10% of your Base Salary for exceeding a target determined annually by the Compensation Committee. Each year the Compensation Committee will set the terms of the Bonus Plan, including the annual targets. Annual targets for achieving bonuses may include, among other things, financial targets such as adjusted EBITDA and/or revenue thresholds, and/or other performance-based targets. Any Bonus Plan (i) shall be subject to the terms and conditions set forth therein as well as the applicable Company Equity Plan (“Equity Plan”) adopted by shareholders—currently the 2022 Omnibus Incentive Plan, and (ii) shall be payable at such time as bonuses are paid generally to executive officers of the Company.</w:t>
      </w:r>
    </w:p>
    <w:p>
      <w:pPr>
        <w:spacing w:after="0" w:line="178" w:lineRule="exact"/>
        <w:rPr>
          <w:rFonts w:ascii="Arial" w:cs="Arial" w:eastAsia="Arial" w:hAnsi="Arial"/>
          <w:sz w:val="17"/>
          <w:szCs w:val="17"/>
          <w:color w:val="auto"/>
        </w:rPr>
      </w:pPr>
    </w:p>
    <w:p>
      <w:pPr>
        <w:ind w:left="680" w:hanging="327"/>
        <w:spacing w:after="0" w:line="293" w:lineRule="auto"/>
        <w:tabs>
          <w:tab w:leader="none" w:pos="68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Equity Awards –Time-Based Vesting</w:t>
      </w:r>
      <w:r>
        <w:rPr>
          <w:rFonts w:ascii="Arial" w:cs="Arial" w:eastAsia="Arial" w:hAnsi="Arial"/>
          <w:sz w:val="16"/>
          <w:szCs w:val="16"/>
          <w:color w:val="auto"/>
        </w:rPr>
        <w:t>. Each year, you will be eligible to receive an equity award (referred to herein as “Annual Awards”) in the form of restricted stock units (“RSUs”). All Annual Awards shall be subject to the terms and conditions of the agreement under which such awards are granted and the Equity Plan. The issuance and terms of all Annual Awards are subject to approval by the Compensation Committee. For 2023, the Chief Executive Officer intends to recommend to the Compensation Committee that your 2023 Annual Award: (i) be equal to a grant date value of $150,000.00 total, (ii) be awarded in two semi-annual grants each with a grant date value of $75,0000, and (iii) vest at the anniversary of the grant date according to the following schedule: 20% vest year 1, 25% vest year 2, 25% vest year 3, and 30% vest year 4.</w:t>
      </w:r>
    </w:p>
    <w:p>
      <w:pPr>
        <w:spacing w:after="0" w:line="164" w:lineRule="exact"/>
        <w:rPr>
          <w:rFonts w:ascii="Arial" w:cs="Arial" w:eastAsia="Arial" w:hAnsi="Arial"/>
          <w:sz w:val="16"/>
          <w:szCs w:val="16"/>
          <w:color w:val="auto"/>
        </w:rPr>
      </w:pPr>
    </w:p>
    <w:p>
      <w:pPr>
        <w:ind w:left="680" w:right="240" w:hanging="327"/>
        <w:spacing w:after="0" w:line="293" w:lineRule="auto"/>
        <w:tabs>
          <w:tab w:leader="none" w:pos="68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Equity Award – Performance-Based Vesting</w:t>
      </w:r>
      <w:r>
        <w:rPr>
          <w:rFonts w:ascii="Arial" w:cs="Arial" w:eastAsia="Arial" w:hAnsi="Arial"/>
          <w:sz w:val="16"/>
          <w:szCs w:val="16"/>
          <w:color w:val="auto"/>
        </w:rPr>
        <w:t>. You will be eligible to receive a performance-based equity award (referred to herein as the “Performance Award”) upon your acceptance of the position and the Compensation Committee’s approval of such award. The total number of Performance Award RSUs you will be granted is 60,000. The Performance Award will be eligible for vesting annually on the grant date anniversary according to the following schedule: 15% vest year 1, 20% vest year 2, 20% vest year 3, 20% vest year 4, and 25% vest year 5; according to whether the annual performance targets set by the Compensation Committee are met or exceeded for the applicable year. Your Performance Award shall be subject to the terms and conditions of the Equity Plan and the agreement under which such awards are granted.</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75565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84" w:right="379" w:bottom="1440" w:gutter="0" w:footer="0" w:header="0"/>
        </w:sectPr>
      </w:pPr>
    </w:p>
    <w:bookmarkStart w:id="29" w:name="page30"/>
    <w:bookmarkEnd w:id="29"/>
    <w:p>
      <w:pPr>
        <w:ind w:left="680"/>
        <w:spacing w:after="0" w:line="273" w:lineRule="auto"/>
        <w:rPr>
          <w:sz w:val="20"/>
          <w:szCs w:val="20"/>
          <w:color w:val="auto"/>
        </w:rPr>
      </w:pPr>
      <w:r>
        <w:rPr>
          <w:rFonts w:ascii="Arial" w:cs="Arial" w:eastAsia="Arial" w:hAnsi="Arial"/>
          <w:sz w:val="17"/>
          <w:szCs w:val="17"/>
          <w:color w:val="auto"/>
        </w:rPr>
        <w:t>If you are employed upon a Change of Control as defined in the Equity Plan, all unvested RSUs that are eligible to vest within the 24 months following the Change of Control shall automatically vest and any RSUs that are not eligible to vest within 24 months of the Change of Control shall be forfeited. For example, if a Change of Control occurs after your year 1 RSUs were eligible to vest, but before your year 2 RSUs were eligible to vest, then your year 2 and year 3 RSUs would vest automatically upon the Change of Control, and your years 4 and 5 RSUs would be forfeited. For additional example, if a Change of Control occurs after your year 3 RSUs were eligible to vest, but before your years 4 and 5 RSUs were eligible to vest, then your years 4 and 5 RSUs would automatically vest upon the Change of Control.</w:t>
      </w:r>
    </w:p>
    <w:p>
      <w:pPr>
        <w:spacing w:after="0" w:line="178" w:lineRule="exact"/>
        <w:rPr>
          <w:sz w:val="20"/>
          <w:szCs w:val="20"/>
          <w:color w:val="auto"/>
        </w:rPr>
      </w:pPr>
    </w:p>
    <w:p>
      <w:pPr>
        <w:jc w:val="both"/>
        <w:ind w:left="680" w:right="40"/>
        <w:spacing w:after="0" w:line="296" w:lineRule="auto"/>
        <w:rPr>
          <w:sz w:val="20"/>
          <w:szCs w:val="20"/>
          <w:color w:val="auto"/>
        </w:rPr>
      </w:pPr>
      <w:r>
        <w:rPr>
          <w:rFonts w:ascii="Arial" w:cs="Arial" w:eastAsia="Arial" w:hAnsi="Arial"/>
          <w:sz w:val="16"/>
          <w:szCs w:val="16"/>
          <w:color w:val="auto"/>
        </w:rPr>
        <w:t>Initially, it was contemplated that you would receive one performance-based award of 30,000 RSUs upon accepting the role of EVP, Enterprise Applications and another performance-based award upon your assuming new responsibilities and/or titles (</w:t>
      </w:r>
      <w:r>
        <w:rPr>
          <w:rFonts w:ascii="Arial" w:cs="Arial" w:eastAsia="Arial" w:hAnsi="Arial"/>
          <w:sz w:val="16"/>
          <w:szCs w:val="16"/>
          <w:i w:val="1"/>
          <w:iCs w:val="1"/>
          <w:color w:val="auto"/>
        </w:rPr>
        <w:t>e.g.,</w:t>
      </w:r>
      <w:r>
        <w:rPr>
          <w:rFonts w:ascii="Arial" w:cs="Arial" w:eastAsia="Arial" w:hAnsi="Arial"/>
          <w:sz w:val="16"/>
          <w:szCs w:val="16"/>
          <w:color w:val="auto"/>
        </w:rPr>
        <w:t xml:space="preserve"> Chief Transformation Officer). Given your willingness and commitment to assume additional responsibilities and/or titles within the next 12 to 24 months, what was originally contemplated as two staggered grants of 30,000 RSUs are being combined into a single grant of 60,000 RSUs. As such, the 60,000 performance-based shares include compensation for your assumption of additional responsibilities and/or titles over the course of the next five years.</w:t>
      </w:r>
    </w:p>
    <w:p>
      <w:pPr>
        <w:spacing w:after="0" w:line="161" w:lineRule="exact"/>
        <w:rPr>
          <w:sz w:val="20"/>
          <w:szCs w:val="20"/>
          <w:color w:val="auto"/>
        </w:rPr>
      </w:pPr>
    </w:p>
    <w:p>
      <w:pPr>
        <w:ind w:left="160" w:right="40" w:hanging="158"/>
        <w:spacing w:after="0" w:line="254" w:lineRule="auto"/>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xml:space="preserve"> You will be entitled to receive the standard employee benefits made available by the Company to its employees to the full extent of your eligibility. During your employment, you shall be permitted, to the extent eligible, to participate in any group medical, dental, life insurance and disability insurance plans, or similar benefit plan of the Company that is available to employees generally. You shall also be eligible to participate in the Company’s 401(k) plan. Participation in any such plans shall be consistent with your rate of compensation to the extent that compensation is a determinative factor with respect to coverage under any such plans. The Company shall reimburse you for all reasonable expenses actually incurred or paid by you in the performance of your services on behalf of the Company subject to the terms of and in accordance with the Company’s expense reimbursement policy as from time to time in effect.</w:t>
      </w:r>
    </w:p>
    <w:p>
      <w:pPr>
        <w:spacing w:after="0" w:line="194" w:lineRule="exact"/>
        <w:rPr>
          <w:rFonts w:ascii="Arial" w:cs="Arial" w:eastAsia="Arial" w:hAnsi="Arial"/>
          <w:sz w:val="18"/>
          <w:szCs w:val="18"/>
          <w:color w:val="auto"/>
        </w:rPr>
      </w:pPr>
    </w:p>
    <w:p>
      <w:pPr>
        <w:ind w:left="160" w:right="280" w:hanging="158"/>
        <w:spacing w:after="0" w:line="259" w:lineRule="auto"/>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You agree that your employment, as described in this offer letter, is contingent upon your execution of, and delivery to the Company of the (i) Notice of Non-Compete, (ii) Non-Competition and Non-Solicitation Agreement and (iii) Trade Secret &amp; Proprietary Information Agreement, each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“Restrictive Covenants"), which includes a trailing two-year restriction on competition and solicitation.</w:t>
      </w:r>
    </w:p>
    <w:p>
      <w:pPr>
        <w:spacing w:after="0" w:line="186" w:lineRule="exact"/>
        <w:rPr>
          <w:rFonts w:ascii="Arial" w:cs="Arial" w:eastAsia="Arial" w:hAnsi="Arial"/>
          <w:sz w:val="18"/>
          <w:szCs w:val="18"/>
          <w:color w:val="auto"/>
        </w:rPr>
      </w:pPr>
    </w:p>
    <w:p>
      <w:pPr>
        <w:ind w:left="160" w:right="100" w:hanging="158"/>
        <w:spacing w:after="0" w:line="259" w:lineRule="auto"/>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Conflicting Employment</w:t>
      </w:r>
      <w:r>
        <w:rPr>
          <w:rFonts w:ascii="Arial" w:cs="Arial" w:eastAsia="Arial" w:hAnsi="Arial"/>
          <w:sz w:val="18"/>
          <w:szCs w:val="18"/>
          <w:color w:val="auto"/>
        </w:rPr>
        <w:t>. You agree that, during your employment with the Company, in addition to the restrictions set forth in the Restrictive Covenants, you will not engage in any other employment, occupation, consulting or other business activity directly related to the business in which the Company is now involved or becomes involved during your employment, nor will you engage in any other activities that conflict with your obligations to the Company.</w:t>
      </w:r>
    </w:p>
    <w:p>
      <w:pPr>
        <w:spacing w:after="0" w:line="186" w:lineRule="exact"/>
        <w:rPr>
          <w:rFonts w:ascii="Arial" w:cs="Arial" w:eastAsia="Arial" w:hAnsi="Arial"/>
          <w:sz w:val="18"/>
          <w:szCs w:val="18"/>
          <w:color w:val="auto"/>
        </w:rPr>
      </w:pPr>
    </w:p>
    <w:p>
      <w:pPr>
        <w:ind w:left="160" w:hanging="158"/>
        <w:spacing w:after="0" w:line="308" w:lineRule="auto"/>
        <w:tabs>
          <w:tab w:leader="none" w:pos="16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xml:space="preserve"> You acknowledge that your employment with the Company is for an unspecified duration that constitutes at-will employment, and that either you or the Company can terminate this relationship at any time, with or without cause and with or without notice.</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75565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584" w:right="359" w:bottom="1440" w:gutter="0" w:footer="0" w:header="0"/>
        </w:sectPr>
      </w:pPr>
    </w:p>
    <w:bookmarkStart w:id="30" w:name="page31"/>
    <w:bookmarkEnd w:id="30"/>
    <w:p>
      <w:pPr>
        <w:ind w:left="160" w:hanging="158"/>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rFonts w:ascii="Arial" w:cs="Arial" w:eastAsia="Arial" w:hAnsi="Arial"/>
          <w:sz w:val="18"/>
          <w:szCs w:val="18"/>
          <w:color w:val="auto"/>
        </w:rPr>
      </w:pPr>
    </w:p>
    <w:p>
      <w:pPr>
        <w:ind w:left="1640" w:right="400" w:hanging="315"/>
        <w:spacing w:after="0" w:line="277" w:lineRule="auto"/>
        <w:tabs>
          <w:tab w:leader="none" w:pos="1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offer letter and the terms of your employment will be governed by the laws of Tennessee without regard to any conflict of laws.</w:t>
      </w:r>
    </w:p>
    <w:p>
      <w:pPr>
        <w:spacing w:after="0" w:line="386" w:lineRule="exact"/>
        <w:rPr>
          <w:rFonts w:ascii="Arial" w:cs="Arial" w:eastAsia="Arial" w:hAnsi="Arial"/>
          <w:sz w:val="18"/>
          <w:szCs w:val="18"/>
          <w:color w:val="auto"/>
        </w:rPr>
      </w:pPr>
    </w:p>
    <w:p>
      <w:pPr>
        <w:ind w:left="1640" w:right="140" w:hanging="315"/>
        <w:spacing w:after="0" w:line="277" w:lineRule="auto"/>
        <w:tabs>
          <w:tab w:leader="none" w:pos="1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offer letter sets forth the entire agreement and understanding between the Company and you relating to your employment and supersedes all prior verbal discussions between us.</w:t>
      </w:r>
    </w:p>
    <w:p>
      <w:pPr>
        <w:spacing w:after="0" w:line="170" w:lineRule="exact"/>
        <w:rPr>
          <w:rFonts w:ascii="Arial" w:cs="Arial" w:eastAsia="Arial" w:hAnsi="Arial"/>
          <w:sz w:val="18"/>
          <w:szCs w:val="18"/>
          <w:color w:val="auto"/>
        </w:rPr>
      </w:pPr>
    </w:p>
    <w:p>
      <w:pPr>
        <w:ind w:left="1640" w:right="60" w:hanging="315"/>
        <w:spacing w:after="0" w:line="277" w:lineRule="auto"/>
        <w:tabs>
          <w:tab w:leader="none" w:pos="1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agreement will be binding upon your heirs, executors, administrators and other legal representatives and will be for the benefit of the Company and its respective successors and assigns.</w:t>
      </w:r>
    </w:p>
    <w:p>
      <w:pPr>
        <w:spacing w:after="0" w:line="170" w:lineRule="exact"/>
        <w:rPr>
          <w:rFonts w:ascii="Arial" w:cs="Arial" w:eastAsia="Arial" w:hAnsi="Arial"/>
          <w:sz w:val="18"/>
          <w:szCs w:val="18"/>
          <w:color w:val="auto"/>
        </w:rPr>
      </w:pPr>
    </w:p>
    <w:p>
      <w:pPr>
        <w:ind w:left="1640" w:hanging="315"/>
        <w:spacing w:after="0"/>
        <w:tabs>
          <w:tab w:leader="none" w:pos="1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payments pursuant to this letter will be subject to applicable withholding taxes.</w:t>
      </w:r>
    </w:p>
    <w:p>
      <w:pPr>
        <w:spacing w:after="0" w:line="225" w:lineRule="exact"/>
        <w:rPr>
          <w:rFonts w:ascii="Arial" w:cs="Arial" w:eastAsia="Arial" w:hAnsi="Arial"/>
          <w:sz w:val="18"/>
          <w:szCs w:val="18"/>
          <w:color w:val="auto"/>
        </w:rPr>
      </w:pPr>
    </w:p>
    <w:p>
      <w:pPr>
        <w:ind w:left="1640" w:right="40" w:hanging="315"/>
        <w:spacing w:after="0" w:line="263" w:lineRule="auto"/>
        <w:tabs>
          <w:tab w:leader="none" w:pos="1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While your employment will be at-will, the Company’s willingness to offer you the employment terms outlined herein is predicated on the understanding that you intend to commit to a minimum of five years of ongoing employment with the Company pursuant to the terms described in this offer letter.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Please acknowledge and confirm your acceptance of this letter by, signing and returning one copy of this offer letter in its entirety to me.</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Sincerely,</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1"/>
        </w:trPr>
        <w:tc>
          <w:tcPr>
            <w:tcW w:w="1920" w:type="dxa"/>
            <w:vAlign w:val="bottom"/>
          </w:tcPr>
          <w:p>
            <w:pPr>
              <w:spacing w:after="0"/>
              <w:rPr>
                <w:sz w:val="20"/>
                <w:szCs w:val="20"/>
                <w:color w:val="auto"/>
              </w:rPr>
            </w:pPr>
            <w:r>
              <w:rPr>
                <w:rFonts w:ascii="Arial" w:cs="Arial" w:eastAsia="Arial" w:hAnsi="Arial"/>
                <w:sz w:val="18"/>
                <w:szCs w:val="18"/>
                <w:b w:val="1"/>
                <w:bCs w:val="1"/>
                <w:color w:val="auto"/>
              </w:rPr>
              <w:t>/s/ Robert A. Frist, Jr.</w:t>
            </w:r>
          </w:p>
        </w:tc>
        <w:tc>
          <w:tcPr>
            <w:tcW w:w="140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 xml:space="preserve">Date: </w:t>
            </w:r>
            <w:r>
              <w:rPr>
                <w:rFonts w:ascii="Arial" w:cs="Arial" w:eastAsia="Arial" w:hAnsi="Arial"/>
                <w:sz w:val="18"/>
                <w:szCs w:val="18"/>
                <w:color w:val="auto"/>
                <w:w w:val="90"/>
              </w:rPr>
              <w:t>2/20/2023</w:t>
            </w:r>
          </w:p>
        </w:tc>
      </w:tr>
      <w:tr>
        <w:trPr>
          <w:trHeight w:val="222"/>
        </w:trPr>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A. Frist, Jr.</w:t>
            </w:r>
          </w:p>
        </w:tc>
        <w:tc>
          <w:tcPr>
            <w:tcW w:w="2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OFFER ACCEPTANCE:</w:t>
      </w:r>
    </w:p>
    <w:p>
      <w:pPr>
        <w:spacing w:after="0" w:line="27" w:lineRule="exact"/>
        <w:rPr>
          <w:sz w:val="20"/>
          <w:szCs w:val="20"/>
          <w:color w:val="auto"/>
        </w:rPr>
      </w:pPr>
    </w:p>
    <w:p>
      <w:pPr>
        <w:ind w:left="40"/>
        <w:spacing w:after="0" w:line="253" w:lineRule="auto"/>
        <w:rPr>
          <w:sz w:val="20"/>
          <w:szCs w:val="20"/>
          <w:color w:val="auto"/>
        </w:rPr>
      </w:pPr>
      <w:r>
        <w:rPr>
          <w:rFonts w:ascii="Arial" w:cs="Arial" w:eastAsia="Arial" w:hAnsi="Arial"/>
          <w:sz w:val="18"/>
          <w:szCs w:val="18"/>
          <w:color w:val="auto"/>
        </w:rPr>
        <w:t>I accept the terms of my employment with HealthStream, Inc. as set forth herein and in any attached Annexes. I understand that this offer letter does not constitute a contract of employment for any specified period of time, and that either party, with or without cause and with or without notice, may terminate my employment relationship. I received this offer letter with notice of my pay rate and designated payday in English because I have represented to my employer that this is my primary language.</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b w:val="1"/>
                <w:bCs w:val="1"/>
                <w:color w:val="auto"/>
              </w:rPr>
              <w:t>/s/ Michael Sousa</w:t>
            </w: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2/20/2023</w:t>
            </w:r>
          </w:p>
        </w:tc>
      </w:tr>
      <w:tr>
        <w:trPr>
          <w:trHeight w:val="237"/>
        </w:trPr>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Michael Sousa</w:t>
            </w:r>
          </w:p>
        </w:tc>
        <w:tc>
          <w:tcPr>
            <w:tcW w:w="4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bl>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75565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31" w:name="page32"/>
    <w:bookmarkEnd w:id="31"/>
    <w:p>
      <w:pPr>
        <w:jc w:val="center"/>
        <w:ind w:right="-140"/>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ind w:left="3780" w:hanging="403"/>
        <w:spacing w:after="0"/>
        <w:tabs>
          <w:tab w:leader="none" w:pos="3780" w:val="left"/>
        </w:tabs>
        <w:numPr>
          <w:ilvl w:val="2"/>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Non-Compete;</w:t>
      </w:r>
    </w:p>
    <w:p>
      <w:pPr>
        <w:spacing w:after="0" w:line="27" w:lineRule="exact"/>
        <w:rPr>
          <w:rFonts w:ascii="Arial" w:cs="Arial" w:eastAsia="Arial" w:hAnsi="Arial"/>
          <w:sz w:val="18"/>
          <w:szCs w:val="18"/>
          <w:b w:val="1"/>
          <w:bCs w:val="1"/>
          <w:color w:val="auto"/>
        </w:rPr>
      </w:pPr>
    </w:p>
    <w:p>
      <w:pPr>
        <w:ind w:left="2600" w:hanging="446"/>
        <w:spacing w:after="0"/>
        <w:tabs>
          <w:tab w:leader="none" w:pos="26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Non-Competition and Non-Solicitation Agreement; and</w:t>
      </w:r>
    </w:p>
    <w:p>
      <w:pPr>
        <w:spacing w:after="0" w:line="32" w:lineRule="exact"/>
        <w:rPr>
          <w:rFonts w:ascii="Arial" w:cs="Arial" w:eastAsia="Arial" w:hAnsi="Arial"/>
          <w:sz w:val="16"/>
          <w:szCs w:val="16"/>
          <w:b w:val="1"/>
          <w:bCs w:val="1"/>
          <w:color w:val="auto"/>
        </w:rPr>
      </w:pPr>
    </w:p>
    <w:p>
      <w:pPr>
        <w:ind w:left="2760" w:hanging="501"/>
        <w:spacing w:after="0"/>
        <w:tabs>
          <w:tab w:leader="none" w:pos="2760"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Trade Secret &amp; Proprietary Information Agreement</w:t>
      </w: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[see attached]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22"/>
          <w:szCs w:val="22"/>
          <w:color w:val="auto"/>
        </w:rPr>
        <w:t>NOTICE OF NON-COMPETITION AGREEMENT</w:t>
      </w: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Date: February 17, 2023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20, 2023, you will start a new position with HealthStream, Inc. (the “Company”). The new position is Executive Vice President, Enterprise Applications. In order to begin your employment in the new position, you will be required to sign the following agreement: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NON-COMPETITION AND NON-SOLICITATION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the Non-Competition and Non-Solicitation Agreement (“Non-Compete Agreement”) is attached to this Notice. The Non-Compete Agreement will be effective on the date you begin the new position.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Non-Compete Agreement contains a covenant not to compete that could restrict your options for subsequent employment. Specifically, Section 5 restricts your ability to work for a Competitive Business both during your employment and for one year thereafter, regardless of the reason for your termination from employment with the Company. “Competitive Business” is defined in Section 2.</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Non-Compete Agreement also contains provisions that restrict your ability to solicit customers and employees of the Company both during your employment and for one year thereafter, regardless of the reason for your termination from employment. The Non-Solicitation provisions are in Section 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my signature below, I acknowledge that I received a copy of this Notice on February 20, 2023.</w:t>
      </w:r>
    </w:p>
    <w:p>
      <w:pPr>
        <w:spacing w:after="0" w:line="208" w:lineRule="exact"/>
        <w:rPr>
          <w:sz w:val="20"/>
          <w:szCs w:val="20"/>
          <w:color w:val="auto"/>
        </w:rPr>
      </w:pPr>
    </w:p>
    <w:tbl>
      <w:tblPr>
        <w:tblLayout w:type="fixed"/>
        <w:tblInd w:w="4240" w:type="dxa"/>
        <w:tblCellMar>
          <w:top w:w="0" w:type="dxa"/>
          <w:left w:w="0" w:type="dxa"/>
          <w:bottom w:w="0" w:type="dxa"/>
          <w:right w:w="0" w:type="dxa"/>
        </w:tblCellMar>
      </w:tblPr>
      <w:tr>
        <w:trPr>
          <w:trHeight w:val="207"/>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 Michael Sousa</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2/20/2023</w:t>
            </w: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Michael Sousa</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Date</w:t>
            </w:r>
          </w:p>
        </w:tc>
      </w:tr>
    </w:tbl>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3" w:name="page34"/>
    <w:bookmarkEnd w:id="33"/>
    <w:p>
      <w:pPr>
        <w:jc w:val="center"/>
        <w:ind w:right="-179"/>
        <w:spacing w:after="0"/>
        <w:rPr>
          <w:sz w:val="20"/>
          <w:szCs w:val="20"/>
          <w:color w:val="auto"/>
        </w:rPr>
      </w:pPr>
      <w:r>
        <w:rPr>
          <w:rFonts w:ascii="Arial" w:cs="Arial" w:eastAsia="Arial" w:hAnsi="Arial"/>
          <w:sz w:val="22"/>
          <w:szCs w:val="22"/>
          <w:color w:val="auto"/>
        </w:rPr>
        <w:t>NON-COMPETITION AND NON-SOLICITATION AGREEMENT</w:t>
      </w: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protect the Trade Secrets of HealthStream and/or any of its corporate parents, subsidiaries, divisions, or affiliates, or the successors or assigns of any of the foregoing (hereinafter referred to as the “Company”), I hereby agree as follows:</w:t>
      </w:r>
    </w:p>
    <w:p>
      <w:pPr>
        <w:spacing w:after="0" w:line="170"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Trade Secrets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00" w:right="300" w:hanging="3"/>
        <w:spacing w:after="0" w:line="250" w:lineRule="auto"/>
        <w:tabs>
          <w:tab w:leader="none" w:pos="44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Definition of Trade Secrets</w:t>
      </w:r>
      <w:r>
        <w:rPr>
          <w:rFonts w:ascii="Arial" w:cs="Arial" w:eastAsia="Arial" w:hAnsi="Arial"/>
          <w:sz w:val="18"/>
          <w:szCs w:val="18"/>
          <w:color w:val="auto"/>
        </w:rPr>
        <w:t>. A “Trade Secret” is the whole or any portion or phase of any scientific or technical information, design, process, procedure, formula, improvement, confidential business or financial information, listing of names, email or mail addresses, or telephone numbers, or other information relating to the business of the Company which is secret and of value.</w:t>
      </w:r>
    </w:p>
    <w:p>
      <w:pPr>
        <w:spacing w:after="0" w:line="1" w:lineRule="exact"/>
        <w:rPr>
          <w:rFonts w:ascii="Arial" w:cs="Arial" w:eastAsia="Arial" w:hAnsi="Arial"/>
          <w:sz w:val="18"/>
          <w:szCs w:val="18"/>
          <w:color w:val="auto"/>
        </w:rPr>
      </w:pPr>
    </w:p>
    <w:p>
      <w:pPr>
        <w:jc w:val="both"/>
        <w:ind w:left="200" w:right="40" w:hanging="3"/>
        <w:spacing w:after="0" w:line="250" w:lineRule="auto"/>
        <w:tabs>
          <w:tab w:leader="none" w:pos="45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Protection of Trade Secrets.</w:t>
      </w:r>
      <w:r>
        <w:rPr>
          <w:rFonts w:ascii="Arial" w:cs="Arial" w:eastAsia="Arial" w:hAnsi="Arial"/>
          <w:sz w:val="18"/>
          <w:szCs w:val="18"/>
          <w:color w:val="auto"/>
        </w:rPr>
        <w:t xml:space="preserve"> I acknowledge that I have signed a Trade Secret and Proprietary Information Agreement and I am bound to maintain the confidentiality of Trade Secrets. I also acknowledge that the Company takes additional measures to ensure that its Trade Secrets remain confidential and are not disclosed to third parties without authorization and assurance that the disclosure is limited.</w:t>
      </w:r>
    </w:p>
    <w:p>
      <w:pPr>
        <w:spacing w:after="0" w:line="1" w:lineRule="exact"/>
        <w:rPr>
          <w:rFonts w:ascii="Arial" w:cs="Arial" w:eastAsia="Arial" w:hAnsi="Arial"/>
          <w:sz w:val="18"/>
          <w:szCs w:val="18"/>
          <w:color w:val="auto"/>
        </w:rPr>
      </w:pPr>
    </w:p>
    <w:p>
      <w:pPr>
        <w:ind w:left="200" w:right="780" w:hanging="3"/>
        <w:spacing w:after="0" w:line="260" w:lineRule="auto"/>
        <w:tabs>
          <w:tab w:leader="none" w:pos="44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My Access to Trade Secrets.</w:t>
      </w:r>
      <w:r>
        <w:rPr>
          <w:rFonts w:ascii="Arial" w:cs="Arial" w:eastAsia="Arial" w:hAnsi="Arial"/>
          <w:sz w:val="18"/>
          <w:szCs w:val="18"/>
          <w:color w:val="auto"/>
        </w:rPr>
        <w:t xml:space="preserve"> I understand and acknowledge that, during the course of my employment arrangement with the Company and particularly given the high level of my employment, I will be granted access to Trade Secrets.</w:t>
      </w:r>
    </w:p>
    <w:p>
      <w:pPr>
        <w:spacing w:after="0" w:line="185" w:lineRule="exact"/>
        <w:rPr>
          <w:rFonts w:ascii="Arial" w:cs="Arial" w:eastAsia="Arial" w:hAnsi="Arial"/>
          <w:sz w:val="18"/>
          <w:szCs w:val="18"/>
          <w:color w:val="auto"/>
        </w:rPr>
      </w:pPr>
    </w:p>
    <w:p>
      <w:pPr>
        <w:ind w:left="220" w:right="20" w:hanging="212"/>
        <w:spacing w:after="0" w:line="291"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Competitive Business; Restricted Period.</w:t>
      </w:r>
      <w:r>
        <w:rPr>
          <w:rFonts w:ascii="Arial" w:cs="Arial" w:eastAsia="Arial" w:hAnsi="Arial"/>
          <w:sz w:val="16"/>
          <w:szCs w:val="16"/>
          <w:color w:val="auto"/>
        </w:rPr>
        <w:t xml:space="preserve"> I acknowledge that a business engaged in the same or similar business as the Company in the United States or in any country in which I am engaged in business on behalf of the Company shall be a Competitive Business. Thus, Competitive Business shall mean:</w:t>
      </w:r>
    </w:p>
    <w:p>
      <w:pPr>
        <w:ind w:left="220" w:firstLine="4"/>
        <w:spacing w:after="0" w:line="252" w:lineRule="auto"/>
        <w:tabs>
          <w:tab w:leader="none" w:pos="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one that offers learning, education, training, certification, credentialing, privileging, enrollment, scheduling, or shift management solutions to healthcare organizations or the healthcare workforce; and (ii) any enterprise engaged in any other type of business in which the Company or one of its affiliates is also engaged, or plans to be engaged, so long as I am directly involved in such business or planned business on behalf of the Company or one of its affiliates. I acknowledge that disclosure or use of Trade Secrets to a Competitive Business would be detrimental to the Company and would be difficult to avoid, if not inevitable, if I worked for a Competitive Business during the Restricted Period or solicited employees or customers of the Company on behalf of a Competitive Business during the Restricted Period. The one-year period following the termination of my employment is referred to as the “Restricted Period.”</w:t>
      </w:r>
    </w:p>
    <w:p>
      <w:pPr>
        <w:spacing w:after="0" w:line="192" w:lineRule="exact"/>
        <w:rPr>
          <w:rFonts w:ascii="Arial" w:cs="Arial" w:eastAsia="Arial" w:hAnsi="Arial"/>
          <w:sz w:val="18"/>
          <w:szCs w:val="18"/>
          <w:color w:val="auto"/>
        </w:rPr>
      </w:pPr>
    </w:p>
    <w:p>
      <w:pPr>
        <w:ind w:left="220" w:hanging="212"/>
        <w:spacing w:after="0" w:line="259"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Unfair Competition</w:t>
      </w:r>
      <w:r>
        <w:rPr>
          <w:rFonts w:ascii="Arial" w:cs="Arial" w:eastAsia="Arial" w:hAnsi="Arial"/>
          <w:sz w:val="18"/>
          <w:szCs w:val="18"/>
          <w:color w:val="auto"/>
        </w:rPr>
        <w:t>. I acknowledge that the Company has a compelling business interest in preventing unfair competition stemming from the intentional or inadvertent use or disclosure of its Trade Secrets. I further acknowledge that at the time of signing this Agreement, I am a highly compensated employee of the Company with an annual base salary of $375,000. Based on my compensation and my level of access to the Trade Secrets, the restrictive covenants in this Agreement are reasonable.</w:t>
      </w:r>
    </w:p>
    <w:p>
      <w:pPr>
        <w:spacing w:after="0" w:line="186"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 Customers</w:t>
      </w:r>
      <w:r>
        <w:rPr>
          <w:rFonts w:ascii="Arial" w:cs="Arial" w:eastAsia="Arial" w:hAnsi="Arial"/>
          <w:sz w:val="18"/>
          <w:szCs w:val="18"/>
          <w:color w:val="auto"/>
        </w:rPr>
        <w:t>. In order to protect the Trade Secrets:</w:t>
      </w:r>
    </w:p>
    <w:p>
      <w:pPr>
        <w:spacing w:after="0" w:line="23" w:lineRule="exact"/>
        <w:rPr>
          <w:rFonts w:ascii="Arial" w:cs="Arial" w:eastAsia="Arial" w:hAnsi="Arial"/>
          <w:sz w:val="18"/>
          <w:szCs w:val="18"/>
          <w:color w:val="auto"/>
        </w:rPr>
      </w:pPr>
    </w:p>
    <w:p>
      <w:pPr>
        <w:ind w:left="220" w:right="120" w:firstLine="4"/>
        <w:spacing w:after="0" w:line="250" w:lineRule="auto"/>
        <w:tabs>
          <w:tab w:leader="none" w:pos="465" w:val="left"/>
        </w:tabs>
        <w:numPr>
          <w:ilvl w:val="2"/>
          <w:numId w:val="24"/>
        </w:numPr>
        <w:rPr>
          <w:rFonts w:ascii="Arial" w:cs="Arial" w:eastAsia="Arial" w:hAnsi="Arial"/>
          <w:sz w:val="18"/>
          <w:szCs w:val="18"/>
          <w:color w:val="auto"/>
        </w:rPr>
      </w:pPr>
      <w:r>
        <w:rPr>
          <w:rFonts w:ascii="Arial" w:cs="Arial" w:eastAsia="Arial" w:hAnsi="Arial"/>
          <w:sz w:val="18"/>
          <w:szCs w:val="18"/>
          <w:color w:val="auto"/>
        </w:rPr>
        <w:t>during my employment with the Company and the Restricted Period, I will not, without the express written permission of HealthStream, directly or indirectly solicit, induce, hire, engage, or attempt to hire or engage any employee or independent contractor of the Company, or in any other way interfere with the Company’s employment or contractual relations with any of its employees or independent contractors, nor will I solicit, induce, hire, engage or attempt to hire or engage any individual who was an employee of the Company at any time during the one year period immediately prior to the termination of my employment with the Company;</w:t>
      </w:r>
    </w:p>
    <w:p>
      <w:pPr>
        <w:spacing w:after="0" w:line="1" w:lineRule="exact"/>
        <w:rPr>
          <w:rFonts w:ascii="Arial" w:cs="Arial" w:eastAsia="Arial" w:hAnsi="Arial"/>
          <w:sz w:val="18"/>
          <w:szCs w:val="18"/>
          <w:color w:val="auto"/>
        </w:rPr>
      </w:pPr>
    </w:p>
    <w:p>
      <w:pPr>
        <w:ind w:left="220" w:right="20" w:firstLine="4"/>
        <w:spacing w:after="0" w:line="253" w:lineRule="auto"/>
        <w:tabs>
          <w:tab w:leader="none" w:pos="475" w:val="left"/>
        </w:tabs>
        <w:numPr>
          <w:ilvl w:val="2"/>
          <w:numId w:val="24"/>
        </w:numPr>
        <w:rPr>
          <w:rFonts w:ascii="Arial" w:cs="Arial" w:eastAsia="Arial" w:hAnsi="Arial"/>
          <w:sz w:val="18"/>
          <w:szCs w:val="18"/>
          <w:color w:val="auto"/>
        </w:rPr>
      </w:pPr>
      <w:r>
        <w:rPr>
          <w:rFonts w:ascii="Arial" w:cs="Arial" w:eastAsia="Arial" w:hAnsi="Arial"/>
          <w:sz w:val="18"/>
          <w:szCs w:val="18"/>
          <w:color w:val="auto"/>
        </w:rPr>
        <w:t>during my employment with the Company and the Restricted Period, I will not, without the express written permission of HealthStream, directly or indirectly contact, call upon or solicit, on behalf of a Competitive Business, any existing or prospective client, or customer of the Company who I serviced, or otherwise developed a relationship with, as a result of my employment with the Company, nor will I attempt to divert or take away from the Company the business of any such client or customer.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34" w:name="page35"/>
    <w:bookmarkEnd w:id="34"/>
    <w:p>
      <w:pPr>
        <w:ind w:left="212" w:right="180" w:hanging="212"/>
        <w:spacing w:after="0" w:line="342" w:lineRule="auto"/>
        <w:tabs>
          <w:tab w:leader="none" w:pos="21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In order to protect the Trade Secrets, during my employment with the Company and the Restricted Period, I will not plan, organize, engage in, or be employed by, as a consultant, director, office, employee, principal, agent, member, owner or partner of any Competitive Business.</w:t>
      </w:r>
    </w:p>
    <w:p>
      <w:pPr>
        <w:spacing w:after="0" w:line="123" w:lineRule="exact"/>
        <w:rPr>
          <w:rFonts w:ascii="Arial" w:cs="Arial" w:eastAsia="Arial" w:hAnsi="Arial"/>
          <w:sz w:val="16"/>
          <w:szCs w:val="16"/>
          <w:color w:val="auto"/>
        </w:rPr>
      </w:pPr>
    </w:p>
    <w:p>
      <w:pPr>
        <w:ind w:left="212" w:right="40" w:hanging="212"/>
        <w:spacing w:after="0" w:line="253" w:lineRule="auto"/>
        <w:tabs>
          <w:tab w:leader="none" w:pos="21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Injunctive Remedies</w:t>
      </w:r>
      <w:r>
        <w:rPr>
          <w:rFonts w:ascii="Arial" w:cs="Arial" w:eastAsia="Arial" w:hAnsi="Arial"/>
          <w:sz w:val="18"/>
          <w:szCs w:val="18"/>
          <w:color w:val="auto"/>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 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spacing w:after="0" w:line="196" w:lineRule="exact"/>
        <w:rPr>
          <w:rFonts w:ascii="Arial" w:cs="Arial" w:eastAsia="Arial" w:hAnsi="Arial"/>
          <w:sz w:val="18"/>
          <w:szCs w:val="18"/>
          <w:color w:val="auto"/>
        </w:rPr>
      </w:pPr>
    </w:p>
    <w:p>
      <w:pPr>
        <w:ind w:left="212" w:hanging="212"/>
        <w:spacing w:after="0" w:line="272" w:lineRule="auto"/>
        <w:tabs>
          <w:tab w:leader="none" w:pos="21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Severability Provision</w:t>
      </w:r>
      <w:r>
        <w:rPr>
          <w:rFonts w:ascii="Arial" w:cs="Arial" w:eastAsia="Arial" w:hAnsi="Arial"/>
          <w:sz w:val="17"/>
          <w:szCs w:val="17"/>
          <w:color w:val="auto"/>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this Agreement relating to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spacing w:after="0" w:line="177" w:lineRule="exact"/>
        <w:rPr>
          <w:rFonts w:ascii="Arial" w:cs="Arial" w:eastAsia="Arial" w:hAnsi="Arial"/>
          <w:sz w:val="17"/>
          <w:szCs w:val="17"/>
          <w:color w:val="auto"/>
        </w:rPr>
      </w:pPr>
    </w:p>
    <w:p>
      <w:pPr>
        <w:ind w:left="232" w:right="220" w:hanging="232"/>
        <w:spacing w:after="0" w:line="277" w:lineRule="auto"/>
        <w:tabs>
          <w:tab w:leader="none" w:pos="23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Any waiver by the Company of my breach of any term, condition, or provision of this Agreement shall not operate or be construed as a waiver of the Company’s rights upon any subsequent breach.</w:t>
      </w:r>
    </w:p>
    <w:p>
      <w:pPr>
        <w:spacing w:after="0" w:line="170" w:lineRule="exact"/>
        <w:rPr>
          <w:rFonts w:ascii="Arial" w:cs="Arial" w:eastAsia="Arial" w:hAnsi="Arial"/>
          <w:sz w:val="18"/>
          <w:szCs w:val="18"/>
          <w:color w:val="auto"/>
        </w:rPr>
      </w:pPr>
    </w:p>
    <w:p>
      <w:pPr>
        <w:ind w:left="212" w:hanging="212"/>
        <w:spacing w:after="0" w:line="254" w:lineRule="auto"/>
        <w:tabs>
          <w:tab w:leader="none" w:pos="21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TO THE MAXIMUM EXTENT PERMITTED BY LAW, I HEREBY KNOWINGLY, VOLUNTARILY, AND 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35" w:name="page36"/>
    <w:bookmarkEnd w:id="35"/>
    <w:p>
      <w:pPr>
        <w:ind w:left="272" w:hanging="272"/>
        <w:spacing w:after="0" w:line="263" w:lineRule="auto"/>
        <w:tabs>
          <w:tab w:leader="none" w:pos="27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w:t>
      </w:r>
      <w:r>
        <w:rPr>
          <w:rFonts w:ascii="Arial" w:cs="Arial" w:eastAsia="Arial" w:hAnsi="Arial"/>
          <w:sz w:val="18"/>
          <w:szCs w:val="18"/>
          <w:color w:val="auto"/>
        </w:rPr>
        <w:t xml:space="preserve">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spacing w:after="0" w:line="183" w:lineRule="exact"/>
        <w:rPr>
          <w:rFonts w:ascii="Arial" w:cs="Arial" w:eastAsia="Arial" w:hAnsi="Arial"/>
          <w:sz w:val="18"/>
          <w:szCs w:val="18"/>
          <w:color w:val="auto"/>
        </w:rPr>
      </w:pPr>
    </w:p>
    <w:p>
      <w:pPr>
        <w:ind w:left="272" w:right="380" w:hanging="272"/>
        <w:spacing w:after="0" w:line="277" w:lineRule="auto"/>
        <w:tabs>
          <w:tab w:leader="none" w:pos="27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for all purposes by the laws and public policy of Tennessee, without regard to principles of conflict of laws.</w:t>
      </w:r>
    </w:p>
    <w:p>
      <w:pPr>
        <w:spacing w:after="0" w:line="200" w:lineRule="exact"/>
        <w:rPr>
          <w:sz w:val="20"/>
          <w:szCs w:val="20"/>
          <w:color w:val="auto"/>
        </w:rPr>
      </w:pPr>
    </w:p>
    <w:p>
      <w:pPr>
        <w:spacing w:after="0" w:line="398" w:lineRule="exact"/>
        <w:rPr>
          <w:sz w:val="20"/>
          <w:szCs w:val="20"/>
          <w:color w:val="auto"/>
        </w:rPr>
      </w:pPr>
    </w:p>
    <w:tbl>
      <w:tblPr>
        <w:tblLayout w:type="fixed"/>
        <w:tblInd w:w="152" w:type="dxa"/>
        <w:tblCellMar>
          <w:top w:w="0" w:type="dxa"/>
          <w:left w:w="0" w:type="dxa"/>
          <w:bottom w:w="0" w:type="dxa"/>
          <w:right w:w="0" w:type="dxa"/>
        </w:tblCellMar>
      </w:tblP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ACCEPTANCE: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2"/>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 Michael Sousa</w:t>
            </w:r>
          </w:p>
        </w:tc>
        <w:tc>
          <w:tcPr>
            <w:tcW w:w="5100" w:type="dxa"/>
            <w:vAlign w:val="bottom"/>
            <w:gridSpan w:val="6"/>
          </w:tcPr>
          <w:p>
            <w:pPr>
              <w:ind w:left="6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2/20/2023</w:t>
            </w:r>
          </w:p>
        </w:tc>
      </w:tr>
      <w:tr>
        <w:trPr>
          <w:trHeight w:val="237"/>
        </w:trPr>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5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1"/>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Name: /s/ Sneha Oakley</w:t>
            </w:r>
          </w:p>
        </w:tc>
        <w:tc>
          <w:tcPr>
            <w:tcW w:w="240" w:type="dxa"/>
            <w:vAlign w:val="bottom"/>
          </w:tcPr>
          <w:p>
            <w:pPr>
              <w:spacing w:after="0"/>
              <w:rPr>
                <w:sz w:val="24"/>
                <w:szCs w:val="24"/>
                <w:color w:val="auto"/>
              </w:rPr>
            </w:pPr>
          </w:p>
        </w:tc>
        <w:tc>
          <w:tcPr>
            <w:tcW w:w="436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Title: Vice President, General Counsel  Date: 2/20/2023</w:t>
            </w: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ind w:left="152"/>
        <w:spacing w:after="0"/>
        <w:rPr>
          <w:sz w:val="20"/>
          <w:szCs w:val="20"/>
          <w:color w:val="auto"/>
        </w:rPr>
      </w:pPr>
      <w:r>
        <w:rPr>
          <w:rFonts w:ascii="Arial" w:cs="Arial" w:eastAsia="Arial" w:hAnsi="Arial"/>
          <w:sz w:val="18"/>
          <w:szCs w:val="18"/>
          <w:b w:val="1"/>
          <w:bCs w:val="1"/>
          <w:color w:val="auto"/>
        </w:rPr>
        <w:t>Witnessed by (Company Representative)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4"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color w:val="auto"/>
        </w:rPr>
        <w:t>TRADE SECRET AND PROPRIETARY INFORMATION AGREEMENT</w:t>
      </w:r>
    </w:p>
    <w:p>
      <w:pPr>
        <w:spacing w:after="0" w:line="21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consideration of my employment by HealthStream and/or any of its corporate parents, subsidiaries, divisions, or affiliates, or the successors or assigns of any of the foregoing (hereinafter referred to as the “Company”), I hereby agree as follows:</w:t>
      </w:r>
    </w:p>
    <w:p>
      <w:pPr>
        <w:spacing w:after="0" w:line="170" w:lineRule="exact"/>
        <w:rPr>
          <w:sz w:val="20"/>
          <w:szCs w:val="20"/>
          <w:color w:val="auto"/>
        </w:rPr>
      </w:pPr>
    </w:p>
    <w:p>
      <w:pPr>
        <w:ind w:left="520" w:hanging="186"/>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rFonts w:ascii="Arial" w:cs="Arial" w:eastAsia="Arial" w:hAnsi="Arial"/>
          <w:sz w:val="18"/>
          <w:szCs w:val="18"/>
          <w:color w:val="auto"/>
        </w:rPr>
      </w:pPr>
    </w:p>
    <w:p>
      <w:pPr>
        <w:jc w:val="both"/>
        <w:ind w:firstLine="964"/>
        <w:spacing w:after="0" w:line="267" w:lineRule="auto"/>
        <w:tabs>
          <w:tab w:leader="none" w:pos="1217"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Trade Secret and Proprietary Information</w:t>
      </w:r>
      <w:r>
        <w:rPr>
          <w:rFonts w:ascii="Arial" w:cs="Arial" w:eastAsia="Arial" w:hAnsi="Arial"/>
          <w:sz w:val="17"/>
          <w:szCs w:val="17"/>
          <w:color w:val="auto"/>
        </w:rPr>
        <w:t>. I understand and acknowledge that, during the course of my employment arrangement with the Company and as a result of my having executed this Trade Secret and Proprietary Information Agreement, I will be granted access to valuable information relating to the Company’s business that provides the Company with a competitive advantage, which is not generally known by, nor easily learned or determined by, persons outside the Company (collectively Trade Secret and Proprietary Information). The term Trade Secret and Proprietary Information shall include, but shall not be limited to: (a) specifications, manuals, software in various stages of development; (b) customer and prospect lists, and details of agreements and communications with customers and prospects; (c) sales plans and projections, product pricing information, acquisition, expansion, marketing, financial and other business information and existing and future products and business plans of the Company; (d) sales proposals, demonstrations systems, sales material; (e) research and development; (f) computer programs; (g) sources of supply; (h) identity of specialized consultants and contractors and Trade Secret and Proprietary Information developed by them for the Company; (i) purchasing, operating and other cost data; (j) special customer needs, cost and pricing data; (k) patient information, including without limitation Protected Health Information as defined in 45 C.F.R. 164.501 and (l) employee information (including, but not limited to, personnel, payroll, compensation and benefit data and plans), including all such information recorded in manuals, memoranda, projections, reports, minutes, plans, drawings, sketches, designs, formula books, data, specifications, software programs and records, whether or not legended or otherwise identified by the Company as Trade Secret and Proprietary Information, as well as such information that is the subject of meetings and discussions and not recorded. Trade Secret and Proprietary Information shall not include such information that I can demonstrate (i) is generally available to the public (other than as a result of a disclosure by me), (ii) was disclosed to me by a third party under no obligation to keep such information confidential or (iii) was known by me prior to, and not as a result of, my employment or anticipated employment with the Company; provided, however, that, notwithstanding the preceding sentence, all information set forth in subsections (k) and (l) above shall always be treated as Trade Secret and Proprietary Information, and shall not be deemed in the public domain or nonconfidential under any circumstances.</w:t>
      </w:r>
    </w:p>
    <w:p>
      <w:pPr>
        <w:spacing w:after="0" w:line="188" w:lineRule="exact"/>
        <w:rPr>
          <w:rFonts w:ascii="Arial" w:cs="Arial" w:eastAsia="Arial" w:hAnsi="Arial"/>
          <w:sz w:val="17"/>
          <w:szCs w:val="17"/>
          <w:color w:val="auto"/>
        </w:rPr>
      </w:pPr>
    </w:p>
    <w:p>
      <w:pPr>
        <w:jc w:val="both"/>
        <w:ind w:firstLine="964"/>
        <w:spacing w:after="0" w:line="253" w:lineRule="auto"/>
        <w:tabs>
          <w:tab w:leader="none" w:pos="1240" w:val="left"/>
        </w:tabs>
        <w:numPr>
          <w:ilvl w:val="1"/>
          <w:numId w:val="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Duty of Confidentiality</w:t>
      </w:r>
      <w:r>
        <w:rPr>
          <w:rFonts w:ascii="Arial" w:cs="Arial" w:eastAsia="Arial" w:hAnsi="Arial"/>
          <w:sz w:val="18"/>
          <w:szCs w:val="18"/>
          <w:color w:val="auto"/>
        </w:rPr>
        <w:t>. I agree at all times, both during and after my employment with the Company, to hold all of the Company’s Trade Secret and Proprietary Information in a fiduciary capacity for the benefit of the Company and to safeguard all such Trade Secret and Proprietary Information. I also agree that I will not directly or indirectly disclose or use any such Trade Secret and Proprietary Information to any third person or entity outside the Company, except as may be necessary in the good faith performance of my duties for the Company. I further agree that, in addition to enforcing this restriction, the Company may have other rights and remedies under the common law or applicable statutory laws relating to the protection of trade secrets. Notwithstanding anything in this Agreement to the contrary, I understand that I may disclose the Company’s Trade Secret and Proprietary Information to the extent required by applicable laws or governmental regulations or judicial or regulatory process, provided that I give the Company prompt notice of any and all such requests for disclosure so that it has ample opportunity to take all necessary or desired action, to avoid disclosure.</w:t>
      </w:r>
    </w:p>
    <w:p>
      <w:pPr>
        <w:spacing w:after="0" w:line="18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75565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7" w:right="339" w:bottom="1440" w:gutter="0" w:footer="0" w:header="0"/>
        </w:sectPr>
      </w:pPr>
    </w:p>
    <w:bookmarkStart w:id="37" w:name="page38"/>
    <w:bookmarkEnd w:id="37"/>
    <w:p>
      <w:pPr>
        <w:jc w:val="both"/>
        <w:ind w:firstLine="964"/>
        <w:spacing w:after="0" w:line="286" w:lineRule="auto"/>
        <w:tabs>
          <w:tab w:leader="none" w:pos="1217" w:val="left"/>
        </w:tabs>
        <w:numPr>
          <w:ilvl w:val="2"/>
          <w:numId w:val="2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Intellectual Property and Inventions</w:t>
      </w:r>
      <w:r>
        <w:rPr>
          <w:rFonts w:ascii="Arial" w:cs="Arial" w:eastAsia="Arial" w:hAnsi="Arial"/>
          <w:sz w:val="16"/>
          <w:szCs w:val="16"/>
          <w:color w:val="auto"/>
        </w:rPr>
        <w:t>. I acknowledge that all developments and other intellectual property, including, without limitation, the creation of new products, conferences, training/seminars, publications, programs, methods of organizing information, inventions, discoveries, concepts, ideas, improvements, patents, trademarks, trade names, copyrights, trade secrets, designs, works, reports, computer software, flow charts, diagrams, procedures, data, documentation, and writings and any other intellectual property (collectively referred to as “Developments”) that I, alone or jointly with others, may discover, conceive, create, make, develop, reduce to practice, or acquire at any time during or in connection with my employment with the Company are the sole and exclusive property of the Company. I hereby assign to the Company all rights, titles, and interests in and to all such Developments, and all intellectual property related thereto. I agree to disclose to the Company promptly and fully all future Developments and, at any time upon request and at the expense of the Company, to execute, acknowledge, and deliver to the Company all instruments that the Company shall prepare, to give evidence, and to take any and all other actions that are necessary or desirable in the reasonable opinion of the Company to enable the Company to file and prosecute applications for, and to acquire, maintain, and enforce, all letters patent, trademark registrations, or copyrights covering the Developments in all countries in which the same are deemed necessary by the Company. All data, memoranda, notes, lists, drawings, records, files, investor and client/customer lists, supplier lists, and other documentation (and all copies thereof) made or compiled by me or made available to me concerning the Developments or otherwise concerning the past, present, or planned business of the Company are the property of the Company, and will be delivered to the Company immediately upon the termination of my employment with the Company.</w:t>
      </w:r>
    </w:p>
    <w:p>
      <w:pPr>
        <w:spacing w:after="0" w:line="170" w:lineRule="exact"/>
        <w:rPr>
          <w:rFonts w:ascii="Arial" w:cs="Arial" w:eastAsia="Arial" w:hAnsi="Arial"/>
          <w:sz w:val="16"/>
          <w:szCs w:val="16"/>
          <w:u w:val="single" w:color="auto"/>
          <w:color w:val="auto"/>
        </w:rPr>
      </w:pPr>
    </w:p>
    <w:p>
      <w:pPr>
        <w:jc w:val="both"/>
        <w:ind w:left="20" w:firstLine="314"/>
        <w:spacing w:after="0" w:line="253" w:lineRule="auto"/>
        <w:tabs>
          <w:tab w:leader="none" w:pos="5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njunctive Remedies</w:t>
      </w:r>
      <w:r>
        <w:rPr>
          <w:rFonts w:ascii="Arial" w:cs="Arial" w:eastAsia="Arial" w:hAnsi="Arial"/>
          <w:sz w:val="18"/>
          <w:szCs w:val="18"/>
          <w:color w:val="auto"/>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 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spacing w:after="0" w:line="196" w:lineRule="exact"/>
        <w:rPr>
          <w:rFonts w:ascii="Arial" w:cs="Arial" w:eastAsia="Arial" w:hAnsi="Arial"/>
          <w:sz w:val="18"/>
          <w:szCs w:val="18"/>
          <w:color w:val="auto"/>
        </w:rPr>
      </w:pPr>
    </w:p>
    <w:p>
      <w:pPr>
        <w:jc w:val="both"/>
        <w:ind w:firstLine="316"/>
        <w:spacing w:after="0" w:line="291" w:lineRule="auto"/>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Severability Provision</w:t>
      </w:r>
      <w:r>
        <w:rPr>
          <w:rFonts w:ascii="Arial" w:cs="Arial" w:eastAsia="Arial" w:hAnsi="Arial"/>
          <w:sz w:val="16"/>
          <w:szCs w:val="16"/>
          <w:color w:val="auto"/>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any of Sections 1, 2, or 3 of this Agreement relating to the geographic area of restriction,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spacing w:after="0" w:line="15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75565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4" w:right="339" w:bottom="1440" w:gutter="0" w:footer="0" w:header="0"/>
        </w:sectPr>
      </w:pPr>
    </w:p>
    <w:bookmarkStart w:id="38" w:name="page39"/>
    <w:bookmarkEnd w:id="38"/>
    <w:p>
      <w:pPr>
        <w:ind w:right="20" w:firstLine="316"/>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Any waiver by the Company of my breach of any term, condition, or provision of this Agreement shall not operate or be construed as a waiver of the Company’s rights upon any subsequent breach.</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TO THE MAXIMUM EXTENT PERMITTED BY LAW, I HEREBY KNOWINGLY, VOLUNTARILY, AND 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spacing w:after="0" w:line="195" w:lineRule="exact"/>
        <w:rPr>
          <w:sz w:val="20"/>
          <w:szCs w:val="20"/>
          <w:color w:val="auto"/>
        </w:rPr>
      </w:pPr>
    </w:p>
    <w:p>
      <w:pPr>
        <w:jc w:val="both"/>
        <w:ind w:left="160" w:firstLine="156"/>
        <w:spacing w:after="0" w:line="263" w:lineRule="auto"/>
        <w:tabs>
          <w:tab w:leader="none" w:pos="50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Continuation of Employment</w:t>
      </w:r>
      <w:r>
        <w:rPr>
          <w:rFonts w:ascii="Arial" w:cs="Arial" w:eastAsia="Arial" w:hAnsi="Arial"/>
          <w:sz w:val="18"/>
          <w:szCs w:val="18"/>
          <w:color w:val="auto"/>
        </w:rPr>
        <w:t>.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spacing w:after="0" w:line="183" w:lineRule="exact"/>
        <w:rPr>
          <w:rFonts w:ascii="Arial" w:cs="Arial" w:eastAsia="Arial" w:hAnsi="Arial"/>
          <w:sz w:val="18"/>
          <w:szCs w:val="18"/>
          <w:color w:val="auto"/>
        </w:rPr>
      </w:pPr>
    </w:p>
    <w:p>
      <w:pPr>
        <w:ind w:firstLine="316"/>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for all purposes by the laws and public policy of Tennessee, without regard to principles of conflict of laws.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w w:val="99"/>
              </w:rPr>
              <w:t>TSPI ACCEPTANCE:</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2"/>
        </w:trPr>
        <w:tc>
          <w:tcPr>
            <w:tcW w:w="1780" w:type="dxa"/>
            <w:vAlign w:val="bottom"/>
          </w:tcPr>
          <w:p>
            <w:pPr>
              <w:spacing w:after="0"/>
              <w:rPr>
                <w:sz w:val="20"/>
                <w:szCs w:val="20"/>
                <w:color w:val="auto"/>
              </w:rPr>
            </w:pPr>
            <w:r>
              <w:rPr>
                <w:rFonts w:ascii="Arial" w:cs="Arial" w:eastAsia="Arial" w:hAnsi="Arial"/>
                <w:sz w:val="18"/>
                <w:szCs w:val="18"/>
                <w:b w:val="1"/>
                <w:bCs w:val="1"/>
                <w:color w:val="auto"/>
              </w:rPr>
              <w:t>/s/ Michael Sousa</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2"/>
              </w:rPr>
              <w:t>Date</w:t>
            </w:r>
            <w:r>
              <w:rPr>
                <w:rFonts w:ascii="Arial" w:cs="Arial" w:eastAsia="Arial" w:hAnsi="Arial"/>
                <w:sz w:val="18"/>
                <w:szCs w:val="18"/>
                <w:color w:val="auto"/>
                <w:w w:val="92"/>
              </w:rPr>
              <w:t>:</w:t>
            </w:r>
            <w:r>
              <w:rPr>
                <w:rFonts w:ascii="Arial" w:cs="Arial" w:eastAsia="Arial" w:hAnsi="Arial"/>
                <w:sz w:val="18"/>
                <w:szCs w:val="18"/>
                <w:b w:val="1"/>
                <w:bCs w:val="1"/>
                <w:color w:val="auto"/>
                <w:w w:val="92"/>
              </w:rPr>
              <w:t xml:space="preserve"> 2/20/2023</w:t>
            </w:r>
          </w:p>
        </w:tc>
      </w:tr>
      <w:tr>
        <w:trPr>
          <w:trHeight w:val="237"/>
        </w:trPr>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right="4760"/>
        <w:spacing w:after="0" w:line="282" w:lineRule="auto"/>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b w:val="1"/>
          <w:bCs w:val="1"/>
          <w:u w:val="single" w:color="auto"/>
          <w:color w:val="auto"/>
        </w:rPr>
        <w:t>/s/ Sneha Oakley</w:t>
      </w:r>
      <w:r>
        <w:rPr>
          <w:rFonts w:ascii="Arial" w:cs="Arial" w:eastAsia="Arial" w:hAnsi="Arial"/>
          <w:sz w:val="18"/>
          <w:szCs w:val="18"/>
          <w:b w:val="1"/>
          <w:bCs w:val="1"/>
          <w:color w:val="auto"/>
        </w:rPr>
        <w:t xml:space="preserve"> Title: Vice President, General Counsel Date: </w:t>
      </w:r>
      <w:r>
        <w:rPr>
          <w:rFonts w:ascii="Arial" w:cs="Arial" w:eastAsia="Arial" w:hAnsi="Arial"/>
          <w:sz w:val="18"/>
          <w:szCs w:val="18"/>
          <w:b w:val="1"/>
          <w:bCs w:val="1"/>
          <w:u w:val="single" w:color="auto"/>
          <w:color w:val="auto"/>
        </w:rPr>
        <w:t>2/20/2023</w:t>
      </w:r>
      <w:r>
        <w:rPr>
          <w:rFonts w:ascii="Arial" w:cs="Arial" w:eastAsia="Arial" w:hAnsi="Arial"/>
          <w:sz w:val="18"/>
          <w:szCs w:val="18"/>
          <w:b w:val="1"/>
          <w:bCs w:val="1"/>
          <w:color w:val="auto"/>
        </w:rPr>
        <w:t xml:space="preserve"> Witnessed by (Company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-185420</wp:posOffset>
            </wp:positionV>
            <wp:extent cx="1687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spacing w:after="0" w:line="35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080"/>
          </w:cols>
          <w:pgMar w:left="480" w:top="58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AGREEMENT</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RESTRICTED SHARE UNIT AGREEMENT (this “Agreement”) is made and entered into as of the 22nd day of March, 2023 (the “Grant Date”), between HealthStream, Inc., a Tennessee corporation (together with its Subsidiaries and Affiliates, the “Company”), and [NAME] (the “Grantee”). Capitalized terms not otherwise defined herein shall have the meaning ascribed to such terms in the HealthStream, Inc. 2022 Omnibus Incentive Plan (the “Plan”).</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WHEREAS, the Company has adopted the Plan, which permits the issuance of Restricted Share Units; and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WHEREAS, the Compensation Committee of the Board of Directors of the Company, including any subcommittee formed pursuant to Section 3.3 of the Plan (the “Committee”) has determined that it would be to the advantage and best interest of the Company and its shareholders to grant an award of the Restricted Share Units provided for herein to the Grantee as an incentive for increased efforts during his or her term of service or employment with the Company or its Subsidiaries or Affiliates, and has advised the Company thereof and instructed the undersigned officers to award said Restricted Share Units;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SHARE UNIT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Restricted Share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Granted hereunder:</w:t>
      </w:r>
    </w:p>
    <w:p>
      <w:pPr>
        <w:spacing w:after="0" w:line="225"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auto"/>
        </w:rPr>
        <w:t>Grant Date:</w:t>
      </w:r>
      <w:r>
        <w:rPr>
          <w:sz w:val="20"/>
          <w:szCs w:val="20"/>
          <w:color w:val="auto"/>
        </w:rPr>
        <w:tab/>
      </w:r>
      <w:r>
        <w:rPr>
          <w:rFonts w:ascii="Arial" w:cs="Arial" w:eastAsia="Arial" w:hAnsi="Arial"/>
          <w:sz w:val="16"/>
          <w:szCs w:val="16"/>
          <w:color w:val="auto"/>
        </w:rPr>
        <w:t>March 22, 2023</w:t>
      </w:r>
    </w:p>
    <w:p>
      <w:pPr>
        <w:spacing w:after="0" w:line="225" w:lineRule="exact"/>
        <w:rPr>
          <w:sz w:val="20"/>
          <w:szCs w:val="20"/>
          <w:color w:val="auto"/>
        </w:rPr>
      </w:pPr>
    </w:p>
    <w:p>
      <w:pPr>
        <w:ind w:left="840" w:hanging="331"/>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 Unit Award.</w:t>
      </w:r>
    </w:p>
    <w:p>
      <w:pPr>
        <w:spacing w:after="0" w:line="225" w:lineRule="exact"/>
        <w:rPr>
          <w:sz w:val="20"/>
          <w:szCs w:val="20"/>
          <w:color w:val="auto"/>
        </w:rPr>
      </w:pPr>
    </w:p>
    <w:p>
      <w:pPr>
        <w:jc w:val="both"/>
        <w:ind w:left="1480" w:hanging="323"/>
        <w:spacing w:after="0" w:line="286" w:lineRule="auto"/>
        <w:rPr>
          <w:sz w:val="20"/>
          <w:szCs w:val="20"/>
          <w:color w:val="auto"/>
        </w:rPr>
      </w:pPr>
      <w:r>
        <w:rPr>
          <w:rFonts w:ascii="Arial" w:cs="Arial" w:eastAsia="Arial" w:hAnsi="Arial"/>
          <w:sz w:val="17"/>
          <w:szCs w:val="17"/>
          <w:color w:val="auto"/>
        </w:rPr>
        <w:t>1.1 The Company hereby grants to the Grantee the award (“Award”) of Restricted Share Units (“RSUs”) set forth above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65" w:lineRule="exact"/>
        <w:rPr>
          <w:sz w:val="20"/>
          <w:szCs w:val="20"/>
          <w:color w:val="auto"/>
        </w:rPr>
      </w:pPr>
    </w:p>
    <w:p>
      <w:pPr>
        <w:jc w:val="both"/>
        <w:ind w:left="1480" w:hanging="323"/>
        <w:spacing w:after="0" w:line="263" w:lineRule="auto"/>
        <w:rPr>
          <w:sz w:val="20"/>
          <w:szCs w:val="20"/>
          <w:color w:val="auto"/>
        </w:rPr>
      </w:pPr>
      <w:r>
        <w:rPr>
          <w:rFonts w:ascii="Arial" w:cs="Arial" w:eastAsia="Arial" w:hAnsi="Arial"/>
          <w:sz w:val="18"/>
          <w:szCs w:val="18"/>
          <w:color w:val="auto"/>
        </w:rPr>
        <w:t xml:space="preserve">1.2 The Grantee’s rights with respect to the Award shall remain forfeitable at all times prior to the dates on which the RSUs shall vest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7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75565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5" w:right="339" w:bottom="1440" w:gutter="0" w:footer="0" w:header="0"/>
        </w:sectPr>
      </w:pPr>
    </w:p>
    <w:bookmarkStart w:id="40" w:name="page41"/>
    <w:bookmarkEnd w:id="40"/>
    <w:p>
      <w:pPr>
        <w:ind w:left="331" w:hanging="331"/>
        <w:spacing w:after="0"/>
        <w:tabs>
          <w:tab w:leader="none" w:pos="33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 and Payment.</w:t>
      </w:r>
    </w:p>
    <w:p>
      <w:pPr>
        <w:spacing w:after="0" w:line="225" w:lineRule="exact"/>
        <w:rPr>
          <w:sz w:val="20"/>
          <w:szCs w:val="20"/>
          <w:color w:val="auto"/>
        </w:rPr>
      </w:pPr>
    </w:p>
    <w:p>
      <w:pPr>
        <w:ind w:left="651"/>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the RSUs subject to this Award shall vest as follows:</w:t>
      </w:r>
    </w:p>
    <w:p>
      <w:pPr>
        <w:spacing w:after="0" w:line="225" w:lineRule="exact"/>
        <w:rPr>
          <w:sz w:val="20"/>
          <w:szCs w:val="20"/>
          <w:color w:val="auto"/>
        </w:rPr>
      </w:pPr>
    </w:p>
    <w:p>
      <w:pPr>
        <w:ind w:left="2311" w:hanging="326"/>
        <w:spacing w:after="0"/>
        <w:tabs>
          <w:tab w:leader="none" w:pos="23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15% of the RSUs shall vest on the first anniversary of the Grant Date;</w:t>
      </w:r>
    </w:p>
    <w:p>
      <w:pPr>
        <w:spacing w:after="0" w:line="225" w:lineRule="exact"/>
        <w:rPr>
          <w:rFonts w:ascii="Arial" w:cs="Arial" w:eastAsia="Arial" w:hAnsi="Arial"/>
          <w:sz w:val="18"/>
          <w:szCs w:val="18"/>
          <w:color w:val="auto"/>
        </w:rPr>
      </w:pPr>
    </w:p>
    <w:p>
      <w:pPr>
        <w:ind w:left="2271" w:hanging="327"/>
        <w:spacing w:after="0"/>
        <w:tabs>
          <w:tab w:leader="none" w:pos="22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additional 20% of the RSUs shall vest on the second anniversary of the Grant Date;</w:t>
      </w:r>
    </w:p>
    <w:p>
      <w:pPr>
        <w:spacing w:after="0" w:line="225" w:lineRule="exact"/>
        <w:rPr>
          <w:rFonts w:ascii="Arial" w:cs="Arial" w:eastAsia="Arial" w:hAnsi="Arial"/>
          <w:sz w:val="18"/>
          <w:szCs w:val="18"/>
          <w:color w:val="auto"/>
        </w:rPr>
      </w:pPr>
    </w:p>
    <w:p>
      <w:pPr>
        <w:ind w:left="2211" w:hanging="321"/>
        <w:spacing w:after="0"/>
        <w:tabs>
          <w:tab w:leader="none" w:pos="22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additional 30% of the RSUs shall vest on the third anniversary of the Grant Date; and</w:t>
      </w:r>
    </w:p>
    <w:p>
      <w:pPr>
        <w:spacing w:after="0" w:line="225" w:lineRule="exact"/>
        <w:rPr>
          <w:rFonts w:ascii="Arial" w:cs="Arial" w:eastAsia="Arial" w:hAnsi="Arial"/>
          <w:sz w:val="18"/>
          <w:szCs w:val="18"/>
          <w:color w:val="auto"/>
        </w:rPr>
      </w:pPr>
    </w:p>
    <w:p>
      <w:pPr>
        <w:ind w:left="2211" w:hanging="321"/>
        <w:spacing w:after="0"/>
        <w:tabs>
          <w:tab w:leader="none" w:pos="22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remaining 35% of the RSUs shall vest on the fourth anniversary of the Grant Date.</w:t>
      </w:r>
    </w:p>
    <w:p>
      <w:pPr>
        <w:spacing w:after="0" w:line="225" w:lineRule="exact"/>
        <w:rPr>
          <w:sz w:val="20"/>
          <w:szCs w:val="20"/>
          <w:color w:val="auto"/>
        </w:rPr>
      </w:pPr>
    </w:p>
    <w:p>
      <w:pPr>
        <w:ind w:left="971" w:right="20" w:hanging="323"/>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the foregoing, upon the occurrence of a Change in Control, this Award shall become vested immediately prior to a Change in Control as to 100% of the RSUs (but only to the extent such Award has not otherwise terminated or become vested).</w:t>
      </w:r>
    </w:p>
    <w:p>
      <w:pPr>
        <w:spacing w:after="0" w:line="184" w:lineRule="exact"/>
        <w:rPr>
          <w:sz w:val="20"/>
          <w:szCs w:val="20"/>
          <w:color w:val="auto"/>
        </w:rPr>
      </w:pPr>
    </w:p>
    <w:p>
      <w:pPr>
        <w:jc w:val="both"/>
        <w:ind w:left="971" w:hanging="323"/>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The Grantee shall be entitled to settlement of the RSUs subject to this Award at the time that such RSUs vest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corted or transferred Shares. The Grantee will not be entitled to any dividend equivalent or voting rights with regard to the RSUs.</w:t>
      </w:r>
    </w:p>
    <w:p>
      <w:pPr>
        <w:spacing w:after="0" w:line="168" w:lineRule="exact"/>
        <w:rPr>
          <w:sz w:val="20"/>
          <w:szCs w:val="20"/>
          <w:color w:val="auto"/>
        </w:rPr>
      </w:pPr>
    </w:p>
    <w:p>
      <w:pPr>
        <w:jc w:val="both"/>
        <w:ind w:left="971" w:hanging="323"/>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by the Committee, this Award shall not become vested as to any RSUs that have not vested as of the time of the Grantee’s termination of employment with the Company for any reason, and Grantee shall forfeit any unvested RSUs as of the date of such termination of employment.</w:t>
      </w:r>
    </w:p>
    <w:p>
      <w:pPr>
        <w:spacing w:after="0" w:line="184" w:lineRule="exact"/>
        <w:rPr>
          <w:sz w:val="20"/>
          <w:szCs w:val="20"/>
          <w:color w:val="auto"/>
        </w:rPr>
      </w:pPr>
    </w:p>
    <w:p>
      <w:pPr>
        <w:jc w:val="both"/>
        <w:ind w:left="971" w:hanging="323"/>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xml:space="preserve">.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Any social security calculation or other adjustments discovered after the net Share payment described in clause (iii)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For purposes hereof, the “Withholding Tax Obligation” means the minimum amount necessary to satisfy Federal, state, local or foreign withholding tax requirements, if any, in connection with vesting of the Award; provided, however, that, in the discretion of the Company, the Company may allow the Grantee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year of vesting.</w:t>
      </w:r>
    </w:p>
    <w:p>
      <w:pPr>
        <w:spacing w:after="0" w:line="391" w:lineRule="exact"/>
        <w:rPr>
          <w:sz w:val="20"/>
          <w:szCs w:val="20"/>
          <w:color w:val="auto"/>
        </w:rPr>
      </w:pPr>
    </w:p>
    <w:p>
      <w:pPr>
        <w:ind w:left="49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75565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71"/>
          </w:cols>
          <w:pgMar w:left="989" w:top="584" w:right="339" w:bottom="1440" w:gutter="0" w:footer="0" w:header="0"/>
        </w:sectPr>
      </w:pPr>
    </w:p>
    <w:bookmarkStart w:id="41" w:name="page42"/>
    <w:bookmarkEnd w:id="41"/>
    <w:p>
      <w:pPr>
        <w:ind w:left="320" w:right="80" w:hanging="319"/>
        <w:spacing w:after="0" w:line="277"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shall be interpreted or construed to confer upon the Grantee any right to continue service as an officer or employee of the Company.</w:t>
      </w:r>
    </w:p>
    <w:p>
      <w:pPr>
        <w:spacing w:after="0" w:line="170" w:lineRule="exact"/>
        <w:rPr>
          <w:rFonts w:ascii="Arial" w:cs="Arial" w:eastAsia="Arial" w:hAnsi="Arial"/>
          <w:sz w:val="18"/>
          <w:szCs w:val="18"/>
          <w:color w:val="auto"/>
        </w:rPr>
      </w:pPr>
    </w:p>
    <w:p>
      <w:pPr>
        <w:jc w:val="both"/>
        <w:ind w:left="320" w:hanging="319"/>
        <w:spacing w:after="0" w:line="263"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provisions of Section 4.2 and Section 14.3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83" w:lineRule="exact"/>
        <w:rPr>
          <w:rFonts w:ascii="Arial" w:cs="Arial" w:eastAsia="Arial" w:hAnsi="Arial"/>
          <w:sz w:val="18"/>
          <w:szCs w:val="18"/>
          <w:color w:val="auto"/>
        </w:rPr>
      </w:pPr>
    </w:p>
    <w:p>
      <w:pPr>
        <w:jc w:val="both"/>
        <w:ind w:left="320" w:hanging="319"/>
        <w:spacing w:after="0" w:line="291"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Administration Subject to the Plan</w:t>
      </w:r>
      <w:r>
        <w:rPr>
          <w:rFonts w:ascii="Arial" w:cs="Arial" w:eastAsia="Arial" w:hAnsi="Arial"/>
          <w:sz w:val="16"/>
          <w:szCs w:val="16"/>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66" w:lineRule="exact"/>
        <w:rPr>
          <w:rFonts w:ascii="Arial" w:cs="Arial" w:eastAsia="Arial" w:hAnsi="Arial"/>
          <w:sz w:val="16"/>
          <w:szCs w:val="16"/>
          <w:color w:val="auto"/>
        </w:rPr>
      </w:pPr>
    </w:p>
    <w:p>
      <w:pPr>
        <w:jc w:val="both"/>
        <w:ind w:left="320" w:hanging="319"/>
        <w:spacing w:after="0" w:line="263"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Modification of Agreement</w:t>
      </w:r>
      <w:r>
        <w:rPr>
          <w:rFonts w:ascii="Arial" w:cs="Arial" w:eastAsia="Arial" w:hAnsi="Arial"/>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83" w:lineRule="exact"/>
        <w:rPr>
          <w:rFonts w:ascii="Arial" w:cs="Arial" w:eastAsia="Arial" w:hAnsi="Arial"/>
          <w:sz w:val="18"/>
          <w:szCs w:val="18"/>
          <w:color w:val="auto"/>
        </w:rPr>
      </w:pPr>
    </w:p>
    <w:p>
      <w:pPr>
        <w:jc w:val="both"/>
        <w:ind w:left="320" w:hanging="319"/>
        <w:spacing w:after="0" w:line="291"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herein to the contrary, to the maximum extent permitted by applicable law, the settlement of the RSUs to be made to the Grantee pursuant to this Agreement is intended to qualify as a “short-term deferral” pursuant to Section 1.409A-1(b)</w:t>
      </w:r>
    </w:p>
    <w:p>
      <w:pPr>
        <w:jc w:val="both"/>
        <w:ind w:left="320"/>
        <w:spacing w:after="0" w:line="283" w:lineRule="auto"/>
        <w:rPr>
          <w:rFonts w:ascii="Arial" w:cs="Arial" w:eastAsia="Arial" w:hAnsi="Arial"/>
          <w:sz w:val="16"/>
          <w:szCs w:val="16"/>
          <w:color w:val="auto"/>
        </w:rPr>
      </w:pPr>
      <w:r>
        <w:rPr>
          <w:rFonts w:ascii="Arial" w:cs="Arial" w:eastAsia="Arial" w:hAnsi="Arial"/>
          <w:sz w:val="16"/>
          <w:szCs w:val="16"/>
          <w:color w:val="auto"/>
        </w:rPr>
        <w:t>(4)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82" w:lineRule="exact"/>
        <w:rPr>
          <w:rFonts w:ascii="Arial" w:cs="Arial" w:eastAsia="Arial" w:hAnsi="Arial"/>
          <w:sz w:val="16"/>
          <w:szCs w:val="16"/>
          <w:color w:val="auto"/>
        </w:rPr>
      </w:pPr>
    </w:p>
    <w:p>
      <w:pPr>
        <w:ind w:left="320" w:right="20" w:hanging="319"/>
        <w:spacing w:after="0" w:line="342"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23" w:lineRule="exact"/>
        <w:rPr>
          <w:rFonts w:ascii="Arial" w:cs="Arial" w:eastAsia="Arial" w:hAnsi="Arial"/>
          <w:sz w:val="16"/>
          <w:szCs w:val="16"/>
          <w:color w:val="auto"/>
        </w:rPr>
      </w:pPr>
    </w:p>
    <w:p>
      <w:pPr>
        <w:ind w:left="320" w:right="60" w:hanging="319"/>
        <w:spacing w:after="0" w:line="275"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69"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75565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584" w:right="339" w:bottom="1440" w:gutter="0" w:footer="0" w:header="0"/>
        </w:sectPr>
      </w:pPr>
    </w:p>
    <w:bookmarkStart w:id="42" w:name="page43"/>
    <w:bookmarkEnd w:id="42"/>
    <w:p>
      <w:pPr>
        <w:jc w:val="both"/>
        <w:ind w:left="880" w:right="360" w:hanging="319"/>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23" w:lineRule="exact"/>
        <w:rPr>
          <w:rFonts w:ascii="Arial" w:cs="Arial" w:eastAsia="Arial" w:hAnsi="Arial"/>
          <w:sz w:val="16"/>
          <w:szCs w:val="16"/>
          <w:color w:val="auto"/>
        </w:rPr>
      </w:pPr>
    </w:p>
    <w:p>
      <w:pPr>
        <w:jc w:val="both"/>
        <w:ind w:left="880" w:right="20" w:hanging="319"/>
        <w:spacing w:after="0" w:line="286"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Successors in Interest</w:t>
      </w:r>
      <w:r>
        <w:rPr>
          <w:rFonts w:ascii="Arial" w:cs="Arial" w:eastAsia="Arial" w:hAnsi="Arial"/>
          <w:sz w:val="17"/>
          <w:szCs w:val="17"/>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65" w:lineRule="exact"/>
        <w:rPr>
          <w:rFonts w:ascii="Arial" w:cs="Arial" w:eastAsia="Arial" w:hAnsi="Arial"/>
          <w:sz w:val="17"/>
          <w:szCs w:val="17"/>
          <w:color w:val="auto"/>
        </w:rPr>
      </w:pPr>
    </w:p>
    <w:p>
      <w:pPr>
        <w:jc w:val="both"/>
        <w:ind w:left="880" w:hanging="319"/>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83" w:lineRule="exact"/>
        <w:rPr>
          <w:rFonts w:ascii="Arial" w:cs="Arial" w:eastAsia="Arial" w:hAnsi="Arial"/>
          <w:sz w:val="18"/>
          <w:szCs w:val="18"/>
          <w:color w:val="auto"/>
        </w:rPr>
      </w:pPr>
    </w:p>
    <w:p>
      <w:pPr>
        <w:ind w:left="880" w:right="240" w:hanging="319"/>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required to be given under this Award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1240"/>
          </w:cols>
          <w:pgMar w:left="320" w:top="800" w:right="339" w:bottom="1440" w:gutter="0" w:footer="0" w:header="0"/>
        </w:sectPr>
      </w:pPr>
    </w:p>
    <w:p>
      <w:pPr>
        <w:spacing w:after="0" w:line="146"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To the Company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HealthStream,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500 11</w:t>
      </w:r>
      <w:r>
        <w:rPr>
          <w:rFonts w:ascii="Arial" w:cs="Arial" w:eastAsia="Arial" w:hAnsi="Arial"/>
          <w:sz w:val="12"/>
          <w:szCs w:val="12"/>
          <w:color w:val="auto"/>
        </w:rPr>
        <w:t>th</w:t>
      </w:r>
      <w:r>
        <w:rPr>
          <w:rFonts w:ascii="Arial" w:cs="Arial" w:eastAsia="Arial" w:hAnsi="Arial"/>
          <w:sz w:val="16"/>
          <w:szCs w:val="16"/>
          <w:color w:val="auto"/>
        </w:rPr>
        <w:t xml:space="preserve"> Avenue North, Suite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200" w:lineRule="exact"/>
        <w:rPr>
          <w:sz w:val="20"/>
          <w:szCs w:val="20"/>
          <w:color w:val="auto"/>
        </w:rPr>
      </w:pPr>
    </w:p>
    <w:p>
      <w:pPr>
        <w:sectPr>
          <w:pgSz w:w="11900" w:h="16838" w:orient="portrait"/>
          <w:cols w:equalWidth="0" w:num="2">
            <w:col w:w="2020" w:space="720"/>
            <w:col w:w="8500"/>
          </w:cols>
          <w:pgMar w:left="320" w:top="800" w:right="339" w:bottom="1440" w:gutter="0" w:footer="0" w:header="0"/>
          <w:type w:val="continuous"/>
        </w:sectPr>
      </w:pPr>
    </w:p>
    <w:p>
      <w:pPr>
        <w:spacing w:after="0" w:line="11"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To the Grantee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2020" w:space="720"/>
            <w:col w:w="8500"/>
          </w:cols>
          <w:pgMar w:left="320" w:top="800" w:right="339" w:bottom="1440" w:gutter="0" w:footer="0" w:header="0"/>
          <w:type w:val="continuous"/>
        </w:sectPr>
      </w:pPr>
    </w:p>
    <w:p>
      <w:pPr>
        <w:spacing w:after="0" w:line="2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Restricted Share Unit Agreement to be duly executed effective as of the day and year first above written.</w:t>
      </w:r>
    </w:p>
    <w:p>
      <w:pPr>
        <w:spacing w:after="0" w:line="200" w:lineRule="exact"/>
        <w:rPr>
          <w:sz w:val="20"/>
          <w:szCs w:val="20"/>
          <w:color w:val="auto"/>
        </w:rPr>
      </w:pPr>
    </w:p>
    <w:p>
      <w:pPr>
        <w:spacing w:after="0" w:line="398"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HEALTHSTREAM,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17145</wp:posOffset>
            </wp:positionV>
            <wp:extent cx="1645920" cy="505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00"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April 27, 2023</w:t>
            </w:r>
          </w:p>
        </w:tc>
        <w:tc>
          <w:tcPr>
            <w:tcW w:w="7060" w:type="dxa"/>
            <w:vAlign w:val="bottom"/>
            <w:tcBorders>
              <w:bottom w:val="single" w:sz="8" w:color="auto"/>
            </w:tcBorders>
          </w:tcPr>
          <w:p>
            <w:pPr>
              <w:ind w:left="26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4180" w:type="dxa"/>
            <w:vAlign w:val="bottom"/>
          </w:tcPr>
          <w:p>
            <w:pPr>
              <w:spacing w:after="0"/>
              <w:rPr>
                <w:sz w:val="16"/>
                <w:szCs w:val="16"/>
                <w:color w:val="auto"/>
              </w:rPr>
            </w:pPr>
          </w:p>
        </w:tc>
        <w:tc>
          <w:tcPr>
            <w:tcW w:w="7060" w:type="dxa"/>
            <w:vAlign w:val="bottom"/>
          </w:tcPr>
          <w:p>
            <w:pPr>
              <w:ind w:left="268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4180" w:type="dxa"/>
            <w:vAlign w:val="bottom"/>
          </w:tcPr>
          <w:p>
            <w:pPr>
              <w:spacing w:after="0"/>
              <w:rPr>
                <w:sz w:val="20"/>
                <w:szCs w:val="20"/>
                <w:color w:val="auto"/>
              </w:rPr>
            </w:pPr>
          </w:p>
        </w:tc>
        <w:tc>
          <w:tcPr>
            <w:tcW w:w="7060" w:type="dxa"/>
            <w:vAlign w:val="bottom"/>
          </w:tcPr>
          <w:p>
            <w:pPr>
              <w:ind w:left="26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April 27, 2023</w:t>
            </w:r>
          </w:p>
        </w:tc>
        <w:tc>
          <w:tcPr>
            <w:tcW w:w="708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4160" w:type="dxa"/>
            <w:vAlign w:val="bottom"/>
          </w:tcPr>
          <w:p>
            <w:pPr>
              <w:spacing w:after="0"/>
              <w:rPr>
                <w:sz w:val="16"/>
                <w:szCs w:val="16"/>
                <w:color w:val="auto"/>
              </w:rPr>
            </w:pPr>
          </w:p>
        </w:tc>
        <w:tc>
          <w:tcPr>
            <w:tcW w:w="7080" w:type="dxa"/>
            <w:vAlign w:val="bottom"/>
          </w:tcPr>
          <w:p>
            <w:pPr>
              <w:ind w:left="2660"/>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4160" w:type="dxa"/>
            <w:vAlign w:val="bottom"/>
          </w:tcPr>
          <w:p>
            <w:pPr>
              <w:spacing w:after="0"/>
              <w:rPr>
                <w:sz w:val="20"/>
                <w:szCs w:val="20"/>
                <w:color w:val="auto"/>
              </w:rPr>
            </w:pPr>
          </w:p>
        </w:tc>
        <w:tc>
          <w:tcPr>
            <w:tcW w:w="7080" w:type="dxa"/>
            <w:vAlign w:val="bottom"/>
          </w:tcPr>
          <w:p>
            <w:pPr>
              <w:ind w:left="26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2023,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2023</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2023,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2023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04"/>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lvl w:ilvl="1">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lvl w:ilvl="1">
      <w:lvlJc w:val="left"/>
      <w:lvlText w:val="●"/>
      <w:numFmt w:val="bullet"/>
      <w:start w:val="1"/>
    </w:lvl>
  </w:abstractNum>
  <w:abstractNum w:abstractNumId="14">
    <w:nsid w:val="836C40E"/>
    <w:multiLevelType w:val="hybridMultilevel"/>
    <w:lvl w:ilvl="0">
      <w:lvlJc w:val="left"/>
      <w:lvlText w:val="%1."/>
      <w:numFmt w:val="decimal"/>
      <w:start w:val="1"/>
    </w:lvl>
    <w:lvl w:ilvl="1">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lvl w:ilvl="1">
      <w:lvlJc w:val="left"/>
      <w:lvlText w:val="%2."/>
      <w:numFmt w:val="upperLetter"/>
      <w:start w:val="1"/>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7"/>
    </w:lvl>
    <w:lvl w:ilvl="1">
      <w:lvlJc w:val="left"/>
      <w:lvlText w:val="(%2)"/>
      <w:numFmt w:val="lowerLetter"/>
      <w:start w:val="1"/>
    </w:lvl>
  </w:abstractNum>
  <w:abstractNum w:abstractNumId="19">
    <w:nsid w:val="7C3DBD3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20">
    <w:nsid w:val="737B8DDC"/>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1"/>
    </w:lvl>
  </w:abstractNum>
  <w:abstractNum w:abstractNumId="21">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22221A70"/>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3">
    <w:nsid w:val="4516DDE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4">
    <w:nsid w:val="3006C83E"/>
    <w:multiLevelType w:val="hybridMultilevel"/>
    <w:lvl w:ilvl="0">
      <w:lvlJc w:val="left"/>
      <w:lvlText w:val="%1."/>
      <w:numFmt w:val="decimal"/>
      <w:start w:val="5"/>
    </w:lvl>
  </w:abstractNum>
  <w:abstractNum w:abstractNumId="25">
    <w:nsid w:val="614FD4A1"/>
    <w:multiLevelType w:val="hybridMultilevel"/>
    <w:lvl w:ilvl="0">
      <w:lvlJc w:val="left"/>
      <w:lvlText w:val="%1."/>
      <w:numFmt w:val="decimal"/>
      <w:start w:val="10"/>
    </w:lvl>
  </w:abstractNum>
  <w:abstractNum w:abstractNumId="26">
    <w:nsid w:val="419AC241"/>
    <w:multiLevelType w:val="hybridMultilevel"/>
    <w:lvl w:ilvl="0">
      <w:lvlJc w:val="left"/>
      <w:lvlText w:val="%1."/>
      <w:numFmt w:val="decimal"/>
      <w:start w:val="1"/>
    </w:lvl>
    <w:lvl w:ilvl="1">
      <w:lvlJc w:val="left"/>
      <w:lvlText w:val="(%2)"/>
      <w:numFmt w:val="lowerLetter"/>
      <w:start w:val="1"/>
    </w:lvl>
  </w:abstractNum>
  <w:abstractNum w:abstractNumId="27">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8">
    <w:nsid w:val="440BADF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9">
    <w:nsid w:val="5072367"/>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0">
    <w:nsid w:val="3804823E"/>
    <w:multiLevelType w:val="hybridMultilevel"/>
    <w:lvl w:ilvl="0">
      <w:lvlJc w:val="left"/>
      <w:lvlText w:val="%1."/>
      <w:numFmt w:val="decimal"/>
      <w:start w:val="4"/>
    </w:lvl>
  </w:abstractNum>
  <w:abstractNum w:abstractNumId="31">
    <w:nsid w:val="77465F01"/>
    <w:multiLevelType w:val="hybridMultilevel"/>
    <w:lvl w:ilvl="0">
      <w:lvlJc w:val="left"/>
      <w:lvlText w:val="%1."/>
      <w:numFmt w:val="decimal"/>
      <w:start w:val="6"/>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lowerRoman"/>
      <w:start w:val="1"/>
    </w:lvl>
    <w:lvl w:ilvl="1">
      <w:lvlJc w:val="left"/>
      <w:lvlText w:val="%2."/>
      <w:numFmt w:val="lowerRoman"/>
      <w:start w:val="1"/>
    </w:lvl>
  </w:abstractNum>
  <w:abstractNum w:abstractNumId="35">
    <w:nsid w:val="5E884ADC"/>
    <w:multiLevelType w:val="hybridMultilevel"/>
    <w:lvl w:ilvl="0">
      <w:lvlJc w:val="left"/>
      <w:lvlText w:val="%1."/>
      <w:numFmt w:val="lowerRoman"/>
      <w:start w:val="4"/>
    </w:lvl>
    <w:lvl w:ilvl="1">
      <w:lvlJc w:val="left"/>
      <w:lvlText w:val="%2"/>
      <w:numFmt w:val="lowerRoman"/>
      <w:start w:val="1"/>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1."/>
      <w:numFmt w:val="decimal"/>
      <w:start w:val="10"/>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2023-04-27T15:42:33Z</dcterms:created>
  <dcterms:modified xsi:type="dcterms:W3CDTF">2023-04-27T15:42:33Z</dcterms:modified>
</cp:coreProperties>
</file>