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-232410</wp:posOffset>
            </wp:positionV>
            <wp:extent cx="7247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-215265</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49" w:lineRule="exact"/>
        <w:rPr>
          <w:sz w:val="24"/>
          <w:szCs w:val="24"/>
          <w:color w:val="auto"/>
        </w:rPr>
      </w:pPr>
    </w:p>
    <w:p>
      <w:pPr>
        <w:jc w:val="center"/>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Q</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82" w:lineRule="exact"/>
        <w:rPr>
          <w:sz w:val="24"/>
          <w:szCs w:val="24"/>
          <w:color w:val="auto"/>
        </w:rPr>
      </w:pPr>
    </w:p>
    <w:tbl>
      <w:tblPr>
        <w:tblLayout w:type="fixed"/>
        <w:tblInd w:w="1560" w:type="dxa"/>
        <w:tblCellMar>
          <w:top w:w="0" w:type="dxa"/>
          <w:left w:w="0" w:type="dxa"/>
          <w:bottom w:w="0" w:type="dxa"/>
          <w:right w:w="0" w:type="dxa"/>
        </w:tblCellMar>
      </w:tblPr>
      <w:tr>
        <w:trPr>
          <w:trHeight w:val="231"/>
        </w:trPr>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2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8"/>
              </w:rPr>
              <w:t xml:space="preserve">For the quarterly period ended </w:t>
            </w:r>
            <w:r>
              <w:rPr>
                <w:rFonts w:ascii="Arial" w:cs="Arial" w:eastAsia="Arial" w:hAnsi="Arial"/>
                <w:sz w:val="18"/>
                <w:szCs w:val="18"/>
                <w:color w:val="auto"/>
                <w:w w:val="88"/>
              </w:rPr>
              <w:t>March 31, 2019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1"/>
        </w:trPr>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20" w:type="dxa"/>
            <w:vAlign w:val="bottom"/>
            <w:gridSpan w:val="5"/>
          </w:tcPr>
          <w:p>
            <w:pPr>
              <w:jc w:val="center"/>
              <w:ind w:right="20"/>
              <w:spacing w:after="0" w:line="207" w:lineRule="exact"/>
              <w:rPr>
                <w:sz w:val="20"/>
                <w:szCs w:val="20"/>
                <w:color w:val="auto"/>
              </w:rPr>
            </w:pPr>
            <w:r>
              <w:rPr>
                <w:rFonts w:ascii="Arial" w:cs="Arial" w:eastAsia="Arial" w:hAnsi="Arial"/>
                <w:sz w:val="18"/>
                <w:szCs w:val="18"/>
                <w:b w:val="1"/>
                <w:bCs w:val="1"/>
                <w:color w:val="auto"/>
                <w:w w:val="87"/>
              </w:rPr>
              <w:t>Commission File No.: 000</w:t>
            </w:r>
            <w:r>
              <w:rPr>
                <w:rFonts w:ascii="MS PGothic" w:cs="MS PGothic" w:eastAsia="MS PGothic" w:hAnsi="MS PGothic"/>
                <w:sz w:val="18"/>
                <w:szCs w:val="18"/>
                <w:b w:val="1"/>
                <w:bCs w:val="1"/>
                <w:color w:val="auto"/>
                <w:w w:val="87"/>
              </w:rPr>
              <w:t>‑</w:t>
            </w:r>
            <w:r>
              <w:rPr>
                <w:rFonts w:ascii="Arial" w:cs="Arial" w:eastAsia="Arial" w:hAnsi="Arial"/>
                <w:sz w:val="18"/>
                <w:szCs w:val="18"/>
                <w:b w:val="1"/>
                <w:bCs w:val="1"/>
                <w:color w:val="auto"/>
                <w:w w:val="87"/>
              </w:rPr>
              <w:t>27701</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52"/>
        </w:trPr>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20" w:type="dxa"/>
            <w:vAlign w:val="bottom"/>
            <w:gridSpan w:val="5"/>
          </w:tcPr>
          <w:p>
            <w:pPr>
              <w:jc w:val="center"/>
              <w:ind w:right="40"/>
              <w:spacing w:after="0"/>
              <w:rPr>
                <w:sz w:val="20"/>
                <w:szCs w:val="20"/>
                <w:color w:val="auto"/>
              </w:rPr>
            </w:pPr>
            <w:r>
              <w:rPr>
                <w:rFonts w:ascii="Arial" w:cs="Arial" w:eastAsia="Arial" w:hAnsi="Arial"/>
                <w:sz w:val="43"/>
                <w:szCs w:val="43"/>
                <w:b w:val="1"/>
                <w:bCs w:val="1"/>
                <w:color w:val="auto"/>
                <w:w w:val="91"/>
              </w:rPr>
              <w:t>HealthStream, Inc.</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1"/>
        </w:trPr>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2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6"/>
              </w:rPr>
              <w:t>(Exact name of registrant as specified in its charter)</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3"/>
        </w:trPr>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Tennessee</w:t>
            </w:r>
          </w:p>
        </w:tc>
        <w:tc>
          <w:tcPr>
            <w:tcW w:w="4600" w:type="dxa"/>
            <w:vAlign w:val="bottom"/>
            <w:gridSpan w:val="6"/>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bottom w:val="single" w:sz="8" w:color="auto"/>
            </w:tcBorders>
            <w:gridSpan w:val="3"/>
          </w:tcPr>
          <w:p>
            <w:pPr>
              <w:jc w:val="center"/>
              <w:spacing w:after="0" w:line="207" w:lineRule="exact"/>
              <w:rPr>
                <w:sz w:val="20"/>
                <w:szCs w:val="20"/>
                <w:color w:val="auto"/>
              </w:rPr>
            </w:pPr>
            <w:r>
              <w:rPr>
                <w:rFonts w:ascii="Arial" w:cs="Arial" w:eastAsia="Arial" w:hAnsi="Arial"/>
                <w:sz w:val="18"/>
                <w:szCs w:val="18"/>
                <w:b w:val="1"/>
                <w:bCs w:val="1"/>
                <w:color w:val="auto"/>
                <w:w w:val="89"/>
              </w:rPr>
              <w:t>62</w:t>
            </w:r>
            <w:r>
              <w:rPr>
                <w:rFonts w:ascii="MS PGothic" w:cs="MS PGothic" w:eastAsia="MS PGothic" w:hAnsi="MS PGothic"/>
                <w:sz w:val="18"/>
                <w:szCs w:val="18"/>
                <w:b w:val="1"/>
                <w:bCs w:val="1"/>
                <w:color w:val="auto"/>
                <w:w w:val="89"/>
              </w:rPr>
              <w:t>‑</w:t>
            </w:r>
            <w:r>
              <w:rPr>
                <w:rFonts w:ascii="Arial" w:cs="Arial" w:eastAsia="Arial" w:hAnsi="Arial"/>
                <w:sz w:val="18"/>
                <w:szCs w:val="18"/>
                <w:b w:val="1"/>
                <w:bCs w:val="1"/>
                <w:color w:val="auto"/>
                <w:w w:val="89"/>
              </w:rPr>
              <w:t>1443555</w:t>
            </w:r>
          </w:p>
        </w:tc>
        <w:tc>
          <w:tcPr>
            <w:tcW w:w="120" w:type="dxa"/>
            <w:vAlign w:val="bottom"/>
          </w:tcPr>
          <w:p>
            <w:pPr>
              <w:spacing w:after="0"/>
              <w:rPr>
                <w:sz w:val="24"/>
                <w:szCs w:val="24"/>
                <w:color w:val="auto"/>
              </w:rPr>
            </w:pPr>
          </w:p>
        </w:tc>
      </w:tr>
      <w:tr>
        <w:trPr>
          <w:trHeight w:val="145"/>
        </w:trPr>
        <w:tc>
          <w:tcPr>
            <w:tcW w:w="6280" w:type="dxa"/>
            <w:vAlign w:val="bottom"/>
            <w:gridSpan w:val="9"/>
          </w:tcPr>
          <w:p>
            <w:pPr>
              <w:jc w:val="center"/>
              <w:ind w:right="3680"/>
              <w:spacing w:after="0" w:line="145" w:lineRule="exact"/>
              <w:rPr>
                <w:sz w:val="20"/>
                <w:szCs w:val="20"/>
                <w:color w:val="auto"/>
              </w:rPr>
            </w:pPr>
            <w:r>
              <w:rPr>
                <w:rFonts w:ascii="Arial" w:cs="Arial" w:eastAsia="Arial" w:hAnsi="Arial"/>
                <w:sz w:val="14"/>
                <w:szCs w:val="14"/>
                <w:b w:val="1"/>
                <w:bCs w:val="1"/>
                <w:color w:val="auto"/>
                <w:w w:val="89"/>
              </w:rPr>
              <w:t>(State or other jurisdiction of</w:t>
            </w:r>
          </w:p>
        </w:tc>
        <w:tc>
          <w:tcPr>
            <w:tcW w:w="1280" w:type="dxa"/>
            <w:vAlign w:val="bottom"/>
            <w:gridSpan w:val="5"/>
          </w:tcPr>
          <w:p>
            <w:pPr>
              <w:jc w:val="center"/>
              <w:ind w:left="123"/>
              <w:spacing w:after="0" w:line="145" w:lineRule="exact"/>
              <w:rPr>
                <w:sz w:val="20"/>
                <w:szCs w:val="20"/>
                <w:color w:val="auto"/>
              </w:rPr>
            </w:pPr>
            <w:r>
              <w:rPr>
                <w:rFonts w:ascii="Arial" w:cs="Arial" w:eastAsia="Arial" w:hAnsi="Arial"/>
                <w:sz w:val="14"/>
                <w:szCs w:val="14"/>
                <w:b w:val="1"/>
                <w:bCs w:val="1"/>
                <w:color w:val="auto"/>
                <w:w w:val="93"/>
              </w:rPr>
              <w:t>(I.R.S. Employer</w:t>
            </w:r>
          </w:p>
        </w:tc>
      </w:tr>
      <w:tr>
        <w:trPr>
          <w:trHeight w:val="185"/>
        </w:trPr>
        <w:tc>
          <w:tcPr>
            <w:tcW w:w="6280" w:type="dxa"/>
            <w:vAlign w:val="bottom"/>
            <w:gridSpan w:val="9"/>
          </w:tcPr>
          <w:p>
            <w:pPr>
              <w:jc w:val="center"/>
              <w:ind w:right="3680"/>
              <w:spacing w:after="0"/>
              <w:rPr>
                <w:sz w:val="20"/>
                <w:szCs w:val="20"/>
                <w:color w:val="auto"/>
              </w:rPr>
            </w:pPr>
            <w:r>
              <w:rPr>
                <w:rFonts w:ascii="Arial" w:cs="Arial" w:eastAsia="Arial" w:hAnsi="Arial"/>
                <w:sz w:val="14"/>
                <w:szCs w:val="14"/>
                <w:b w:val="1"/>
                <w:bCs w:val="1"/>
                <w:color w:val="auto"/>
                <w:w w:val="90"/>
              </w:rPr>
              <w:t>incorporation or organization)</w:t>
            </w:r>
          </w:p>
        </w:tc>
        <w:tc>
          <w:tcPr>
            <w:tcW w:w="1280" w:type="dxa"/>
            <w:vAlign w:val="bottom"/>
            <w:gridSpan w:val="5"/>
          </w:tcPr>
          <w:p>
            <w:pPr>
              <w:jc w:val="center"/>
              <w:ind w:left="103"/>
              <w:spacing w:after="0"/>
              <w:rPr>
                <w:sz w:val="20"/>
                <w:szCs w:val="20"/>
                <w:color w:val="auto"/>
              </w:rPr>
            </w:pPr>
            <w:r>
              <w:rPr>
                <w:rFonts w:ascii="Arial" w:cs="Arial" w:eastAsia="Arial" w:hAnsi="Arial"/>
                <w:sz w:val="14"/>
                <w:szCs w:val="14"/>
                <w:b w:val="1"/>
                <w:bCs w:val="1"/>
                <w:color w:val="auto"/>
                <w:w w:val="92"/>
              </w:rPr>
              <w:t>Identification No.)</w:t>
            </w:r>
          </w:p>
        </w:tc>
      </w:tr>
      <w:tr>
        <w:trPr>
          <w:trHeight w:val="328"/>
        </w:trPr>
        <w:tc>
          <w:tcPr>
            <w:tcW w:w="6280" w:type="dxa"/>
            <w:vAlign w:val="bottom"/>
            <w:gridSpan w:val="9"/>
          </w:tcPr>
          <w:p>
            <w:pPr>
              <w:jc w:val="center"/>
              <w:ind w:right="3680"/>
              <w:spacing w:after="0"/>
              <w:rPr>
                <w:sz w:val="20"/>
                <w:szCs w:val="20"/>
                <w:color w:val="auto"/>
              </w:rPr>
            </w:pPr>
            <w:r>
              <w:rPr>
                <w:rFonts w:ascii="Arial" w:cs="Arial" w:eastAsia="Arial" w:hAnsi="Arial"/>
                <w:sz w:val="18"/>
                <w:szCs w:val="18"/>
                <w:b w:val="1"/>
                <w:bCs w:val="1"/>
                <w:color w:val="auto"/>
                <w:w w:val="86"/>
              </w:rPr>
              <w:t>500 11th Avenue North, Suite 1000,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2"/>
        </w:trPr>
        <w:tc>
          <w:tcPr>
            <w:tcW w:w="540" w:type="dxa"/>
            <w:vAlign w:val="bottom"/>
          </w:tcPr>
          <w:p>
            <w:pPr>
              <w:spacing w:after="0"/>
              <w:rPr>
                <w:sz w:val="16"/>
                <w:szCs w:val="16"/>
                <w:color w:val="auto"/>
              </w:rPr>
            </w:pPr>
          </w:p>
        </w:tc>
        <w:tc>
          <w:tcPr>
            <w:tcW w:w="5740" w:type="dxa"/>
            <w:vAlign w:val="bottom"/>
            <w:gridSpan w:val="8"/>
          </w:tcPr>
          <w:p>
            <w:pPr>
              <w:jc w:val="center"/>
              <w:ind w:right="4220"/>
              <w:spacing w:after="0" w:line="192" w:lineRule="exact"/>
              <w:rPr>
                <w:sz w:val="20"/>
                <w:szCs w:val="20"/>
                <w:color w:val="auto"/>
              </w:rPr>
            </w:pPr>
            <w:r>
              <w:rPr>
                <w:rFonts w:ascii="Arial" w:cs="Arial" w:eastAsia="Arial" w:hAnsi="Arial"/>
                <w:sz w:val="18"/>
                <w:szCs w:val="18"/>
                <w:b w:val="1"/>
                <w:bCs w:val="1"/>
                <w:color w:val="auto"/>
                <w:w w:val="83"/>
              </w:rPr>
              <w:t>Nashville, Tennessee</w:t>
            </w:r>
          </w:p>
        </w:tc>
        <w:tc>
          <w:tcPr>
            <w:tcW w:w="1160" w:type="dxa"/>
            <w:vAlign w:val="bottom"/>
            <w:gridSpan w:val="4"/>
          </w:tcPr>
          <w:p>
            <w:pPr>
              <w:jc w:val="right"/>
              <w:ind w:right="200"/>
              <w:spacing w:after="0" w:line="192" w:lineRule="exact"/>
              <w:rPr>
                <w:sz w:val="20"/>
                <w:szCs w:val="20"/>
                <w:color w:val="auto"/>
              </w:rPr>
            </w:pPr>
            <w:r>
              <w:rPr>
                <w:rFonts w:ascii="Arial" w:cs="Arial" w:eastAsia="Arial" w:hAnsi="Arial"/>
                <w:sz w:val="18"/>
                <w:szCs w:val="18"/>
                <w:b w:val="1"/>
                <w:bCs w:val="1"/>
                <w:color w:val="auto"/>
              </w:rPr>
              <w:t>37203</w:t>
            </w:r>
          </w:p>
        </w:tc>
        <w:tc>
          <w:tcPr>
            <w:tcW w:w="120" w:type="dxa"/>
            <w:vAlign w:val="bottom"/>
          </w:tcPr>
          <w:p>
            <w:pPr>
              <w:spacing w:after="0"/>
              <w:rPr>
                <w:sz w:val="16"/>
                <w:szCs w:val="16"/>
                <w:color w:val="auto"/>
              </w:rPr>
            </w:pPr>
          </w:p>
        </w:tc>
      </w:tr>
      <w:tr>
        <w:trPr>
          <w:trHeight w:val="20"/>
        </w:trPr>
        <w:tc>
          <w:tcPr>
            <w:tcW w:w="540" w:type="dxa"/>
            <w:vAlign w:val="bottom"/>
          </w:tcPr>
          <w:p>
            <w:pPr>
              <w:spacing w:after="0" w:line="20" w:lineRule="exact"/>
              <w:rPr>
                <w:sz w:val="1"/>
                <w:szCs w:val="1"/>
                <w:color w:val="auto"/>
              </w:rPr>
            </w:pPr>
          </w:p>
        </w:tc>
        <w:tc>
          <w:tcPr>
            <w:tcW w:w="1520" w:type="dxa"/>
            <w:vAlign w:val="bottom"/>
            <w:gridSpan w:val="3"/>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183"/>
        </w:trPr>
        <w:tc>
          <w:tcPr>
            <w:tcW w:w="6280" w:type="dxa"/>
            <w:vAlign w:val="bottom"/>
            <w:gridSpan w:val="9"/>
          </w:tcPr>
          <w:p>
            <w:pPr>
              <w:jc w:val="center"/>
              <w:ind w:right="3680"/>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300" w:type="dxa"/>
            <w:vAlign w:val="bottom"/>
          </w:tcPr>
          <w:p>
            <w:pPr>
              <w:spacing w:after="0"/>
              <w:rPr>
                <w:sz w:val="15"/>
                <w:szCs w:val="15"/>
                <w:color w:val="auto"/>
              </w:rPr>
            </w:pPr>
          </w:p>
        </w:tc>
        <w:tc>
          <w:tcPr>
            <w:tcW w:w="9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(Zip Code)</w:t>
            </w:r>
          </w:p>
        </w:tc>
      </w:tr>
      <w:tr>
        <w:trPr>
          <w:trHeight w:val="386"/>
        </w:trPr>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Borders>
              <w:bottom w:val="single" w:sz="8" w:color="auto"/>
            </w:tcBorders>
          </w:tcPr>
          <w:p>
            <w:pPr>
              <w:jc w:val="center"/>
              <w:spacing w:after="0" w:line="207" w:lineRule="exact"/>
              <w:rPr>
                <w:sz w:val="20"/>
                <w:szCs w:val="20"/>
                <w:color w:val="auto"/>
              </w:rPr>
            </w:pPr>
            <w:r>
              <w:rPr>
                <w:rFonts w:ascii="Arial" w:cs="Arial" w:eastAsia="Arial" w:hAnsi="Arial"/>
                <w:sz w:val="18"/>
                <w:szCs w:val="18"/>
                <w:b w:val="1"/>
                <w:bCs w:val="1"/>
                <w:color w:val="auto"/>
                <w:w w:val="91"/>
              </w:rPr>
              <w:t>(615) 301</w:t>
            </w:r>
            <w:r>
              <w:rPr>
                <w:rFonts w:ascii="MS PGothic" w:cs="MS PGothic" w:eastAsia="MS PGothic" w:hAnsi="MS PGothic"/>
                <w:sz w:val="18"/>
                <w:szCs w:val="18"/>
                <w:b w:val="1"/>
                <w:bCs w:val="1"/>
                <w:color w:val="auto"/>
                <w:w w:val="91"/>
              </w:rPr>
              <w:t>‑</w:t>
            </w:r>
            <w:r>
              <w:rPr>
                <w:rFonts w:ascii="Arial" w:cs="Arial" w:eastAsia="Arial" w:hAnsi="Arial"/>
                <w:sz w:val="18"/>
                <w:szCs w:val="18"/>
                <w:b w:val="1"/>
                <w:bCs w:val="1"/>
                <w:color w:val="auto"/>
                <w:w w:val="91"/>
              </w:rPr>
              <w:t>3100</w:t>
            </w:r>
          </w:p>
        </w:tc>
        <w:tc>
          <w:tcPr>
            <w:tcW w:w="156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8"/>
              </w:rPr>
              <w:t>(Registrant's telephone number, including area code)</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28"/>
        </w:trPr>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2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6"/>
              </w:rPr>
              <w:t>209 10th Avenue South, Suite 450,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2"/>
        </w:trPr>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0" w:type="dxa"/>
            <w:vAlign w:val="bottom"/>
            <w:tcBorders>
              <w:bottom w:val="single" w:sz="8" w:color="auto"/>
            </w:tcBorders>
            <w:gridSpan w:val="3"/>
          </w:tcPr>
          <w:p>
            <w:pPr>
              <w:jc w:val="center"/>
              <w:spacing w:after="0" w:line="192" w:lineRule="exact"/>
              <w:rPr>
                <w:sz w:val="20"/>
                <w:szCs w:val="20"/>
                <w:color w:val="auto"/>
              </w:rPr>
            </w:pPr>
            <w:r>
              <w:rPr>
                <w:rFonts w:ascii="Arial" w:cs="Arial" w:eastAsia="Arial" w:hAnsi="Arial"/>
                <w:sz w:val="18"/>
                <w:szCs w:val="18"/>
                <w:b w:val="1"/>
                <w:bCs w:val="1"/>
                <w:color w:val="auto"/>
                <w:w w:val="84"/>
              </w:rPr>
              <w:t>Nashville, Tennessee 37203</w:t>
            </w: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3"/>
        </w:trPr>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8"/>
              </w:rPr>
              <w:t>(Former address of principal executive offices)</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spacing w:after="0" w:line="144"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jc w:val="both"/>
        <w:spacing w:after="0" w:line="23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2"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24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00" w:type="dxa"/>
            <w:vAlign w:val="bottom"/>
          </w:tcPr>
          <w:p>
            <w:pPr>
              <w:ind w:left="68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ind w:left="276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4"/>
        </w:trPr>
        <w:tc>
          <w:tcPr>
            <w:tcW w:w="2400" w:type="dxa"/>
            <w:vAlign w:val="bottom"/>
          </w:tcPr>
          <w:p>
            <w:pPr>
              <w:spacing w:after="0"/>
              <w:rPr>
                <w:sz w:val="20"/>
                <w:szCs w:val="20"/>
                <w:color w:val="auto"/>
              </w:rPr>
            </w:pPr>
            <w:r>
              <w:rPr>
                <w:rFonts w:ascii="Arial" w:cs="Arial" w:eastAsia="Arial" w:hAnsi="Arial"/>
                <w:sz w:val="16"/>
                <w:szCs w:val="16"/>
                <w:color w:val="auto"/>
              </w:rPr>
              <w:t>Non-accelerated filer</w:t>
            </w:r>
          </w:p>
        </w:tc>
        <w:tc>
          <w:tcPr>
            <w:tcW w:w="3600" w:type="dxa"/>
            <w:vAlign w:val="bottom"/>
          </w:tcPr>
          <w:p>
            <w:pPr>
              <w:ind w:left="68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ind w:left="276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3"/>
        </w:trPr>
        <w:tc>
          <w:tcPr>
            <w:tcW w:w="24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600" w:type="dxa"/>
            <w:vAlign w:val="bottom"/>
          </w:tcPr>
          <w:p>
            <w:pPr>
              <w:ind w:left="68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spacing w:after="0"/>
              <w:rPr>
                <w:sz w:val="22"/>
                <w:szCs w:val="22"/>
                <w:color w:val="auto"/>
              </w:rPr>
            </w:pPr>
          </w:p>
        </w:tc>
        <w:tc>
          <w:tcPr>
            <w:tcW w:w="480" w:type="dxa"/>
            <w:vAlign w:val="bottom"/>
          </w:tcPr>
          <w:p>
            <w:pPr>
              <w:spacing w:after="0"/>
              <w:rPr>
                <w:sz w:val="22"/>
                <w:szCs w:val="22"/>
                <w:color w:val="auto"/>
              </w:rPr>
            </w:pPr>
          </w:p>
        </w:tc>
      </w:tr>
    </w:tbl>
    <w:p>
      <w:pPr>
        <w:spacing w:after="0" w:line="147" w:lineRule="exact"/>
        <w:rPr>
          <w:sz w:val="24"/>
          <w:szCs w:val="24"/>
          <w:color w:val="auto"/>
        </w:rPr>
      </w:pPr>
    </w:p>
    <w:p>
      <w:pPr>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2" w:lineRule="exact"/>
        <w:rPr>
          <w:sz w:val="24"/>
          <w:szCs w:val="24"/>
          <w:color w:val="auto"/>
        </w:rPr>
      </w:pPr>
    </w:p>
    <w:p>
      <w:pPr>
        <w:ind w:right="2480"/>
        <w:spacing w:after="0" w:line="32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29, 2019, there were 32,388,307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7247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128905</wp:posOffset>
            </wp:positionV>
            <wp:extent cx="7247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906780</wp:posOffset>
            </wp:positionV>
            <wp:extent cx="7273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 w:name="page2"/>
    <w:bookmarkEnd w:id="1"/>
    <w:p>
      <w:pPr>
        <w:jc w:val="center"/>
        <w:spacing w:after="0" w:line="207" w:lineRule="exact"/>
        <w:rPr>
          <w:sz w:val="20"/>
          <w:szCs w:val="20"/>
          <w:color w:val="auto"/>
        </w:rPr>
      </w:pPr>
      <w:r>
        <w:rPr>
          <w:rFonts w:ascii="Arial" w:cs="Arial" w:eastAsia="Arial" w:hAnsi="Arial"/>
          <w:sz w:val="18"/>
          <w:szCs w:val="18"/>
          <w:b w:val="1"/>
          <w:bCs w:val="1"/>
          <w:color w:val="auto"/>
        </w:rPr>
        <w:t>Index to Form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Q</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jc w:val="right"/>
              <w:ind w:right="213"/>
              <w:spacing w:after="0"/>
              <w:rPr>
                <w:sz w:val="20"/>
                <w:szCs w:val="20"/>
                <w:color w:val="auto"/>
              </w:rPr>
            </w:pPr>
            <w:r>
              <w:rPr>
                <w:rFonts w:ascii="Arial" w:cs="Arial" w:eastAsia="Arial" w:hAnsi="Arial"/>
                <w:sz w:val="14"/>
                <w:szCs w:val="14"/>
                <w:b w:val="1"/>
                <w:bCs w:val="1"/>
                <w:color w:val="auto"/>
              </w:rPr>
              <w:t>Page</w:t>
            </w:r>
          </w:p>
        </w:tc>
      </w:tr>
      <w:tr>
        <w:trPr>
          <w:trHeight w:val="170"/>
        </w:trPr>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Number</w:t>
            </w:r>
          </w:p>
        </w:tc>
      </w:tr>
      <w:tr>
        <w:trPr>
          <w:trHeight w:val="288"/>
        </w:trPr>
        <w:tc>
          <w:tcPr>
            <w:tcW w:w="1060" w:type="dxa"/>
            <w:vAlign w:val="bottom"/>
          </w:tcPr>
          <w:p>
            <w:pPr>
              <w:spacing w:after="0"/>
              <w:rPr>
                <w:sz w:val="20"/>
                <w:szCs w:val="20"/>
                <w:color w:val="auto"/>
              </w:rPr>
            </w:pPr>
            <w:r>
              <w:rPr>
                <w:rFonts w:ascii="Arial" w:cs="Arial" w:eastAsia="Arial" w:hAnsi="Arial"/>
                <w:sz w:val="18"/>
                <w:szCs w:val="18"/>
                <w:color w:val="auto"/>
              </w:rPr>
              <w:t>Part I.</w:t>
            </w:r>
          </w:p>
        </w:tc>
        <w:tc>
          <w:tcPr>
            <w:tcW w:w="1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Information</w:t>
              </w:r>
            </w:hyperlink>
          </w:p>
        </w:tc>
        <w:tc>
          <w:tcPr>
            <w:tcW w:w="794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5"/>
        </w:trPr>
        <w:tc>
          <w:tcPr>
            <w:tcW w:w="1060" w:type="dxa"/>
            <w:vAlign w:val="bottom"/>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0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5"/>
        </w:trPr>
        <w:tc>
          <w:tcPr>
            <w:tcW w:w="1060" w:type="dxa"/>
            <w:vAlign w:val="bottom"/>
          </w:tcPr>
          <w:p>
            <w:pPr>
              <w:spacing w:after="0"/>
              <w:rPr>
                <w:sz w:val="24"/>
                <w:szCs w:val="24"/>
                <w:color w:val="auto"/>
              </w:rPr>
            </w:pPr>
          </w:p>
        </w:tc>
        <w:tc>
          <w:tcPr>
            <w:tcW w:w="672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(Unaudited) – March 31, 2019 and December 31, 2018</w:t>
              </w:r>
            </w:hyperlink>
          </w:p>
        </w:tc>
        <w:tc>
          <w:tcPr>
            <w:tcW w:w="274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5"/>
        </w:trPr>
        <w:tc>
          <w:tcPr>
            <w:tcW w:w="1060" w:type="dxa"/>
            <w:vAlign w:val="bottom"/>
          </w:tcPr>
          <w:p>
            <w:pPr>
              <w:spacing w:after="0"/>
              <w:rPr>
                <w:sz w:val="24"/>
                <w:szCs w:val="24"/>
                <w:color w:val="auto"/>
              </w:rPr>
            </w:pPr>
          </w:p>
        </w:tc>
        <w:tc>
          <w:tcPr>
            <w:tcW w:w="764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Income (Unaudited) – Three Months ended March 31, 2019 and 2018</w:t>
              </w:r>
            </w:hyperlink>
          </w:p>
        </w:tc>
        <w:tc>
          <w:tcPr>
            <w:tcW w:w="182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5"/>
        </w:trPr>
        <w:tc>
          <w:tcPr>
            <w:tcW w:w="1060" w:type="dxa"/>
            <w:vAlign w:val="bottom"/>
          </w:tcPr>
          <w:p>
            <w:pPr>
              <w:spacing w:after="0"/>
              <w:rPr>
                <w:sz w:val="24"/>
                <w:szCs w:val="24"/>
                <w:color w:val="auto"/>
              </w:rPr>
            </w:pPr>
          </w:p>
        </w:tc>
        <w:tc>
          <w:tcPr>
            <w:tcW w:w="878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Comprehensive Income (Unaudited) – Three Months ended March 31, 2019 and 2018</w:t>
              </w:r>
            </w:hyperlink>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5"/>
        </w:trPr>
        <w:tc>
          <w:tcPr>
            <w:tcW w:w="1060" w:type="dxa"/>
            <w:vAlign w:val="bottom"/>
          </w:tcPr>
          <w:p>
            <w:pPr>
              <w:spacing w:after="0"/>
              <w:rPr>
                <w:sz w:val="24"/>
                <w:szCs w:val="24"/>
                <w:color w:val="auto"/>
              </w:rPr>
            </w:pPr>
          </w:p>
        </w:tc>
        <w:tc>
          <w:tcPr>
            <w:tcW w:w="9460" w:type="dxa"/>
            <w:vAlign w:val="bottom"/>
            <w:gridSpan w:val="15"/>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 of Shareholders' Equity (Unaudited) – Three Months ended March 31, 2019 and 2018</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5"/>
        </w:trPr>
        <w:tc>
          <w:tcPr>
            <w:tcW w:w="1060" w:type="dxa"/>
            <w:vAlign w:val="bottom"/>
          </w:tcPr>
          <w:p>
            <w:pPr>
              <w:spacing w:after="0"/>
              <w:rPr>
                <w:sz w:val="24"/>
                <w:szCs w:val="24"/>
                <w:color w:val="auto"/>
              </w:rPr>
            </w:pPr>
          </w:p>
        </w:tc>
        <w:tc>
          <w:tcPr>
            <w:tcW w:w="8480" w:type="dxa"/>
            <w:vAlign w:val="bottom"/>
            <w:tcBorders>
              <w:top w:val="single" w:sz="8" w:color="0000EE"/>
            </w:tcBorders>
            <w:gridSpan w:val="13"/>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Condensed Consolidated Statements of Cash Flows (Unaudited) – Three Months ended March 31, 2019 and 2018</w:t>
              </w:r>
            </w:hyperlink>
          </w:p>
        </w:tc>
        <w:tc>
          <w:tcPr>
            <w:tcW w:w="98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5"/>
        </w:trPr>
        <w:tc>
          <w:tcPr>
            <w:tcW w:w="1060" w:type="dxa"/>
            <w:vAlign w:val="bottom"/>
          </w:tcPr>
          <w:p>
            <w:pPr>
              <w:spacing w:after="0"/>
              <w:rPr>
                <w:sz w:val="24"/>
                <w:szCs w:val="24"/>
                <w:color w:val="auto"/>
              </w:rPr>
            </w:pPr>
          </w:p>
        </w:tc>
        <w:tc>
          <w:tcPr>
            <w:tcW w:w="7920" w:type="dxa"/>
            <w:vAlign w:val="bottom"/>
            <w:tcBorders>
              <w:top w:val="single" w:sz="8" w:color="0000EE"/>
            </w:tcBorders>
            <w:gridSpan w:val="1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154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0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5"/>
        </w:trPr>
        <w:tc>
          <w:tcPr>
            <w:tcW w:w="1060" w:type="dxa"/>
            <w:vAlign w:val="bottom"/>
          </w:tcPr>
          <w:p>
            <w:pPr>
              <w:spacing w:after="0"/>
              <w:rPr>
                <w:sz w:val="20"/>
                <w:szCs w:val="20"/>
                <w:color w:val="auto"/>
              </w:rPr>
            </w:pPr>
            <w:r>
              <w:rPr>
                <w:rFonts w:ascii="Arial" w:cs="Arial" w:eastAsia="Arial" w:hAnsi="Arial"/>
                <w:sz w:val="18"/>
                <w:szCs w:val="18"/>
                <w:color w:val="auto"/>
              </w:rPr>
              <w:t>Item 2.</w:t>
            </w:r>
          </w:p>
        </w:tc>
        <w:tc>
          <w:tcPr>
            <w:tcW w:w="9460" w:type="dxa"/>
            <w:vAlign w:val="bottom"/>
            <w:gridSpan w:val="1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5"/>
        </w:trPr>
        <w:tc>
          <w:tcPr>
            <w:tcW w:w="1060" w:type="dxa"/>
            <w:vAlign w:val="bottom"/>
          </w:tcPr>
          <w:p>
            <w:pPr>
              <w:spacing w:after="0"/>
              <w:rPr>
                <w:sz w:val="20"/>
                <w:szCs w:val="20"/>
                <w:color w:val="auto"/>
              </w:rPr>
            </w:pPr>
            <w:r>
              <w:rPr>
                <w:rFonts w:ascii="Arial" w:cs="Arial" w:eastAsia="Arial" w:hAnsi="Arial"/>
                <w:sz w:val="18"/>
                <w:szCs w:val="18"/>
                <w:color w:val="auto"/>
              </w:rPr>
              <w:t>Item 3.</w:t>
            </w:r>
          </w:p>
        </w:tc>
        <w:tc>
          <w:tcPr>
            <w:tcW w:w="41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Quantitative and Qualitative Disclosures about Market Risk</w:t>
              </w:r>
            </w:hyperlink>
          </w:p>
        </w:tc>
        <w:tc>
          <w:tcPr>
            <w:tcW w:w="2060" w:type="dxa"/>
            <w:vAlign w:val="bottom"/>
            <w:tcBorders>
              <w:top w:val="single" w:sz="8" w:color="0000EE"/>
            </w:tcBorders>
            <w:gridSpan w:val="2"/>
          </w:tcPr>
          <w:p>
            <w:pPr>
              <w:spacing w:after="0"/>
              <w:rPr>
                <w:sz w:val="24"/>
                <w:szCs w:val="24"/>
                <w:color w:val="auto"/>
              </w:rPr>
            </w:pPr>
          </w:p>
        </w:tc>
        <w:tc>
          <w:tcPr>
            <w:tcW w:w="324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5"/>
        </w:trPr>
        <w:tc>
          <w:tcPr>
            <w:tcW w:w="1060" w:type="dxa"/>
            <w:vAlign w:val="bottom"/>
          </w:tcPr>
          <w:p>
            <w:pPr>
              <w:spacing w:after="0"/>
              <w:rPr>
                <w:sz w:val="20"/>
                <w:szCs w:val="20"/>
                <w:color w:val="auto"/>
              </w:rPr>
            </w:pPr>
            <w:r>
              <w:rPr>
                <w:rFonts w:ascii="Arial" w:cs="Arial" w:eastAsia="Arial" w:hAnsi="Arial"/>
                <w:sz w:val="18"/>
                <w:szCs w:val="18"/>
                <w:color w:val="auto"/>
              </w:rPr>
              <w:t>Item 4.</w:t>
            </w:r>
          </w:p>
        </w:tc>
        <w:tc>
          <w:tcPr>
            <w:tcW w:w="9460" w:type="dxa"/>
            <w:vAlign w:val="bottom"/>
            <w:gridSpan w:val="1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5"/>
        </w:trPr>
        <w:tc>
          <w:tcPr>
            <w:tcW w:w="1060" w:type="dxa"/>
            <w:vAlign w:val="bottom"/>
          </w:tcPr>
          <w:p>
            <w:pPr>
              <w:spacing w:after="0"/>
              <w:rPr>
                <w:sz w:val="20"/>
                <w:szCs w:val="20"/>
                <w:color w:val="auto"/>
              </w:rPr>
            </w:pPr>
            <w:r>
              <w:rPr>
                <w:rFonts w:ascii="Arial" w:cs="Arial" w:eastAsia="Arial" w:hAnsi="Arial"/>
                <w:sz w:val="18"/>
                <w:szCs w:val="18"/>
                <w:color w:val="auto"/>
              </w:rPr>
              <w:t>Part II.</w:t>
            </w:r>
          </w:p>
        </w:tc>
        <w:tc>
          <w:tcPr>
            <w:tcW w:w="1700" w:type="dxa"/>
            <w:vAlign w:val="bottom"/>
            <w:tcBorders>
              <w:top w:val="single" w:sz="8" w:color="0000EE"/>
            </w:tcBorders>
            <w:gridSpan w:val="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776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5"/>
        </w:trPr>
        <w:tc>
          <w:tcPr>
            <w:tcW w:w="1060" w:type="dxa"/>
            <w:vAlign w:val="bottom"/>
          </w:tcPr>
          <w:p>
            <w:pPr>
              <w:spacing w:after="0"/>
              <w:rPr>
                <w:sz w:val="20"/>
                <w:szCs w:val="20"/>
                <w:color w:val="auto"/>
              </w:rPr>
            </w:pPr>
            <w:r>
              <w:rPr>
                <w:rFonts w:ascii="Arial" w:cs="Arial" w:eastAsia="Arial" w:hAnsi="Arial"/>
                <w:sz w:val="18"/>
                <w:szCs w:val="18"/>
                <w:color w:val="auto"/>
              </w:rPr>
              <w:t>Item 6.</w:t>
            </w:r>
          </w:p>
        </w:tc>
        <w:tc>
          <w:tcPr>
            <w:tcW w:w="58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Exhibits</w:t>
              </w:r>
            </w:hyperlink>
          </w:p>
        </w:tc>
        <w:tc>
          <w:tcPr>
            <w:tcW w:w="680" w:type="dxa"/>
            <w:vAlign w:val="bottom"/>
            <w:tcBorders>
              <w:top w:val="single" w:sz="8" w:color="0000EE"/>
            </w:tcBorders>
            <w:gridSpan w:val="2"/>
          </w:tcPr>
          <w:p>
            <w:pPr>
              <w:spacing w:after="0"/>
              <w:rPr>
                <w:sz w:val="24"/>
                <w:szCs w:val="24"/>
                <w:color w:val="auto"/>
              </w:rPr>
            </w:pPr>
          </w:p>
        </w:tc>
        <w:tc>
          <w:tcPr>
            <w:tcW w:w="820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5"/>
        </w:trPr>
        <w:tc>
          <w:tcPr>
            <w:tcW w:w="1060" w:type="dxa"/>
            <w:vAlign w:val="bottom"/>
          </w:tcPr>
          <w:p>
            <w:pPr>
              <w:spacing w:after="0"/>
              <w:rPr>
                <w:sz w:val="24"/>
                <w:szCs w:val="24"/>
                <w:color w:val="auto"/>
              </w:rPr>
            </w:pPr>
          </w:p>
        </w:tc>
        <w:tc>
          <w:tcPr>
            <w:tcW w:w="9460" w:type="dxa"/>
            <w:vAlign w:val="bottom"/>
            <w:gridSpan w:val="1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SIGNATURE</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1713"/>
        </w:trPr>
        <w:tc>
          <w:tcPr>
            <w:tcW w:w="1060" w:type="dxa"/>
            <w:vAlign w:val="bottom"/>
            <w:tcBorders>
              <w:bottom w:val="single" w:sz="8" w:color="9A9A9A"/>
            </w:tcBorders>
          </w:tcPr>
          <w:p>
            <w:pPr>
              <w:spacing w:after="0"/>
              <w:rPr>
                <w:sz w:val="24"/>
                <w:szCs w:val="24"/>
                <w:color w:val="auto"/>
              </w:rPr>
            </w:pPr>
          </w:p>
        </w:tc>
        <w:tc>
          <w:tcPr>
            <w:tcW w:w="580" w:type="dxa"/>
            <w:vAlign w:val="bottom"/>
            <w:tcBorders>
              <w:top w:val="single" w:sz="8" w:color="0000EE"/>
              <w:bottom w:val="single" w:sz="8" w:color="9A9A9A"/>
            </w:tcBorders>
          </w:tcPr>
          <w:p>
            <w:pPr>
              <w:spacing w:after="0"/>
              <w:rPr>
                <w:sz w:val="24"/>
                <w:szCs w:val="24"/>
                <w:color w:val="auto"/>
              </w:rPr>
            </w:pPr>
          </w:p>
        </w:tc>
        <w:tc>
          <w:tcPr>
            <w:tcW w:w="380" w:type="dxa"/>
            <w:vAlign w:val="bottom"/>
            <w:tcBorders>
              <w:top w:val="single" w:sz="8" w:color="0000EE"/>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7231380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ind w:right="384"/>
              <w:spacing w:after="0"/>
              <w:rPr>
                <w:sz w:val="20"/>
                <w:szCs w:val="20"/>
                <w:color w:val="auto"/>
              </w:rPr>
            </w:pPr>
            <w:r>
              <w:rPr>
                <w:rFonts w:ascii="Arial" w:cs="Arial" w:eastAsia="Arial" w:hAnsi="Arial"/>
                <w:sz w:val="15"/>
                <w:szCs w:val="15"/>
                <w:b w:val="1"/>
                <w:bCs w:val="1"/>
                <w:color w:val="auto"/>
              </w:rPr>
              <w:t>March 31,</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December 31,</w:t>
            </w:r>
          </w:p>
        </w:tc>
      </w:tr>
      <w:tr>
        <w:trPr>
          <w:trHeight w:val="178"/>
        </w:trPr>
        <w:tc>
          <w:tcPr>
            <w:tcW w:w="6640" w:type="dxa"/>
            <w:vAlign w:val="bottom"/>
            <w:tcBorders>
              <w:bottom w:val="single" w:sz="8" w:color="CFF0FC"/>
            </w:tcBorders>
          </w:tcPr>
          <w:p>
            <w:pPr>
              <w:spacing w:after="0"/>
              <w:rPr>
                <w:sz w:val="15"/>
                <w:szCs w:val="15"/>
                <w:color w:val="auto"/>
              </w:rPr>
            </w:pPr>
          </w:p>
        </w:tc>
        <w:tc>
          <w:tcPr>
            <w:tcW w:w="11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2019</w:t>
            </w:r>
          </w:p>
        </w:tc>
        <w:tc>
          <w:tcPr>
            <w:tcW w:w="3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84"/>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FF0FC"/>
            </w:tcBorders>
          </w:tcPr>
          <w:p>
            <w:pPr>
              <w:spacing w:after="0"/>
              <w:rPr>
                <w:sz w:val="15"/>
                <w:szCs w:val="15"/>
                <w:color w:val="auto"/>
              </w:rPr>
            </w:pPr>
          </w:p>
        </w:tc>
      </w:tr>
      <w:tr>
        <w:trPr>
          <w:trHeight w:val="167"/>
        </w:trPr>
        <w:tc>
          <w:tcPr>
            <w:tcW w:w="6640" w:type="dxa"/>
            <w:vAlign w:val="bottom"/>
            <w:shd w:val="clear" w:color="auto" w:fill="CFF0FC"/>
          </w:tcPr>
          <w:p>
            <w:pPr>
              <w:ind w:left="3540"/>
              <w:spacing w:after="0" w:line="167" w:lineRule="exact"/>
              <w:rPr>
                <w:sz w:val="20"/>
                <w:szCs w:val="20"/>
                <w:color w:val="auto"/>
              </w:rPr>
            </w:pPr>
            <w:r>
              <w:rPr>
                <w:rFonts w:ascii="Arial" w:cs="Arial" w:eastAsia="Arial" w:hAnsi="Arial"/>
                <w:sz w:val="15"/>
                <w:szCs w:val="15"/>
                <w:b w:val="1"/>
                <w:bCs w:val="1"/>
                <w:color w:val="auto"/>
              </w:rPr>
              <w:t>ASSETS</w:t>
            </w: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4"/>
        </w:trPr>
        <w:tc>
          <w:tcPr>
            <w:tcW w:w="6640" w:type="dxa"/>
            <w:vAlign w:val="bottom"/>
          </w:tcPr>
          <w:p>
            <w:pPr>
              <w:spacing w:after="0"/>
              <w:rPr>
                <w:sz w:val="20"/>
                <w:szCs w:val="20"/>
                <w:color w:val="auto"/>
              </w:rPr>
            </w:pPr>
            <w:r>
              <w:rPr>
                <w:rFonts w:ascii="Arial" w:cs="Arial" w:eastAsia="Arial" w:hAnsi="Arial"/>
                <w:sz w:val="15"/>
                <w:szCs w:val="15"/>
                <w:color w:val="auto"/>
              </w:rPr>
              <w:t>Current assets:</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4"/>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and cash equivalents</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110,610</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134,321</w:t>
            </w:r>
          </w:p>
        </w:tc>
        <w:tc>
          <w:tcPr>
            <w:tcW w:w="100" w:type="dxa"/>
            <w:vAlign w:val="bottom"/>
            <w:shd w:val="clear" w:color="auto" w:fill="CFF0FC"/>
          </w:tcPr>
          <w:p>
            <w:pPr>
              <w:spacing w:after="0"/>
              <w:rPr>
                <w:sz w:val="15"/>
                <w:szCs w:val="15"/>
                <w:color w:val="auto"/>
              </w:rPr>
            </w:pPr>
          </w:p>
        </w:tc>
      </w:tr>
      <w:tr>
        <w:trPr>
          <w:trHeight w:val="174"/>
        </w:trPr>
        <w:tc>
          <w:tcPr>
            <w:tcW w:w="6640" w:type="dxa"/>
            <w:vAlign w:val="bottom"/>
          </w:tcPr>
          <w:p>
            <w:pPr>
              <w:ind w:left="260"/>
              <w:spacing w:after="0"/>
              <w:rPr>
                <w:sz w:val="20"/>
                <w:szCs w:val="20"/>
                <w:color w:val="auto"/>
              </w:rPr>
            </w:pPr>
            <w:r>
              <w:rPr>
                <w:rFonts w:ascii="Arial" w:cs="Arial" w:eastAsia="Arial" w:hAnsi="Arial"/>
                <w:sz w:val="15"/>
                <w:szCs w:val="15"/>
                <w:color w:val="auto"/>
              </w:rPr>
              <w:t>Marketable securities</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36,322</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34,497</w:t>
            </w:r>
          </w:p>
        </w:tc>
        <w:tc>
          <w:tcPr>
            <w:tcW w:w="100" w:type="dxa"/>
            <w:vAlign w:val="bottom"/>
          </w:tcPr>
          <w:p>
            <w:pPr>
              <w:spacing w:after="0"/>
              <w:rPr>
                <w:sz w:val="15"/>
                <w:szCs w:val="15"/>
                <w:color w:val="auto"/>
              </w:rPr>
            </w:pPr>
          </w:p>
        </w:tc>
      </w:tr>
      <w:tr>
        <w:trPr>
          <w:trHeight w:val="161"/>
        </w:trPr>
        <w:tc>
          <w:tcPr>
            <w:tcW w:w="6640" w:type="dxa"/>
            <w:vAlign w:val="bottom"/>
            <w:shd w:val="clear" w:color="auto" w:fill="CFF0FC"/>
          </w:tcPr>
          <w:p>
            <w:pPr>
              <w:ind w:left="260"/>
              <w:spacing w:after="0" w:line="161" w:lineRule="exact"/>
              <w:rPr>
                <w:sz w:val="20"/>
                <w:szCs w:val="20"/>
                <w:color w:val="auto"/>
              </w:rPr>
            </w:pPr>
            <w:r>
              <w:rPr>
                <w:rFonts w:ascii="Arial" w:cs="Arial" w:eastAsia="Arial" w:hAnsi="Arial"/>
                <w:sz w:val="15"/>
                <w:szCs w:val="15"/>
                <w:color w:val="auto"/>
              </w:rPr>
              <w:t>Accounts receivable, net of allowance for doubtful accounts of $936 and</w:t>
            </w:r>
          </w:p>
        </w:tc>
        <w:tc>
          <w:tcPr>
            <w:tcW w:w="1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4"/>
        </w:trPr>
        <w:tc>
          <w:tcPr>
            <w:tcW w:w="66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$1,161 at March 31, 2019 and December 31, 2018, respectively</w:t>
            </w: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37,432</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38,124</w:t>
            </w:r>
          </w:p>
        </w:tc>
        <w:tc>
          <w:tcPr>
            <w:tcW w:w="100" w:type="dxa"/>
            <w:vAlign w:val="bottom"/>
            <w:shd w:val="clear" w:color="auto" w:fill="CFF0FC"/>
          </w:tcPr>
          <w:p>
            <w:pPr>
              <w:spacing w:after="0"/>
              <w:rPr>
                <w:sz w:val="15"/>
                <w:szCs w:val="15"/>
                <w:color w:val="auto"/>
              </w:rPr>
            </w:pPr>
          </w:p>
        </w:tc>
      </w:tr>
      <w:tr>
        <w:trPr>
          <w:trHeight w:val="174"/>
        </w:trPr>
        <w:tc>
          <w:tcPr>
            <w:tcW w:w="6640" w:type="dxa"/>
            <w:vAlign w:val="bottom"/>
          </w:tcPr>
          <w:p>
            <w:pPr>
              <w:ind w:left="260"/>
              <w:spacing w:after="0"/>
              <w:rPr>
                <w:sz w:val="20"/>
                <w:szCs w:val="20"/>
                <w:color w:val="auto"/>
              </w:rPr>
            </w:pPr>
            <w:r>
              <w:rPr>
                <w:rFonts w:ascii="Arial" w:cs="Arial" w:eastAsia="Arial" w:hAnsi="Arial"/>
                <w:sz w:val="15"/>
                <w:szCs w:val="15"/>
                <w:color w:val="auto"/>
              </w:rPr>
              <w:t>Accounts receivable - unbilled</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3,156</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2,880</w:t>
            </w:r>
          </w:p>
        </w:tc>
        <w:tc>
          <w:tcPr>
            <w:tcW w:w="100" w:type="dxa"/>
            <w:vAlign w:val="bottom"/>
          </w:tcPr>
          <w:p>
            <w:pPr>
              <w:spacing w:after="0"/>
              <w:rPr>
                <w:sz w:val="15"/>
                <w:szCs w:val="15"/>
                <w:color w:val="auto"/>
              </w:rPr>
            </w:pPr>
          </w:p>
        </w:tc>
      </w:tr>
      <w:tr>
        <w:trPr>
          <w:trHeight w:val="174"/>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Prepaid royalties, net of amortization</w:t>
            </w: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16,416</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13,596</w:t>
            </w:r>
          </w:p>
        </w:tc>
        <w:tc>
          <w:tcPr>
            <w:tcW w:w="100" w:type="dxa"/>
            <w:vAlign w:val="bottom"/>
            <w:shd w:val="clear" w:color="auto" w:fill="CFF0FC"/>
          </w:tcPr>
          <w:p>
            <w:pPr>
              <w:spacing w:after="0"/>
              <w:rPr>
                <w:sz w:val="15"/>
                <w:szCs w:val="15"/>
                <w:color w:val="auto"/>
              </w:rPr>
            </w:pPr>
          </w:p>
        </w:tc>
      </w:tr>
      <w:tr>
        <w:trPr>
          <w:trHeight w:val="174"/>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Other prepaid expenses and other current assets</w:t>
            </w:r>
          </w:p>
        </w:tc>
        <w:tc>
          <w:tcPr>
            <w:tcW w:w="11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19,806</w:t>
            </w:r>
          </w:p>
        </w:tc>
        <w:tc>
          <w:tcPr>
            <w:tcW w:w="3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18,016</w:t>
            </w:r>
          </w:p>
        </w:tc>
        <w:tc>
          <w:tcPr>
            <w:tcW w:w="100" w:type="dxa"/>
            <w:vAlign w:val="bottom"/>
            <w:tcBorders>
              <w:bottom w:val="single" w:sz="8" w:color="CFF0FC"/>
            </w:tcBorders>
          </w:tcPr>
          <w:p>
            <w:pPr>
              <w:spacing w:after="0"/>
              <w:rPr>
                <w:sz w:val="15"/>
                <w:szCs w:val="15"/>
                <w:color w:val="auto"/>
              </w:rPr>
            </w:pPr>
          </w:p>
        </w:tc>
      </w:tr>
      <w:tr>
        <w:trPr>
          <w:trHeight w:val="167"/>
        </w:trPr>
        <w:tc>
          <w:tcPr>
            <w:tcW w:w="6640" w:type="dxa"/>
            <w:vAlign w:val="bottom"/>
            <w:shd w:val="clear" w:color="auto" w:fill="CFF0FC"/>
          </w:tcPr>
          <w:p>
            <w:pPr>
              <w:ind w:left="500"/>
              <w:spacing w:after="0" w:line="167" w:lineRule="exact"/>
              <w:rPr>
                <w:sz w:val="20"/>
                <w:szCs w:val="20"/>
                <w:color w:val="auto"/>
              </w:rPr>
            </w:pPr>
            <w:r>
              <w:rPr>
                <w:rFonts w:ascii="Arial" w:cs="Arial" w:eastAsia="Arial" w:hAnsi="Arial"/>
                <w:sz w:val="15"/>
                <w:szCs w:val="15"/>
                <w:color w:val="auto"/>
              </w:rPr>
              <w:t>Total current assets</w:t>
            </w: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223,742</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241,434</w:t>
            </w:r>
          </w:p>
        </w:tc>
        <w:tc>
          <w:tcPr>
            <w:tcW w:w="100" w:type="dxa"/>
            <w:vAlign w:val="bottom"/>
            <w:shd w:val="clear" w:color="auto" w:fill="CFF0FC"/>
          </w:tcPr>
          <w:p>
            <w:pPr>
              <w:spacing w:after="0"/>
              <w:rPr>
                <w:sz w:val="14"/>
                <w:szCs w:val="14"/>
                <w:color w:val="auto"/>
              </w:rPr>
            </w:pPr>
          </w:p>
        </w:tc>
      </w:tr>
      <w:tr>
        <w:trPr>
          <w:trHeight w:val="174"/>
        </w:trPr>
        <w:tc>
          <w:tcPr>
            <w:tcW w:w="6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1"/>
        </w:trPr>
        <w:tc>
          <w:tcPr>
            <w:tcW w:w="6640" w:type="dxa"/>
            <w:vAlign w:val="bottom"/>
            <w:shd w:val="clear" w:color="auto" w:fill="CFF0FC"/>
          </w:tcPr>
          <w:p>
            <w:pPr>
              <w:spacing w:after="0" w:line="161" w:lineRule="exact"/>
              <w:rPr>
                <w:sz w:val="20"/>
                <w:szCs w:val="20"/>
                <w:color w:val="auto"/>
              </w:rPr>
            </w:pPr>
            <w:r>
              <w:rPr>
                <w:rFonts w:ascii="Arial" w:cs="Arial" w:eastAsia="Arial" w:hAnsi="Arial"/>
                <w:sz w:val="15"/>
                <w:szCs w:val="15"/>
                <w:color w:val="auto"/>
              </w:rPr>
              <w:t>Property and equipment, net of accumulated depreciation of $22,351 and</w:t>
            </w:r>
          </w:p>
        </w:tc>
        <w:tc>
          <w:tcPr>
            <w:tcW w:w="1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4"/>
        </w:trPr>
        <w:tc>
          <w:tcPr>
            <w:tcW w:w="66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$20,827 at March 31, 2019 and December 31, 2018, respectively</w:t>
            </w: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23,708</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15,866</w:t>
            </w:r>
          </w:p>
        </w:tc>
        <w:tc>
          <w:tcPr>
            <w:tcW w:w="100" w:type="dxa"/>
            <w:vAlign w:val="bottom"/>
            <w:shd w:val="clear" w:color="auto" w:fill="CFF0FC"/>
          </w:tcPr>
          <w:p>
            <w:pPr>
              <w:spacing w:after="0"/>
              <w:rPr>
                <w:sz w:val="15"/>
                <w:szCs w:val="15"/>
                <w:color w:val="auto"/>
              </w:rPr>
            </w:pPr>
          </w:p>
        </w:tc>
      </w:tr>
      <w:tr>
        <w:trPr>
          <w:trHeight w:val="161"/>
        </w:trPr>
        <w:tc>
          <w:tcPr>
            <w:tcW w:w="6640" w:type="dxa"/>
            <w:vAlign w:val="bottom"/>
          </w:tcPr>
          <w:p>
            <w:pPr>
              <w:spacing w:after="0" w:line="161" w:lineRule="exact"/>
              <w:rPr>
                <w:sz w:val="20"/>
                <w:szCs w:val="20"/>
                <w:color w:val="auto"/>
              </w:rPr>
            </w:pPr>
            <w:r>
              <w:rPr>
                <w:rFonts w:ascii="Arial" w:cs="Arial" w:eastAsia="Arial" w:hAnsi="Arial"/>
                <w:sz w:val="15"/>
                <w:szCs w:val="15"/>
                <w:color w:val="auto"/>
              </w:rPr>
              <w:t>Capitalized software development, net of accumulated amortization of $49,223 and</w:t>
            </w: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4"/>
        </w:trPr>
        <w:tc>
          <w:tcPr>
            <w:tcW w:w="6640" w:type="dxa"/>
            <w:vAlign w:val="bottom"/>
          </w:tcPr>
          <w:p>
            <w:pPr>
              <w:ind w:left="120"/>
              <w:spacing w:after="0"/>
              <w:rPr>
                <w:sz w:val="20"/>
                <w:szCs w:val="20"/>
                <w:color w:val="auto"/>
              </w:rPr>
            </w:pPr>
            <w:r>
              <w:rPr>
                <w:rFonts w:ascii="Arial" w:cs="Arial" w:eastAsia="Arial" w:hAnsi="Arial"/>
                <w:sz w:val="15"/>
                <w:szCs w:val="15"/>
                <w:color w:val="auto"/>
              </w:rPr>
              <w:t>$46,757 at March 31, 2019 and December 31, 2018, respectively</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20,425</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18,352</w:t>
            </w:r>
          </w:p>
        </w:tc>
        <w:tc>
          <w:tcPr>
            <w:tcW w:w="100" w:type="dxa"/>
            <w:vAlign w:val="bottom"/>
          </w:tcPr>
          <w:p>
            <w:pPr>
              <w:spacing w:after="0"/>
              <w:rPr>
                <w:sz w:val="15"/>
                <w:szCs w:val="15"/>
                <w:color w:val="auto"/>
              </w:rPr>
            </w:pPr>
          </w:p>
        </w:tc>
      </w:tr>
      <w:tr>
        <w:trPr>
          <w:trHeight w:val="174"/>
        </w:trPr>
        <w:tc>
          <w:tcPr>
            <w:tcW w:w="6640" w:type="dxa"/>
            <w:vAlign w:val="bottom"/>
            <w:shd w:val="clear" w:color="auto" w:fill="CFF0FC"/>
          </w:tcPr>
          <w:p>
            <w:pPr>
              <w:spacing w:after="0"/>
              <w:rPr>
                <w:sz w:val="20"/>
                <w:szCs w:val="20"/>
                <w:color w:val="auto"/>
              </w:rPr>
            </w:pPr>
            <w:r>
              <w:rPr>
                <w:rFonts w:ascii="Arial" w:cs="Arial" w:eastAsia="Arial" w:hAnsi="Arial"/>
                <w:sz w:val="15"/>
                <w:szCs w:val="15"/>
                <w:color w:val="auto"/>
              </w:rPr>
              <w:t>Operating lease right of use assets, net</w:t>
            </w: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31,710</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74"/>
        </w:trPr>
        <w:tc>
          <w:tcPr>
            <w:tcW w:w="6640" w:type="dxa"/>
            <w:vAlign w:val="bottom"/>
          </w:tcPr>
          <w:p>
            <w:pPr>
              <w:spacing w:after="0"/>
              <w:rPr>
                <w:sz w:val="20"/>
                <w:szCs w:val="20"/>
                <w:color w:val="auto"/>
              </w:rPr>
            </w:pPr>
            <w:r>
              <w:rPr>
                <w:rFonts w:ascii="Arial" w:cs="Arial" w:eastAsia="Arial" w:hAnsi="Arial"/>
                <w:sz w:val="15"/>
                <w:szCs w:val="15"/>
                <w:color w:val="auto"/>
              </w:rPr>
              <w:t>Goodwill</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95,252</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86,144</w:t>
            </w:r>
          </w:p>
        </w:tc>
        <w:tc>
          <w:tcPr>
            <w:tcW w:w="100" w:type="dxa"/>
            <w:vAlign w:val="bottom"/>
          </w:tcPr>
          <w:p>
            <w:pPr>
              <w:spacing w:after="0"/>
              <w:rPr>
                <w:sz w:val="15"/>
                <w:szCs w:val="15"/>
                <w:color w:val="auto"/>
              </w:rPr>
            </w:pPr>
          </w:p>
        </w:tc>
      </w:tr>
      <w:tr>
        <w:trPr>
          <w:trHeight w:val="161"/>
        </w:trPr>
        <w:tc>
          <w:tcPr>
            <w:tcW w:w="6640" w:type="dxa"/>
            <w:vAlign w:val="bottom"/>
            <w:shd w:val="clear" w:color="auto" w:fill="CFF0FC"/>
          </w:tcPr>
          <w:p>
            <w:pPr>
              <w:spacing w:after="0" w:line="161" w:lineRule="exact"/>
              <w:rPr>
                <w:sz w:val="20"/>
                <w:szCs w:val="20"/>
                <w:color w:val="auto"/>
              </w:rPr>
            </w:pPr>
            <w:r>
              <w:rPr>
                <w:rFonts w:ascii="Arial" w:cs="Arial" w:eastAsia="Arial" w:hAnsi="Arial"/>
                <w:sz w:val="15"/>
                <w:szCs w:val="15"/>
                <w:color w:val="auto"/>
              </w:rPr>
              <w:t>Customer-related intangibles, net of accumulated amortization of $24,952 and</w:t>
            </w:r>
          </w:p>
        </w:tc>
        <w:tc>
          <w:tcPr>
            <w:tcW w:w="1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4"/>
        </w:trPr>
        <w:tc>
          <w:tcPr>
            <w:tcW w:w="66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$23,245 at March 31, 2019 and December 31, 2018, respectively</w:t>
            </w: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57,263</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53,469</w:t>
            </w:r>
          </w:p>
        </w:tc>
        <w:tc>
          <w:tcPr>
            <w:tcW w:w="100" w:type="dxa"/>
            <w:vAlign w:val="bottom"/>
            <w:shd w:val="clear" w:color="auto" w:fill="CFF0FC"/>
          </w:tcPr>
          <w:p>
            <w:pPr>
              <w:spacing w:after="0"/>
              <w:rPr>
                <w:sz w:val="15"/>
                <w:szCs w:val="15"/>
                <w:color w:val="auto"/>
              </w:rPr>
            </w:pPr>
          </w:p>
        </w:tc>
      </w:tr>
      <w:tr>
        <w:trPr>
          <w:trHeight w:val="161"/>
        </w:trPr>
        <w:tc>
          <w:tcPr>
            <w:tcW w:w="6640" w:type="dxa"/>
            <w:vAlign w:val="bottom"/>
          </w:tcPr>
          <w:p>
            <w:pPr>
              <w:spacing w:after="0" w:line="161" w:lineRule="exact"/>
              <w:rPr>
                <w:sz w:val="20"/>
                <w:szCs w:val="20"/>
                <w:color w:val="auto"/>
              </w:rPr>
            </w:pPr>
            <w:r>
              <w:rPr>
                <w:rFonts w:ascii="Arial" w:cs="Arial" w:eastAsia="Arial" w:hAnsi="Arial"/>
                <w:sz w:val="15"/>
                <w:szCs w:val="15"/>
                <w:color w:val="auto"/>
              </w:rPr>
              <w:t>Other intangible assets, net of accumulated amortization of $10,505 and</w:t>
            </w: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4"/>
        </w:trPr>
        <w:tc>
          <w:tcPr>
            <w:tcW w:w="6640" w:type="dxa"/>
            <w:vAlign w:val="bottom"/>
          </w:tcPr>
          <w:p>
            <w:pPr>
              <w:ind w:left="120"/>
              <w:spacing w:after="0"/>
              <w:rPr>
                <w:sz w:val="20"/>
                <w:szCs w:val="20"/>
                <w:color w:val="auto"/>
              </w:rPr>
            </w:pPr>
            <w:r>
              <w:rPr>
                <w:rFonts w:ascii="Arial" w:cs="Arial" w:eastAsia="Arial" w:hAnsi="Arial"/>
                <w:sz w:val="15"/>
                <w:szCs w:val="15"/>
                <w:color w:val="auto"/>
              </w:rPr>
              <w:t>$9,663 at March 31, 2019 and December 31, 2018, respectively</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7,792</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5,909</w:t>
            </w:r>
          </w:p>
        </w:tc>
        <w:tc>
          <w:tcPr>
            <w:tcW w:w="100" w:type="dxa"/>
            <w:vAlign w:val="bottom"/>
          </w:tcPr>
          <w:p>
            <w:pPr>
              <w:spacing w:after="0"/>
              <w:rPr>
                <w:sz w:val="15"/>
                <w:szCs w:val="15"/>
                <w:color w:val="auto"/>
              </w:rPr>
            </w:pPr>
          </w:p>
        </w:tc>
      </w:tr>
      <w:tr>
        <w:trPr>
          <w:trHeight w:val="174"/>
        </w:trPr>
        <w:tc>
          <w:tcPr>
            <w:tcW w:w="6640" w:type="dxa"/>
            <w:vAlign w:val="bottom"/>
            <w:shd w:val="clear" w:color="auto" w:fill="CFF0FC"/>
          </w:tcPr>
          <w:p>
            <w:pPr>
              <w:spacing w:after="0"/>
              <w:rPr>
                <w:sz w:val="20"/>
                <w:szCs w:val="20"/>
                <w:color w:val="auto"/>
              </w:rPr>
            </w:pPr>
            <w:r>
              <w:rPr>
                <w:rFonts w:ascii="Arial" w:cs="Arial" w:eastAsia="Arial" w:hAnsi="Arial"/>
                <w:sz w:val="15"/>
                <w:szCs w:val="15"/>
                <w:color w:val="auto"/>
              </w:rPr>
              <w:t>Deferred tax assets</w:t>
            </w: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257</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145</w:t>
            </w:r>
          </w:p>
        </w:tc>
        <w:tc>
          <w:tcPr>
            <w:tcW w:w="100" w:type="dxa"/>
            <w:vAlign w:val="bottom"/>
            <w:shd w:val="clear" w:color="auto" w:fill="CFF0FC"/>
          </w:tcPr>
          <w:p>
            <w:pPr>
              <w:spacing w:after="0"/>
              <w:rPr>
                <w:sz w:val="15"/>
                <w:szCs w:val="15"/>
                <w:color w:val="auto"/>
              </w:rPr>
            </w:pPr>
          </w:p>
        </w:tc>
      </w:tr>
      <w:tr>
        <w:trPr>
          <w:trHeight w:val="174"/>
        </w:trPr>
        <w:tc>
          <w:tcPr>
            <w:tcW w:w="6640" w:type="dxa"/>
            <w:vAlign w:val="bottom"/>
          </w:tcPr>
          <w:p>
            <w:pPr>
              <w:spacing w:after="0"/>
              <w:rPr>
                <w:sz w:val="20"/>
                <w:szCs w:val="20"/>
                <w:color w:val="auto"/>
              </w:rPr>
            </w:pPr>
            <w:r>
              <w:rPr>
                <w:rFonts w:ascii="Arial" w:cs="Arial" w:eastAsia="Arial" w:hAnsi="Arial"/>
                <w:sz w:val="15"/>
                <w:szCs w:val="15"/>
                <w:color w:val="auto"/>
              </w:rPr>
              <w:t>Deferred commissions</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15,731</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16,470</w:t>
            </w:r>
          </w:p>
        </w:tc>
        <w:tc>
          <w:tcPr>
            <w:tcW w:w="100" w:type="dxa"/>
            <w:vAlign w:val="bottom"/>
          </w:tcPr>
          <w:p>
            <w:pPr>
              <w:spacing w:after="0"/>
              <w:rPr>
                <w:sz w:val="15"/>
                <w:szCs w:val="15"/>
                <w:color w:val="auto"/>
              </w:rPr>
            </w:pPr>
          </w:p>
        </w:tc>
      </w:tr>
      <w:tr>
        <w:trPr>
          <w:trHeight w:val="174"/>
        </w:trPr>
        <w:tc>
          <w:tcPr>
            <w:tcW w:w="6640" w:type="dxa"/>
            <w:vAlign w:val="bottom"/>
            <w:shd w:val="clear" w:color="auto" w:fill="CFF0FC"/>
          </w:tcPr>
          <w:p>
            <w:pPr>
              <w:spacing w:after="0"/>
              <w:rPr>
                <w:sz w:val="20"/>
                <w:szCs w:val="20"/>
                <w:color w:val="auto"/>
              </w:rPr>
            </w:pPr>
            <w:r>
              <w:rPr>
                <w:rFonts w:ascii="Arial" w:cs="Arial" w:eastAsia="Arial" w:hAnsi="Arial"/>
                <w:sz w:val="15"/>
                <w:szCs w:val="15"/>
                <w:color w:val="auto"/>
              </w:rPr>
              <w:t>Non-marketable equity investments</w:t>
            </w: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6,772</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3,376</w:t>
            </w:r>
          </w:p>
        </w:tc>
        <w:tc>
          <w:tcPr>
            <w:tcW w:w="100" w:type="dxa"/>
            <w:vAlign w:val="bottom"/>
            <w:shd w:val="clear" w:color="auto" w:fill="CFF0FC"/>
          </w:tcPr>
          <w:p>
            <w:pPr>
              <w:spacing w:after="0"/>
              <w:rPr>
                <w:sz w:val="15"/>
                <w:szCs w:val="15"/>
                <w:color w:val="auto"/>
              </w:rPr>
            </w:pPr>
          </w:p>
        </w:tc>
      </w:tr>
      <w:tr>
        <w:trPr>
          <w:trHeight w:val="174"/>
        </w:trPr>
        <w:tc>
          <w:tcPr>
            <w:tcW w:w="664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Other assets</w:t>
            </w:r>
          </w:p>
        </w:tc>
        <w:tc>
          <w:tcPr>
            <w:tcW w:w="11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848</w:t>
            </w:r>
          </w:p>
        </w:tc>
        <w:tc>
          <w:tcPr>
            <w:tcW w:w="3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783</w:t>
            </w:r>
          </w:p>
        </w:tc>
        <w:tc>
          <w:tcPr>
            <w:tcW w:w="100" w:type="dxa"/>
            <w:vAlign w:val="bottom"/>
            <w:tcBorders>
              <w:bottom w:val="single" w:sz="8" w:color="CFF0FC"/>
            </w:tcBorders>
          </w:tcPr>
          <w:p>
            <w:pPr>
              <w:spacing w:after="0"/>
              <w:rPr>
                <w:sz w:val="15"/>
                <w:szCs w:val="15"/>
                <w:color w:val="auto"/>
              </w:rPr>
            </w:pPr>
          </w:p>
        </w:tc>
      </w:tr>
      <w:tr>
        <w:trPr>
          <w:trHeight w:val="167"/>
        </w:trPr>
        <w:tc>
          <w:tcPr>
            <w:tcW w:w="6640" w:type="dxa"/>
            <w:vAlign w:val="bottom"/>
            <w:shd w:val="clear" w:color="auto" w:fill="CFF0FC"/>
          </w:tcPr>
          <w:p>
            <w:pPr>
              <w:ind w:left="500"/>
              <w:spacing w:after="0" w:line="167" w:lineRule="exact"/>
              <w:rPr>
                <w:sz w:val="20"/>
                <w:szCs w:val="20"/>
                <w:color w:val="auto"/>
              </w:rPr>
            </w:pPr>
            <w:r>
              <w:rPr>
                <w:rFonts w:ascii="Arial" w:cs="Arial" w:eastAsia="Arial" w:hAnsi="Arial"/>
                <w:sz w:val="15"/>
                <w:szCs w:val="15"/>
                <w:color w:val="auto"/>
              </w:rPr>
              <w:t>Total assets</w:t>
            </w:r>
          </w:p>
        </w:tc>
        <w:tc>
          <w:tcPr>
            <w:tcW w:w="1440" w:type="dxa"/>
            <w:vAlign w:val="bottom"/>
            <w:gridSpan w:val="2"/>
            <w:shd w:val="clear" w:color="auto" w:fill="CFF0FC"/>
          </w:tcPr>
          <w:p>
            <w:pPr>
              <w:jc w:val="right"/>
              <w:ind w:right="180"/>
              <w:spacing w:after="0" w:line="167" w:lineRule="exact"/>
              <w:rPr>
                <w:sz w:val="20"/>
                <w:szCs w:val="20"/>
                <w:color w:val="auto"/>
              </w:rPr>
            </w:pPr>
            <w:r>
              <w:rPr>
                <w:rFonts w:ascii="Arial" w:cs="Arial" w:eastAsia="Arial" w:hAnsi="Arial"/>
                <w:sz w:val="15"/>
                <w:szCs w:val="15"/>
                <w:color w:val="auto"/>
              </w:rPr>
              <w:t>$</w:t>
            </w:r>
          </w:p>
        </w:tc>
        <w:tc>
          <w:tcPr>
            <w:tcW w:w="13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483,500</w:t>
            </w:r>
          </w:p>
        </w:tc>
        <w:tc>
          <w:tcPr>
            <w:tcW w:w="500" w:type="dxa"/>
            <w:vAlign w:val="bottom"/>
            <w:gridSpan w:val="2"/>
            <w:shd w:val="clear" w:color="auto" w:fill="CFF0FC"/>
          </w:tcPr>
          <w:p>
            <w:pPr>
              <w:jc w:val="right"/>
              <w:ind w:right="120"/>
              <w:spacing w:after="0" w:line="167" w:lineRule="exact"/>
              <w:rPr>
                <w:sz w:val="20"/>
                <w:szCs w:val="20"/>
                <w:color w:val="auto"/>
              </w:rPr>
            </w:pPr>
            <w:r>
              <w:rPr>
                <w:rFonts w:ascii="Arial" w:cs="Arial" w:eastAsia="Arial" w:hAnsi="Arial"/>
                <w:sz w:val="15"/>
                <w:szCs w:val="15"/>
                <w:color w:val="auto"/>
              </w:rPr>
              <w:t>$</w:t>
            </w:r>
          </w:p>
        </w:tc>
        <w:tc>
          <w:tcPr>
            <w:tcW w:w="138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441,948</w:t>
            </w:r>
          </w:p>
        </w:tc>
        <w:tc>
          <w:tcPr>
            <w:tcW w:w="100" w:type="dxa"/>
            <w:vAlign w:val="bottom"/>
            <w:shd w:val="clear" w:color="auto" w:fill="CFF0FC"/>
          </w:tcPr>
          <w:p>
            <w:pPr>
              <w:spacing w:after="0"/>
              <w:rPr>
                <w:sz w:val="14"/>
                <w:szCs w:val="14"/>
                <w:color w:val="auto"/>
              </w:rPr>
            </w:pP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54"/>
        </w:trPr>
        <w:tc>
          <w:tcPr>
            <w:tcW w:w="66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4"/>
        </w:trPr>
        <w:tc>
          <w:tcPr>
            <w:tcW w:w="6640" w:type="dxa"/>
            <w:vAlign w:val="bottom"/>
            <w:shd w:val="clear" w:color="auto" w:fill="CFF0FC"/>
          </w:tcPr>
          <w:p>
            <w:pPr>
              <w:ind w:left="2160"/>
              <w:spacing w:after="0"/>
              <w:rPr>
                <w:sz w:val="20"/>
                <w:szCs w:val="20"/>
                <w:color w:val="auto"/>
              </w:rPr>
            </w:pPr>
            <w:r>
              <w:rPr>
                <w:rFonts w:ascii="Arial" w:cs="Arial" w:eastAsia="Arial" w:hAnsi="Arial"/>
                <w:sz w:val="15"/>
                <w:szCs w:val="15"/>
                <w:b w:val="1"/>
                <w:bCs w:val="1"/>
                <w:color w:val="auto"/>
              </w:rPr>
              <w:t>LIABILITIES AND SHAREHOLDERS’ EQUITY</w:t>
            </w: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4"/>
        </w:trPr>
        <w:tc>
          <w:tcPr>
            <w:tcW w:w="6640" w:type="dxa"/>
            <w:vAlign w:val="bottom"/>
          </w:tcPr>
          <w:p>
            <w:pPr>
              <w:spacing w:after="0"/>
              <w:rPr>
                <w:sz w:val="20"/>
                <w:szCs w:val="20"/>
                <w:color w:val="auto"/>
              </w:rPr>
            </w:pPr>
            <w:r>
              <w:rPr>
                <w:rFonts w:ascii="Arial" w:cs="Arial" w:eastAsia="Arial" w:hAnsi="Arial"/>
                <w:sz w:val="15"/>
                <w:szCs w:val="15"/>
                <w:color w:val="auto"/>
              </w:rPr>
              <w:t>Current liabilities:</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4"/>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Accounts payable and accrued expenses</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19,281</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25,037</w:t>
            </w:r>
          </w:p>
        </w:tc>
        <w:tc>
          <w:tcPr>
            <w:tcW w:w="100" w:type="dxa"/>
            <w:vAlign w:val="bottom"/>
            <w:shd w:val="clear" w:color="auto" w:fill="CFF0FC"/>
          </w:tcPr>
          <w:p>
            <w:pPr>
              <w:spacing w:after="0"/>
              <w:rPr>
                <w:sz w:val="15"/>
                <w:szCs w:val="15"/>
                <w:color w:val="auto"/>
              </w:rPr>
            </w:pPr>
          </w:p>
        </w:tc>
      </w:tr>
      <w:tr>
        <w:trPr>
          <w:trHeight w:val="174"/>
        </w:trPr>
        <w:tc>
          <w:tcPr>
            <w:tcW w:w="6640" w:type="dxa"/>
            <w:vAlign w:val="bottom"/>
          </w:tcPr>
          <w:p>
            <w:pPr>
              <w:ind w:left="260"/>
              <w:spacing w:after="0"/>
              <w:rPr>
                <w:sz w:val="20"/>
                <w:szCs w:val="20"/>
                <w:color w:val="auto"/>
              </w:rPr>
            </w:pPr>
            <w:r>
              <w:rPr>
                <w:rFonts w:ascii="Arial" w:cs="Arial" w:eastAsia="Arial" w:hAnsi="Arial"/>
                <w:sz w:val="15"/>
                <w:szCs w:val="15"/>
                <w:color w:val="auto"/>
              </w:rPr>
              <w:t>Accrued royalties</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19,099</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15,756</w:t>
            </w:r>
          </w:p>
        </w:tc>
        <w:tc>
          <w:tcPr>
            <w:tcW w:w="100" w:type="dxa"/>
            <w:vAlign w:val="bottom"/>
          </w:tcPr>
          <w:p>
            <w:pPr>
              <w:spacing w:after="0"/>
              <w:rPr>
                <w:sz w:val="15"/>
                <w:szCs w:val="15"/>
                <w:color w:val="auto"/>
              </w:rPr>
            </w:pPr>
          </w:p>
        </w:tc>
      </w:tr>
      <w:tr>
        <w:trPr>
          <w:trHeight w:val="174"/>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Deferred revenue</w:t>
            </w:r>
          </w:p>
        </w:tc>
        <w:tc>
          <w:tcPr>
            <w:tcW w:w="118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72,602</w:t>
            </w:r>
          </w:p>
        </w:tc>
        <w:tc>
          <w:tcPr>
            <w:tcW w:w="30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66,061</w:t>
            </w:r>
          </w:p>
        </w:tc>
        <w:tc>
          <w:tcPr>
            <w:tcW w:w="100" w:type="dxa"/>
            <w:vAlign w:val="bottom"/>
            <w:shd w:val="clear" w:color="auto" w:fill="CFF0FC"/>
          </w:tcPr>
          <w:p>
            <w:pPr>
              <w:spacing w:after="0"/>
              <w:rPr>
                <w:sz w:val="15"/>
                <w:szCs w:val="15"/>
                <w:color w:val="auto"/>
              </w:rPr>
            </w:pPr>
          </w:p>
        </w:tc>
      </w:tr>
      <w:tr>
        <w:trPr>
          <w:trHeight w:val="167"/>
        </w:trPr>
        <w:tc>
          <w:tcPr>
            <w:tcW w:w="6640" w:type="dxa"/>
            <w:vAlign w:val="bottom"/>
          </w:tcPr>
          <w:p>
            <w:pPr>
              <w:ind w:left="500"/>
              <w:spacing w:after="0" w:line="167" w:lineRule="exact"/>
              <w:rPr>
                <w:sz w:val="20"/>
                <w:szCs w:val="20"/>
                <w:color w:val="auto"/>
              </w:rPr>
            </w:pPr>
            <w:r>
              <w:rPr>
                <w:rFonts w:ascii="Arial" w:cs="Arial" w:eastAsia="Arial" w:hAnsi="Arial"/>
                <w:sz w:val="15"/>
                <w:szCs w:val="15"/>
                <w:color w:val="auto"/>
              </w:rPr>
              <w:t>Total current liabilities</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spacing w:after="0" w:line="167" w:lineRule="exact"/>
              <w:rPr>
                <w:sz w:val="20"/>
                <w:szCs w:val="20"/>
                <w:color w:val="auto"/>
              </w:rPr>
            </w:pPr>
            <w:r>
              <w:rPr>
                <w:rFonts w:ascii="Arial" w:cs="Arial" w:eastAsia="Arial" w:hAnsi="Arial"/>
                <w:sz w:val="15"/>
                <w:szCs w:val="15"/>
                <w:color w:val="auto"/>
              </w:rPr>
              <w:t>110,982</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line="167" w:lineRule="exact"/>
              <w:rPr>
                <w:sz w:val="20"/>
                <w:szCs w:val="20"/>
                <w:color w:val="auto"/>
              </w:rPr>
            </w:pPr>
            <w:r>
              <w:rPr>
                <w:rFonts w:ascii="Arial" w:cs="Arial" w:eastAsia="Arial" w:hAnsi="Arial"/>
                <w:sz w:val="15"/>
                <w:szCs w:val="15"/>
                <w:color w:val="auto"/>
              </w:rPr>
              <w:t>106,854</w:t>
            </w:r>
          </w:p>
        </w:tc>
        <w:tc>
          <w:tcPr>
            <w:tcW w:w="100" w:type="dxa"/>
            <w:vAlign w:val="bottom"/>
          </w:tcPr>
          <w:p>
            <w:pPr>
              <w:spacing w:after="0"/>
              <w:rPr>
                <w:sz w:val="14"/>
                <w:szCs w:val="14"/>
                <w:color w:val="auto"/>
              </w:rPr>
            </w:pPr>
          </w:p>
        </w:tc>
      </w:tr>
      <w:tr>
        <w:trPr>
          <w:trHeight w:val="174"/>
        </w:trPr>
        <w:tc>
          <w:tcPr>
            <w:tcW w:w="66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4"/>
        </w:trPr>
        <w:tc>
          <w:tcPr>
            <w:tcW w:w="6640" w:type="dxa"/>
            <w:vAlign w:val="bottom"/>
          </w:tcPr>
          <w:p>
            <w:pPr>
              <w:spacing w:after="0"/>
              <w:rPr>
                <w:sz w:val="20"/>
                <w:szCs w:val="20"/>
                <w:color w:val="auto"/>
              </w:rPr>
            </w:pPr>
            <w:r>
              <w:rPr>
                <w:rFonts w:ascii="Arial" w:cs="Arial" w:eastAsia="Arial" w:hAnsi="Arial"/>
                <w:sz w:val="15"/>
                <w:szCs w:val="15"/>
                <w:color w:val="auto"/>
              </w:rPr>
              <w:t>Deferred tax liabilities</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11,503</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11,068</w:t>
            </w:r>
          </w:p>
        </w:tc>
        <w:tc>
          <w:tcPr>
            <w:tcW w:w="100" w:type="dxa"/>
            <w:vAlign w:val="bottom"/>
          </w:tcPr>
          <w:p>
            <w:pPr>
              <w:spacing w:after="0"/>
              <w:rPr>
                <w:sz w:val="15"/>
                <w:szCs w:val="15"/>
                <w:color w:val="auto"/>
              </w:rPr>
            </w:pPr>
          </w:p>
        </w:tc>
      </w:tr>
      <w:tr>
        <w:trPr>
          <w:trHeight w:val="174"/>
        </w:trPr>
        <w:tc>
          <w:tcPr>
            <w:tcW w:w="6640" w:type="dxa"/>
            <w:vAlign w:val="bottom"/>
            <w:shd w:val="clear" w:color="auto" w:fill="CFF0FC"/>
          </w:tcPr>
          <w:p>
            <w:pPr>
              <w:spacing w:after="0"/>
              <w:rPr>
                <w:sz w:val="20"/>
                <w:szCs w:val="20"/>
                <w:color w:val="auto"/>
              </w:rPr>
            </w:pPr>
            <w:r>
              <w:rPr>
                <w:rFonts w:ascii="Arial" w:cs="Arial" w:eastAsia="Arial" w:hAnsi="Arial"/>
                <w:sz w:val="15"/>
                <w:szCs w:val="15"/>
                <w:color w:val="auto"/>
              </w:rPr>
              <w:t>Deferred revenue, noncurrent</w:t>
            </w: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2,868</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2,868</w:t>
            </w:r>
          </w:p>
        </w:tc>
        <w:tc>
          <w:tcPr>
            <w:tcW w:w="100" w:type="dxa"/>
            <w:vAlign w:val="bottom"/>
            <w:shd w:val="clear" w:color="auto" w:fill="CFF0FC"/>
          </w:tcPr>
          <w:p>
            <w:pPr>
              <w:spacing w:after="0"/>
              <w:rPr>
                <w:sz w:val="15"/>
                <w:szCs w:val="15"/>
                <w:color w:val="auto"/>
              </w:rPr>
            </w:pPr>
          </w:p>
        </w:tc>
      </w:tr>
      <w:tr>
        <w:trPr>
          <w:trHeight w:val="174"/>
        </w:trPr>
        <w:tc>
          <w:tcPr>
            <w:tcW w:w="6640" w:type="dxa"/>
            <w:vAlign w:val="bottom"/>
          </w:tcPr>
          <w:p>
            <w:pPr>
              <w:spacing w:after="0"/>
              <w:rPr>
                <w:sz w:val="20"/>
                <w:szCs w:val="20"/>
                <w:color w:val="auto"/>
              </w:rPr>
            </w:pPr>
            <w:r>
              <w:rPr>
                <w:rFonts w:ascii="Arial" w:cs="Arial" w:eastAsia="Arial" w:hAnsi="Arial"/>
                <w:sz w:val="15"/>
                <w:szCs w:val="15"/>
                <w:color w:val="auto"/>
              </w:rPr>
              <w:t>Operating lease liability, noncurrent</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32,390</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4"/>
        </w:trPr>
        <w:tc>
          <w:tcPr>
            <w:tcW w:w="6640" w:type="dxa"/>
            <w:vAlign w:val="bottom"/>
            <w:shd w:val="clear" w:color="auto" w:fill="CFF0FC"/>
          </w:tcPr>
          <w:p>
            <w:pPr>
              <w:spacing w:after="0"/>
              <w:rPr>
                <w:sz w:val="20"/>
                <w:szCs w:val="20"/>
                <w:color w:val="auto"/>
              </w:rPr>
            </w:pPr>
            <w:r>
              <w:rPr>
                <w:rFonts w:ascii="Arial" w:cs="Arial" w:eastAsia="Arial" w:hAnsi="Arial"/>
                <w:sz w:val="15"/>
                <w:szCs w:val="15"/>
                <w:color w:val="auto"/>
              </w:rPr>
              <w:t>Other long term liabilities</w:t>
            </w: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616</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2,211</w:t>
            </w:r>
          </w:p>
        </w:tc>
        <w:tc>
          <w:tcPr>
            <w:tcW w:w="100" w:type="dxa"/>
            <w:vAlign w:val="bottom"/>
            <w:shd w:val="clear" w:color="auto" w:fill="CFF0FC"/>
          </w:tcPr>
          <w:p>
            <w:pPr>
              <w:spacing w:after="0"/>
              <w:rPr>
                <w:sz w:val="15"/>
                <w:szCs w:val="15"/>
                <w:color w:val="auto"/>
              </w:rPr>
            </w:pPr>
          </w:p>
        </w:tc>
      </w:tr>
      <w:tr>
        <w:trPr>
          <w:trHeight w:val="174"/>
        </w:trPr>
        <w:tc>
          <w:tcPr>
            <w:tcW w:w="6640" w:type="dxa"/>
            <w:vAlign w:val="bottom"/>
          </w:tcPr>
          <w:p>
            <w:pPr>
              <w:spacing w:after="0"/>
              <w:rPr>
                <w:sz w:val="20"/>
                <w:szCs w:val="20"/>
                <w:color w:val="auto"/>
              </w:rPr>
            </w:pPr>
            <w:r>
              <w:rPr>
                <w:rFonts w:ascii="Arial" w:cs="Arial" w:eastAsia="Arial" w:hAnsi="Arial"/>
                <w:sz w:val="15"/>
                <w:szCs w:val="15"/>
                <w:color w:val="auto"/>
              </w:rPr>
              <w:t>Commitments and contingencies</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4"/>
        </w:trPr>
        <w:tc>
          <w:tcPr>
            <w:tcW w:w="66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4"/>
        </w:trPr>
        <w:tc>
          <w:tcPr>
            <w:tcW w:w="6640" w:type="dxa"/>
            <w:vAlign w:val="bottom"/>
          </w:tcPr>
          <w:p>
            <w:pPr>
              <w:spacing w:after="0"/>
              <w:rPr>
                <w:sz w:val="20"/>
                <w:szCs w:val="20"/>
                <w:color w:val="auto"/>
              </w:rPr>
            </w:pPr>
            <w:r>
              <w:rPr>
                <w:rFonts w:ascii="Arial" w:cs="Arial" w:eastAsia="Arial" w:hAnsi="Arial"/>
                <w:sz w:val="15"/>
                <w:szCs w:val="15"/>
                <w:color w:val="auto"/>
              </w:rPr>
              <w:t>Shareholders’ equity:</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1"/>
        </w:trPr>
        <w:tc>
          <w:tcPr>
            <w:tcW w:w="6640" w:type="dxa"/>
            <w:vAlign w:val="bottom"/>
            <w:shd w:val="clear" w:color="auto" w:fill="CFF0FC"/>
          </w:tcPr>
          <w:p>
            <w:pPr>
              <w:ind w:left="260"/>
              <w:spacing w:after="0" w:line="161" w:lineRule="exact"/>
              <w:rPr>
                <w:sz w:val="20"/>
                <w:szCs w:val="20"/>
                <w:color w:val="auto"/>
              </w:rPr>
            </w:pPr>
            <w:r>
              <w:rPr>
                <w:rFonts w:ascii="Arial" w:cs="Arial" w:eastAsia="Arial" w:hAnsi="Arial"/>
                <w:sz w:val="15"/>
                <w:szCs w:val="15"/>
                <w:color w:val="auto"/>
              </w:rPr>
              <w:t>Common stock, no par value, 75,000 shares authorized; 32,388 and 32,325 shares</w:t>
            </w:r>
          </w:p>
        </w:tc>
        <w:tc>
          <w:tcPr>
            <w:tcW w:w="1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4"/>
        </w:trPr>
        <w:tc>
          <w:tcPr>
            <w:tcW w:w="66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issued and outstanding at March 31, 2019 and December 31, 2018, respectively</w:t>
            </w: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286,785</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286,597</w:t>
            </w:r>
          </w:p>
        </w:tc>
        <w:tc>
          <w:tcPr>
            <w:tcW w:w="100" w:type="dxa"/>
            <w:vAlign w:val="bottom"/>
            <w:shd w:val="clear" w:color="auto" w:fill="CFF0FC"/>
          </w:tcPr>
          <w:p>
            <w:pPr>
              <w:spacing w:after="0"/>
              <w:rPr>
                <w:sz w:val="15"/>
                <w:szCs w:val="15"/>
                <w:color w:val="auto"/>
              </w:rPr>
            </w:pPr>
          </w:p>
        </w:tc>
      </w:tr>
      <w:tr>
        <w:trPr>
          <w:trHeight w:val="174"/>
        </w:trPr>
        <w:tc>
          <w:tcPr>
            <w:tcW w:w="6640" w:type="dxa"/>
            <w:vAlign w:val="bottom"/>
          </w:tcPr>
          <w:p>
            <w:pPr>
              <w:ind w:left="260"/>
              <w:spacing w:after="0"/>
              <w:rPr>
                <w:sz w:val="20"/>
                <w:szCs w:val="20"/>
                <w:color w:val="auto"/>
              </w:rPr>
            </w:pPr>
            <w:r>
              <w:rPr>
                <w:rFonts w:ascii="Arial" w:cs="Arial" w:eastAsia="Arial" w:hAnsi="Arial"/>
                <w:sz w:val="15"/>
                <w:szCs w:val="15"/>
                <w:color w:val="auto"/>
              </w:rPr>
              <w:t>Retained earnings</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38,347</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32,373</w:t>
            </w:r>
          </w:p>
        </w:tc>
        <w:tc>
          <w:tcPr>
            <w:tcW w:w="100" w:type="dxa"/>
            <w:vAlign w:val="bottom"/>
          </w:tcPr>
          <w:p>
            <w:pPr>
              <w:spacing w:after="0"/>
              <w:rPr>
                <w:sz w:val="15"/>
                <w:szCs w:val="15"/>
                <w:color w:val="auto"/>
              </w:rPr>
            </w:pPr>
          </w:p>
        </w:tc>
      </w:tr>
      <w:tr>
        <w:trPr>
          <w:trHeight w:val="174"/>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Accumulated other comprehensive income (loss)</w:t>
            </w: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(23)</w:t>
            </w:r>
          </w:p>
        </w:tc>
      </w:tr>
      <w:tr>
        <w:trPr>
          <w:trHeight w:val="167"/>
        </w:trPr>
        <w:tc>
          <w:tcPr>
            <w:tcW w:w="6640" w:type="dxa"/>
            <w:vAlign w:val="bottom"/>
            <w:tcBorders>
              <w:bottom w:val="single" w:sz="8" w:color="CFF0FC"/>
            </w:tcBorders>
          </w:tcPr>
          <w:p>
            <w:pPr>
              <w:ind w:left="500"/>
              <w:spacing w:after="0" w:line="167" w:lineRule="exact"/>
              <w:rPr>
                <w:sz w:val="20"/>
                <w:szCs w:val="20"/>
                <w:color w:val="auto"/>
              </w:rPr>
            </w:pPr>
            <w:r>
              <w:rPr>
                <w:rFonts w:ascii="Arial" w:cs="Arial" w:eastAsia="Arial" w:hAnsi="Arial"/>
                <w:sz w:val="15"/>
                <w:szCs w:val="15"/>
                <w:color w:val="auto"/>
              </w:rPr>
              <w:t>Total shareholders’ equity</w:t>
            </w:r>
          </w:p>
        </w:tc>
        <w:tc>
          <w:tcPr>
            <w:tcW w:w="1180" w:type="dxa"/>
            <w:vAlign w:val="bottom"/>
            <w:tcBorders>
              <w:bottom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325,141</w:t>
            </w:r>
          </w:p>
        </w:tc>
        <w:tc>
          <w:tcPr>
            <w:tcW w:w="30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318,947</w:t>
            </w:r>
          </w:p>
        </w:tc>
        <w:tc>
          <w:tcPr>
            <w:tcW w:w="100" w:type="dxa"/>
            <w:vAlign w:val="bottom"/>
            <w:tcBorders>
              <w:bottom w:val="single" w:sz="8" w:color="CFF0FC"/>
            </w:tcBorders>
          </w:tcPr>
          <w:p>
            <w:pPr>
              <w:spacing w:after="0"/>
              <w:rPr>
                <w:sz w:val="14"/>
                <w:szCs w:val="14"/>
                <w:color w:val="auto"/>
              </w:rPr>
            </w:pPr>
          </w:p>
        </w:tc>
      </w:tr>
      <w:tr>
        <w:trPr>
          <w:trHeight w:val="167"/>
        </w:trPr>
        <w:tc>
          <w:tcPr>
            <w:tcW w:w="6640" w:type="dxa"/>
            <w:vAlign w:val="bottom"/>
            <w:shd w:val="clear" w:color="auto" w:fill="CFF0FC"/>
          </w:tcPr>
          <w:p>
            <w:pPr>
              <w:ind w:left="500"/>
              <w:spacing w:after="0" w:line="167" w:lineRule="exact"/>
              <w:rPr>
                <w:sz w:val="20"/>
                <w:szCs w:val="20"/>
                <w:color w:val="auto"/>
              </w:rPr>
            </w:pPr>
            <w:r>
              <w:rPr>
                <w:rFonts w:ascii="Arial" w:cs="Arial" w:eastAsia="Arial" w:hAnsi="Arial"/>
                <w:sz w:val="15"/>
                <w:szCs w:val="15"/>
                <w:color w:val="auto"/>
              </w:rPr>
              <w:t>Total liabilities and shareholders’ equity</w:t>
            </w:r>
          </w:p>
        </w:tc>
        <w:tc>
          <w:tcPr>
            <w:tcW w:w="1440" w:type="dxa"/>
            <w:vAlign w:val="bottom"/>
            <w:gridSpan w:val="2"/>
            <w:shd w:val="clear" w:color="auto" w:fill="CFF0FC"/>
          </w:tcPr>
          <w:p>
            <w:pPr>
              <w:jc w:val="right"/>
              <w:ind w:right="180"/>
              <w:spacing w:after="0" w:line="167" w:lineRule="exact"/>
              <w:rPr>
                <w:sz w:val="20"/>
                <w:szCs w:val="20"/>
                <w:color w:val="auto"/>
              </w:rPr>
            </w:pPr>
            <w:r>
              <w:rPr>
                <w:rFonts w:ascii="Arial" w:cs="Arial" w:eastAsia="Arial" w:hAnsi="Arial"/>
                <w:sz w:val="15"/>
                <w:szCs w:val="15"/>
                <w:color w:val="auto"/>
              </w:rPr>
              <w:t>$</w:t>
            </w:r>
          </w:p>
        </w:tc>
        <w:tc>
          <w:tcPr>
            <w:tcW w:w="13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483,500</w:t>
            </w:r>
          </w:p>
        </w:tc>
        <w:tc>
          <w:tcPr>
            <w:tcW w:w="500" w:type="dxa"/>
            <w:vAlign w:val="bottom"/>
            <w:gridSpan w:val="2"/>
            <w:shd w:val="clear" w:color="auto" w:fill="CFF0FC"/>
          </w:tcPr>
          <w:p>
            <w:pPr>
              <w:jc w:val="right"/>
              <w:ind w:right="120"/>
              <w:spacing w:after="0" w:line="167" w:lineRule="exact"/>
              <w:rPr>
                <w:sz w:val="20"/>
                <w:szCs w:val="20"/>
                <w:color w:val="auto"/>
              </w:rPr>
            </w:pPr>
            <w:r>
              <w:rPr>
                <w:rFonts w:ascii="Arial" w:cs="Arial" w:eastAsia="Arial" w:hAnsi="Arial"/>
                <w:sz w:val="15"/>
                <w:szCs w:val="15"/>
                <w:color w:val="auto"/>
              </w:rPr>
              <w:t>$</w:t>
            </w:r>
          </w:p>
        </w:tc>
        <w:tc>
          <w:tcPr>
            <w:tcW w:w="138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441,948</w:t>
            </w:r>
          </w:p>
        </w:tc>
        <w:tc>
          <w:tcPr>
            <w:tcW w:w="100" w:type="dxa"/>
            <w:vAlign w:val="bottom"/>
            <w:shd w:val="clear" w:color="auto" w:fill="CFF0FC"/>
          </w:tcPr>
          <w:p>
            <w:pPr>
              <w:spacing w:after="0"/>
              <w:rPr>
                <w:sz w:val="14"/>
                <w:szCs w:val="14"/>
                <w:color w:val="auto"/>
              </w:rPr>
            </w:pP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accompanying notes to the unaudited condensed consolidated financial statements.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73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380"/>
          </w:cols>
          <w:pgMar w:left="240" w:top="349"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14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March 31,</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jc w:val="right"/>
              <w:ind w:right="432"/>
              <w:spacing w:after="0" w:line="131" w:lineRule="exact"/>
              <w:rPr>
                <w:sz w:val="20"/>
                <w:szCs w:val="20"/>
                <w:color w:val="auto"/>
              </w:rPr>
            </w:pPr>
            <w:r>
              <w:rPr>
                <w:rFonts w:ascii="Arial" w:cs="Arial" w:eastAsia="Arial" w:hAnsi="Arial"/>
                <w:sz w:val="14"/>
                <w:szCs w:val="14"/>
                <w:b w:val="1"/>
                <w:bCs w:val="1"/>
                <w:color w:val="auto"/>
                <w:w w:val="92"/>
              </w:rPr>
              <w:t>March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60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ind w:right="5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 net</w:t>
            </w:r>
          </w:p>
        </w:tc>
        <w:tc>
          <w:tcPr>
            <w:tcW w:w="14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5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65,187</w:t>
            </w:r>
          </w:p>
        </w:tc>
        <w:tc>
          <w:tcPr>
            <w:tcW w:w="2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4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54,858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revenues (excluding depreciation and amortization)</w:t>
            </w:r>
          </w:p>
        </w:tc>
        <w:tc>
          <w:tcPr>
            <w:tcW w:w="1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26,861</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40" w:type="dxa"/>
            <w:vAlign w:val="bottom"/>
          </w:tcPr>
          <w:p>
            <w:pPr>
              <w:ind w:left="240"/>
              <w:spacing w:after="0"/>
              <w:rPr>
                <w:sz w:val="20"/>
                <w:szCs w:val="20"/>
                <w:color w:val="auto"/>
              </w:rPr>
            </w:pPr>
            <w:r>
              <w:rPr>
                <w:rFonts w:ascii="Arial" w:cs="Arial" w:eastAsia="Arial" w:hAnsi="Arial"/>
                <w:sz w:val="18"/>
                <w:szCs w:val="18"/>
                <w:color w:val="auto"/>
              </w:rPr>
              <w:t>Product development</w:t>
            </w: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6,927</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and marketing</w:t>
            </w:r>
          </w:p>
        </w:tc>
        <w:tc>
          <w:tcPr>
            <w:tcW w:w="1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9,521</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40" w:type="dxa"/>
            <w:vAlign w:val="bottom"/>
          </w:tcPr>
          <w:p>
            <w:pPr>
              <w:ind w:left="240"/>
              <w:spacing w:after="0"/>
              <w:rPr>
                <w:sz w:val="20"/>
                <w:szCs w:val="20"/>
                <w:color w:val="auto"/>
              </w:rPr>
            </w:pPr>
            <w:r>
              <w:rPr>
                <w:rFonts w:ascii="Arial" w:cs="Arial" w:eastAsia="Arial" w:hAnsi="Arial"/>
                <w:sz w:val="18"/>
                <w:szCs w:val="18"/>
                <w:color w:val="auto"/>
              </w:rPr>
              <w:t>Other general and administrative expenses</w:t>
            </w: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9,970</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46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6,539</w:t>
            </w:r>
          </w:p>
        </w:tc>
        <w:tc>
          <w:tcPr>
            <w:tcW w:w="2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40" w:type="dxa"/>
            <w:vAlign w:val="bottom"/>
          </w:tcPr>
          <w:p>
            <w:pPr>
              <w:ind w:left="480"/>
              <w:spacing w:after="0"/>
              <w:rPr>
                <w:sz w:val="20"/>
                <w:szCs w:val="20"/>
                <w:color w:val="auto"/>
              </w:rPr>
            </w:pPr>
            <w:r>
              <w:rPr>
                <w:rFonts w:ascii="Arial" w:cs="Arial" w:eastAsia="Arial" w:hAnsi="Arial"/>
                <w:sz w:val="18"/>
                <w:szCs w:val="18"/>
                <w:color w:val="auto"/>
              </w:rPr>
              <w:t>Total operating costs and expenses</w:t>
            </w: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59,818</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51,128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6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Operating income</w:t>
            </w: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5,369</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6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146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2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6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Income from continuing operations before income tax provision</w:t>
            </w: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6,191</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146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1,411</w:t>
            </w:r>
          </w:p>
        </w:tc>
        <w:tc>
          <w:tcPr>
            <w:tcW w:w="2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40" w:type="dxa"/>
            <w:vAlign w:val="bottom"/>
          </w:tcPr>
          <w:p>
            <w:pPr>
              <w:ind w:left="240"/>
              <w:spacing w:after="0"/>
              <w:rPr>
                <w:sz w:val="20"/>
                <w:szCs w:val="20"/>
                <w:color w:val="auto"/>
              </w:rPr>
            </w:pPr>
            <w:r>
              <w:rPr>
                <w:rFonts w:ascii="Arial" w:cs="Arial" w:eastAsia="Arial" w:hAnsi="Arial"/>
                <w:sz w:val="18"/>
                <w:szCs w:val="18"/>
                <w:color w:val="auto"/>
              </w:rPr>
              <w:t>Income from continuing operations</w:t>
            </w: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4,780</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Discontinued operations:</w:t>
            </w:r>
          </w:p>
        </w:tc>
        <w:tc>
          <w:tcPr>
            <w:tcW w:w="1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40" w:type="dxa"/>
            <w:vAlign w:val="bottom"/>
          </w:tcPr>
          <w:p>
            <w:pPr>
              <w:ind w:left="240"/>
              <w:spacing w:after="0"/>
              <w:rPr>
                <w:sz w:val="20"/>
                <w:szCs w:val="20"/>
                <w:color w:val="auto"/>
              </w:rPr>
            </w:pPr>
            <w:r>
              <w:rPr>
                <w:rFonts w:ascii="Arial" w:cs="Arial" w:eastAsia="Arial" w:hAnsi="Arial"/>
                <w:sz w:val="18"/>
                <w:szCs w:val="18"/>
                <w:color w:val="auto"/>
              </w:rPr>
              <w:t>Loss from discontinued operations before income tax provision</w:t>
            </w: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sale of discontinued operations</w:t>
            </w:r>
          </w:p>
        </w:tc>
        <w:tc>
          <w:tcPr>
            <w:tcW w:w="1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Income tax provision</w:t>
            </w:r>
          </w:p>
        </w:tc>
        <w:tc>
          <w:tcPr>
            <w:tcW w:w="146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2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from discontinued operations</w:t>
            </w:r>
          </w:p>
        </w:tc>
        <w:tc>
          <w:tcPr>
            <w:tcW w:w="146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w:t>
            </w:r>
          </w:p>
        </w:tc>
        <w:tc>
          <w:tcPr>
            <w:tcW w:w="2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2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60" w:type="dxa"/>
            <w:vAlign w:val="bottom"/>
          </w:tcPr>
          <w:p>
            <w:pPr>
              <w:spacing w:after="0"/>
              <w:rPr>
                <w:sz w:val="22"/>
                <w:szCs w:val="22"/>
                <w:color w:val="auto"/>
              </w:rPr>
            </w:pPr>
          </w:p>
        </w:tc>
        <w:tc>
          <w:tcPr>
            <w:tcW w:w="1140" w:type="dxa"/>
            <w:vAlign w:val="bottom"/>
            <w:tcBorders>
              <w:bottom w:val="single" w:sz="8" w:color="auto"/>
            </w:tcBorders>
          </w:tcPr>
          <w:p>
            <w:pPr>
              <w:jc w:val="right"/>
              <w:ind w:right="95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5,974</w:t>
            </w:r>
          </w:p>
        </w:tc>
        <w:tc>
          <w:tcPr>
            <w:tcW w:w="280" w:type="dxa"/>
            <w:vAlign w:val="bottom"/>
          </w:tcPr>
          <w:p>
            <w:pPr>
              <w:spacing w:after="0"/>
              <w:rPr>
                <w:sz w:val="22"/>
                <w:szCs w:val="22"/>
                <w:color w:val="auto"/>
              </w:rPr>
            </w:pP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624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Continuing operations</w:t>
            </w:r>
          </w:p>
        </w:tc>
        <w:tc>
          <w:tcPr>
            <w:tcW w:w="2600" w:type="dxa"/>
            <w:vAlign w:val="bottom"/>
            <w:gridSpan w:val="2"/>
            <w:shd w:val="clear" w:color="auto" w:fill="CFF0FC"/>
          </w:tcPr>
          <w:p>
            <w:pPr>
              <w:jc w:val="right"/>
              <w:ind w:right="954"/>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780" w:type="dxa"/>
            <w:vAlign w:val="bottom"/>
            <w:gridSpan w:val="2"/>
            <w:shd w:val="clear" w:color="auto" w:fill="CFF0FC"/>
          </w:tcPr>
          <w:p>
            <w:pPr>
              <w:jc w:val="right"/>
              <w:ind w:right="348"/>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Discontinued operations</w:t>
            </w:r>
          </w:p>
        </w:tc>
        <w:tc>
          <w:tcPr>
            <w:tcW w:w="146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per share - basic</w:t>
            </w:r>
          </w:p>
        </w:tc>
        <w:tc>
          <w:tcPr>
            <w:tcW w:w="14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5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 - diluted:</w:t>
            </w:r>
          </w:p>
        </w:tc>
        <w:tc>
          <w:tcPr>
            <w:tcW w:w="1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40" w:type="dxa"/>
            <w:vAlign w:val="bottom"/>
          </w:tcPr>
          <w:p>
            <w:pPr>
              <w:ind w:left="240"/>
              <w:spacing w:after="0"/>
              <w:rPr>
                <w:sz w:val="20"/>
                <w:szCs w:val="20"/>
                <w:color w:val="auto"/>
              </w:rPr>
            </w:pPr>
            <w:r>
              <w:rPr>
                <w:rFonts w:ascii="Arial" w:cs="Arial" w:eastAsia="Arial" w:hAnsi="Arial"/>
                <w:sz w:val="18"/>
                <w:szCs w:val="18"/>
                <w:color w:val="auto"/>
              </w:rPr>
              <w:t>Continuing operations</w:t>
            </w:r>
          </w:p>
        </w:tc>
        <w:tc>
          <w:tcPr>
            <w:tcW w:w="2600" w:type="dxa"/>
            <w:vAlign w:val="bottom"/>
            <w:gridSpan w:val="2"/>
          </w:tcPr>
          <w:p>
            <w:pPr>
              <w:jc w:val="right"/>
              <w:ind w:right="954"/>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0.15</w:t>
            </w:r>
          </w:p>
        </w:tc>
        <w:tc>
          <w:tcPr>
            <w:tcW w:w="78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Discontinued operations</w:t>
            </w:r>
          </w:p>
        </w:tc>
        <w:tc>
          <w:tcPr>
            <w:tcW w:w="146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260" w:type="dxa"/>
            <w:vAlign w:val="bottom"/>
            <w:gridSpan w:val="2"/>
          </w:tcPr>
          <w:p>
            <w:pPr>
              <w:spacing w:after="0"/>
              <w:rPr>
                <w:sz w:val="20"/>
                <w:szCs w:val="20"/>
                <w:color w:val="auto"/>
              </w:rPr>
            </w:pPr>
            <w:r>
              <w:rPr>
                <w:rFonts w:ascii="Arial" w:cs="Arial" w:eastAsia="Arial" w:hAnsi="Arial"/>
                <w:sz w:val="18"/>
                <w:szCs w:val="18"/>
                <w:color w:val="auto"/>
              </w:rPr>
              <w:t>Net income per share - diluted</w:t>
            </w:r>
          </w:p>
        </w:tc>
        <w:tc>
          <w:tcPr>
            <w:tcW w:w="1460" w:type="dxa"/>
            <w:vAlign w:val="bottom"/>
          </w:tcPr>
          <w:p>
            <w:pPr>
              <w:spacing w:after="0"/>
              <w:rPr>
                <w:sz w:val="22"/>
                <w:szCs w:val="22"/>
                <w:color w:val="auto"/>
              </w:rPr>
            </w:pPr>
          </w:p>
        </w:tc>
        <w:tc>
          <w:tcPr>
            <w:tcW w:w="1140" w:type="dxa"/>
            <w:vAlign w:val="bottom"/>
            <w:tcBorders>
              <w:bottom w:val="single" w:sz="8" w:color="auto"/>
            </w:tcBorders>
          </w:tcPr>
          <w:p>
            <w:pPr>
              <w:jc w:val="right"/>
              <w:ind w:right="95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280" w:type="dxa"/>
            <w:vAlign w:val="bottom"/>
          </w:tcPr>
          <w:p>
            <w:pPr>
              <w:spacing w:after="0"/>
              <w:rPr>
                <w:sz w:val="22"/>
                <w:szCs w:val="22"/>
                <w:color w:val="auto"/>
              </w:rPr>
            </w:pP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4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Weighted average shares of common stock outstanding:</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8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32,337</w:t>
            </w:r>
          </w:p>
        </w:tc>
        <w:tc>
          <w:tcPr>
            <w:tcW w:w="2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32,097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28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900" w:type="dxa"/>
            <w:vAlign w:val="bottom"/>
            <w:tcBorders>
              <w:bottom w:val="single" w:sz="8" w:color="CFF0FC"/>
            </w:tcBorders>
            <w:vMerge w:val="continue"/>
          </w:tcPr>
          <w:p>
            <w:pPr>
              <w:spacing w:after="0"/>
              <w:rPr>
                <w:sz w:val="21"/>
                <w:szCs w:val="21"/>
                <w:color w:val="auto"/>
              </w:rPr>
            </w:pPr>
          </w:p>
        </w:tc>
        <w:tc>
          <w:tcPr>
            <w:tcW w:w="2820" w:type="dxa"/>
            <w:vAlign w:val="bottom"/>
            <w:tcBorders>
              <w:bottom w:val="single" w:sz="8" w:color="CFF0FC"/>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32,377</w:t>
            </w:r>
          </w:p>
        </w:tc>
        <w:tc>
          <w:tcPr>
            <w:tcW w:w="280" w:type="dxa"/>
            <w:vAlign w:val="bottom"/>
            <w:tcBorders>
              <w:bottom w:val="single" w:sz="8" w:color="CFF0FC"/>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Dividends declared per share</w:t>
            </w:r>
          </w:p>
        </w:tc>
        <w:tc>
          <w:tcPr>
            <w:tcW w:w="28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4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46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73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0"/>
              </w:rPr>
              <w:t>Three Months Ended</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2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tcPr>
          <w:p>
            <w:pPr>
              <w:jc w:val="right"/>
              <w:ind w:right="437"/>
              <w:spacing w:after="0" w:line="131" w:lineRule="exact"/>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34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ind w:right="61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20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106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5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net of taxes:</w:t>
            </w:r>
          </w:p>
        </w:tc>
        <w:tc>
          <w:tcPr>
            <w:tcW w:w="2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Unrealized gain on marketable securities</w:t>
            </w:r>
          </w:p>
        </w:tc>
        <w:tc>
          <w:tcPr>
            <w:tcW w:w="220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Total other comprehensive income</w:t>
            </w:r>
          </w:p>
        </w:tc>
        <w:tc>
          <w:tcPr>
            <w:tcW w:w="220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3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200" w:type="dxa"/>
            <w:vAlign w:val="bottom"/>
          </w:tcPr>
          <w:p>
            <w:pPr>
              <w:spacing w:after="0"/>
              <w:rPr>
                <w:sz w:val="19"/>
                <w:szCs w:val="19"/>
                <w:color w:val="auto"/>
              </w:rPr>
            </w:pPr>
          </w:p>
        </w:tc>
        <w:tc>
          <w:tcPr>
            <w:tcW w:w="122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73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 (UNAUDITED)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w w:val="94"/>
              </w:rPr>
              <w:t>Three Months Ended March 31, 2019</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340"/>
              <w:spacing w:after="0" w:line="131" w:lineRule="exact"/>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7"/>
        </w:trPr>
        <w:tc>
          <w:tcPr>
            <w:tcW w:w="5020" w:type="dxa"/>
            <w:vAlign w:val="bottom"/>
          </w:tcPr>
          <w:p>
            <w:pPr>
              <w:spacing w:after="0"/>
              <w:rPr>
                <w:sz w:val="12"/>
                <w:szCs w:val="12"/>
                <w:color w:val="auto"/>
              </w:rPr>
            </w:pPr>
          </w:p>
        </w:tc>
        <w:tc>
          <w:tcPr>
            <w:tcW w:w="2600" w:type="dxa"/>
            <w:vAlign w:val="bottom"/>
            <w:gridSpan w:val="5"/>
            <w:vMerge w:val="restart"/>
          </w:tcPr>
          <w:p>
            <w:pPr>
              <w:jc w:val="right"/>
              <w:ind w:right="9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Retained</w:t>
            </w:r>
          </w:p>
        </w:tc>
        <w:tc>
          <w:tcPr>
            <w:tcW w:w="100" w:type="dxa"/>
            <w:vAlign w:val="bottom"/>
          </w:tcPr>
          <w:p>
            <w:pPr>
              <w:spacing w:after="0"/>
              <w:rPr>
                <w:sz w:val="12"/>
                <w:szCs w:val="12"/>
                <w:color w:val="auto"/>
              </w:rPr>
            </w:pPr>
          </w:p>
        </w:tc>
        <w:tc>
          <w:tcPr>
            <w:tcW w:w="122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020" w:type="dxa"/>
            <w:vAlign w:val="bottom"/>
          </w:tcPr>
          <w:p>
            <w:pPr>
              <w:spacing w:after="0"/>
              <w:rPr>
                <w:sz w:val="14"/>
                <w:szCs w:val="14"/>
                <w:color w:val="auto"/>
              </w:rPr>
            </w:pPr>
          </w:p>
        </w:tc>
        <w:tc>
          <w:tcPr>
            <w:tcW w:w="26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Comprehensive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54"/>
        </w:trPr>
        <w:tc>
          <w:tcPr>
            <w:tcW w:w="5020" w:type="dxa"/>
            <w:vAlign w:val="bottom"/>
            <w:vMerge w:val="restart"/>
          </w:tcPr>
          <w:p>
            <w:pPr>
              <w:spacing w:after="0"/>
              <w:rPr>
                <w:sz w:val="20"/>
                <w:szCs w:val="20"/>
                <w:color w:val="auto"/>
              </w:rPr>
            </w:pPr>
            <w:r>
              <w:rPr>
                <w:rFonts w:ascii="Arial" w:cs="Arial" w:eastAsia="Arial" w:hAnsi="Arial"/>
                <w:sz w:val="18"/>
                <w:szCs w:val="18"/>
                <w:color w:val="auto"/>
              </w:rPr>
              <w:t>Balance at December 31, 2018</w:t>
            </w:r>
          </w:p>
        </w:tc>
        <w:tc>
          <w:tcPr>
            <w:tcW w:w="1080" w:type="dxa"/>
            <w:vAlign w:val="bottom"/>
            <w:tcBorders>
              <w:top w:val="single" w:sz="8" w:color="auto"/>
            </w:tcBorders>
          </w:tcPr>
          <w:p>
            <w:pPr>
              <w:jc w:val="right"/>
              <w:ind w:right="255"/>
              <w:spacing w:after="0" w:line="154"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15"/>
              <w:spacing w:after="0" w:line="154"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420"/>
              <w:spacing w:after="0" w:line="154" w:lineRule="exact"/>
              <w:rPr>
                <w:sz w:val="20"/>
                <w:szCs w:val="20"/>
                <w:color w:val="auto"/>
              </w:rPr>
            </w:pPr>
            <w:r>
              <w:rPr>
                <w:rFonts w:ascii="Arial" w:cs="Arial" w:eastAsia="Arial" w:hAnsi="Arial"/>
                <w:sz w:val="14"/>
                <w:szCs w:val="14"/>
                <w:b w:val="1"/>
                <w:bCs w:val="1"/>
                <w:color w:val="auto"/>
                <w:w w:val="90"/>
              </w:rPr>
              <w:t>Earnings</w:t>
            </w:r>
          </w:p>
        </w:tc>
        <w:tc>
          <w:tcPr>
            <w:tcW w:w="100" w:type="dxa"/>
            <w:vAlign w:val="bottom"/>
          </w:tcPr>
          <w:p>
            <w:pPr>
              <w:spacing w:after="0"/>
              <w:rPr>
                <w:sz w:val="13"/>
                <w:szCs w:val="13"/>
                <w:color w:val="auto"/>
              </w:rPr>
            </w:pPr>
          </w:p>
        </w:tc>
        <w:tc>
          <w:tcPr>
            <w:tcW w:w="122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w w:val="90"/>
              </w:rPr>
              <w:t>Income (Loss)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2"/>
          </w:tcPr>
          <w:p>
            <w:pPr>
              <w:jc w:val="center"/>
              <w:ind w:right="200"/>
              <w:spacing w:after="0" w:line="154"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0"/>
        </w:trPr>
        <w:tc>
          <w:tcPr>
            <w:tcW w:w="5020" w:type="dxa"/>
            <w:vAlign w:val="bottom"/>
            <w:vMerge w:val="continue"/>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32,325</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286,597</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32,373</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20" w:type="dxa"/>
            <w:vAlign w:val="bottom"/>
          </w:tcPr>
          <w:p>
            <w:pPr>
              <w:spacing w:after="0"/>
              <w:rPr>
                <w:sz w:val="20"/>
                <w:szCs w:val="20"/>
                <w:color w:val="auto"/>
              </w:rPr>
            </w:pPr>
            <w:r>
              <w:rPr>
                <w:rFonts w:ascii="Arial" w:cs="Arial" w:eastAsia="Arial" w:hAnsi="Arial"/>
                <w:sz w:val="18"/>
                <w:szCs w:val="18"/>
                <w:color w:val="auto"/>
              </w:rPr>
              <w:t>Comprehensive income</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20"/>
                <w:szCs w:val="20"/>
                <w:color w:val="auto"/>
              </w:rPr>
            </w:pPr>
            <w:r>
              <w:rPr>
                <w:rFonts w:ascii="Arial" w:cs="Arial" w:eastAsia="Arial" w:hAnsi="Arial"/>
                <w:sz w:val="18"/>
                <w:szCs w:val="18"/>
                <w:color w:val="auto"/>
              </w:rPr>
              <w:t>Common stock issued under stock plans,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20" w:type="dxa"/>
            <w:vAlign w:val="bottom"/>
          </w:tcPr>
          <w:p>
            <w:pPr>
              <w:ind w:left="180"/>
              <w:spacing w:after="0"/>
              <w:rPr>
                <w:sz w:val="20"/>
                <w:szCs w:val="20"/>
                <w:color w:val="auto"/>
              </w:rPr>
            </w:pPr>
            <w:r>
              <w:rPr>
                <w:rFonts w:ascii="Arial" w:cs="Arial" w:eastAsia="Arial" w:hAnsi="Arial"/>
                <w:sz w:val="18"/>
                <w:szCs w:val="18"/>
                <w:color w:val="auto"/>
              </w:rPr>
              <w:t>net of shares withheld for employee taxes</w:t>
            </w: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(328)</w:t>
            </w:r>
          </w:p>
        </w:tc>
        <w:tc>
          <w:tcPr>
            <w:tcW w:w="1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1"/>
        </w:trPr>
        <w:tc>
          <w:tcPr>
            <w:tcW w:w="5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2019</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32,388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286,785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325,141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6"/>
        </w:trPr>
        <w:tc>
          <w:tcPr>
            <w:tcW w:w="50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w w:val="94"/>
              </w:rPr>
              <w:t>Three Months Ended March 31, 2018</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340"/>
              <w:spacing w:after="0" w:line="131" w:lineRule="exact"/>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7"/>
        </w:trPr>
        <w:tc>
          <w:tcPr>
            <w:tcW w:w="5020" w:type="dxa"/>
            <w:vAlign w:val="bottom"/>
          </w:tcPr>
          <w:p>
            <w:pPr>
              <w:spacing w:after="0"/>
              <w:rPr>
                <w:sz w:val="12"/>
                <w:szCs w:val="12"/>
                <w:color w:val="auto"/>
              </w:rPr>
            </w:pPr>
          </w:p>
        </w:tc>
        <w:tc>
          <w:tcPr>
            <w:tcW w:w="2600" w:type="dxa"/>
            <w:vAlign w:val="bottom"/>
            <w:gridSpan w:val="5"/>
            <w:vMerge w:val="restart"/>
          </w:tcPr>
          <w:p>
            <w:pPr>
              <w:jc w:val="right"/>
              <w:ind w:right="9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Retained</w:t>
            </w:r>
          </w:p>
        </w:tc>
        <w:tc>
          <w:tcPr>
            <w:tcW w:w="100" w:type="dxa"/>
            <w:vAlign w:val="bottom"/>
          </w:tcPr>
          <w:p>
            <w:pPr>
              <w:spacing w:after="0"/>
              <w:rPr>
                <w:sz w:val="12"/>
                <w:szCs w:val="12"/>
                <w:color w:val="auto"/>
              </w:rPr>
            </w:pPr>
          </w:p>
        </w:tc>
        <w:tc>
          <w:tcPr>
            <w:tcW w:w="122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020" w:type="dxa"/>
            <w:vAlign w:val="bottom"/>
          </w:tcPr>
          <w:p>
            <w:pPr>
              <w:spacing w:after="0"/>
              <w:rPr>
                <w:sz w:val="14"/>
                <w:szCs w:val="14"/>
                <w:color w:val="auto"/>
              </w:rPr>
            </w:pPr>
          </w:p>
        </w:tc>
        <w:tc>
          <w:tcPr>
            <w:tcW w:w="26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Comprehensive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54"/>
        </w:trPr>
        <w:tc>
          <w:tcPr>
            <w:tcW w:w="5020" w:type="dxa"/>
            <w:vAlign w:val="bottom"/>
          </w:tcPr>
          <w:p>
            <w:pPr>
              <w:spacing w:after="0"/>
              <w:rPr>
                <w:sz w:val="13"/>
                <w:szCs w:val="13"/>
                <w:color w:val="auto"/>
              </w:rPr>
            </w:pPr>
          </w:p>
        </w:tc>
        <w:tc>
          <w:tcPr>
            <w:tcW w:w="1080" w:type="dxa"/>
            <w:vAlign w:val="bottom"/>
            <w:tcBorders>
              <w:top w:val="single" w:sz="8" w:color="auto"/>
            </w:tcBorders>
          </w:tcPr>
          <w:p>
            <w:pPr>
              <w:jc w:val="right"/>
              <w:ind w:right="255"/>
              <w:spacing w:after="0" w:line="154"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15"/>
              <w:spacing w:after="0" w:line="154"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420"/>
              <w:spacing w:after="0" w:line="154" w:lineRule="exact"/>
              <w:rPr>
                <w:sz w:val="20"/>
                <w:szCs w:val="20"/>
                <w:color w:val="auto"/>
              </w:rPr>
            </w:pPr>
            <w:r>
              <w:rPr>
                <w:rFonts w:ascii="Arial" w:cs="Arial" w:eastAsia="Arial" w:hAnsi="Arial"/>
                <w:sz w:val="14"/>
                <w:szCs w:val="14"/>
                <w:b w:val="1"/>
                <w:bCs w:val="1"/>
                <w:color w:val="auto"/>
                <w:w w:val="90"/>
              </w:rPr>
              <w:t>Earnings</w:t>
            </w:r>
          </w:p>
        </w:tc>
        <w:tc>
          <w:tcPr>
            <w:tcW w:w="100" w:type="dxa"/>
            <w:vAlign w:val="bottom"/>
          </w:tcPr>
          <w:p>
            <w:pPr>
              <w:spacing w:after="0"/>
              <w:rPr>
                <w:sz w:val="13"/>
                <w:szCs w:val="13"/>
                <w:color w:val="auto"/>
              </w:rPr>
            </w:pPr>
          </w:p>
        </w:tc>
        <w:tc>
          <w:tcPr>
            <w:tcW w:w="1220" w:type="dxa"/>
            <w:vAlign w:val="bottom"/>
            <w:gridSpan w:val="2"/>
          </w:tcPr>
          <w:p>
            <w:pPr>
              <w:jc w:val="center"/>
              <w:ind w:right="340"/>
              <w:spacing w:after="0" w:line="154" w:lineRule="exact"/>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2"/>
          </w:tcPr>
          <w:p>
            <w:pPr>
              <w:jc w:val="center"/>
              <w:ind w:right="200"/>
              <w:spacing w:after="0" w:line="154"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1"/>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31,908</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282,666</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300,170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20" w:type="dxa"/>
            <w:vAlign w:val="bottom"/>
          </w:tcPr>
          <w:p>
            <w:pPr>
              <w:spacing w:after="0"/>
              <w:rPr>
                <w:sz w:val="20"/>
                <w:szCs w:val="20"/>
                <w:color w:val="auto"/>
              </w:rPr>
            </w:pPr>
            <w:r>
              <w:rPr>
                <w:rFonts w:ascii="Arial" w:cs="Arial" w:eastAsia="Arial" w:hAnsi="Arial"/>
                <w:sz w:val="18"/>
                <w:szCs w:val="18"/>
                <w:color w:val="auto"/>
              </w:rPr>
              <w:t>Cumulative effect of accounting change</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15,132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23,846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20" w:type="dxa"/>
            <w:vAlign w:val="bottom"/>
          </w:tcPr>
          <w:p>
            <w:pPr>
              <w:spacing w:after="0"/>
              <w:rPr>
                <w:sz w:val="20"/>
                <w:szCs w:val="20"/>
                <w:color w:val="auto"/>
              </w:rPr>
            </w:pPr>
            <w:r>
              <w:rPr>
                <w:rFonts w:ascii="Arial" w:cs="Arial" w:eastAsia="Arial" w:hAnsi="Arial"/>
                <w:sz w:val="18"/>
                <w:szCs w:val="18"/>
                <w:color w:val="auto"/>
              </w:rPr>
              <w:t>Comprehensive income</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Dividends declared on common stock ($1.00 per share)</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(32,518)</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(32,518)</w:t>
            </w:r>
          </w:p>
        </w:tc>
        <w:tc>
          <w:tcPr>
            <w:tcW w:w="0" w:type="dxa"/>
            <w:vAlign w:val="bottom"/>
          </w:tcPr>
          <w:p>
            <w:pPr>
              <w:spacing w:after="0"/>
              <w:rPr>
                <w:sz w:val="1"/>
                <w:szCs w:val="1"/>
                <w:color w:val="auto"/>
              </w:rPr>
            </w:pPr>
          </w:p>
        </w:tc>
      </w:tr>
      <w:tr>
        <w:trPr>
          <w:trHeight w:val="227"/>
        </w:trPr>
        <w:tc>
          <w:tcPr>
            <w:tcW w:w="50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Common stock issued under stock plans,</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of shares withheld for employee taxes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20" w:type="dxa"/>
            <w:vAlign w:val="bottom"/>
          </w:tcPr>
          <w:p>
            <w:pPr>
              <w:spacing w:after="0"/>
              <w:rPr>
                <w:sz w:val="20"/>
                <w:szCs w:val="20"/>
                <w:color w:val="auto"/>
              </w:rPr>
            </w:pPr>
            <w:r>
              <w:rPr>
                <w:rFonts w:ascii="Arial" w:cs="Arial" w:eastAsia="Arial" w:hAnsi="Arial"/>
                <w:sz w:val="18"/>
                <w:szCs w:val="18"/>
                <w:color w:val="auto"/>
              </w:rPr>
              <w:t>Balance at March 31, 2018</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32,302</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285,065</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unaudited condensed consolidated financial statements</w:t>
      </w:r>
      <w:r>
        <w:rPr>
          <w:rFonts w:ascii="Arial" w:cs="Arial" w:eastAsia="Arial" w:hAnsi="Arial"/>
          <w:sz w:val="14"/>
          <w:szCs w:val="14"/>
          <w:color w:val="auto"/>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73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income</w:t>
            </w:r>
          </w:p>
        </w:tc>
        <w:tc>
          <w:tcPr>
            <w:tcW w:w="2000" w:type="dxa"/>
            <w:vAlign w:val="bottom"/>
            <w:gridSpan w:val="2"/>
          </w:tcPr>
          <w:p>
            <w:pPr>
              <w:jc w:val="right"/>
              <w:ind w:right="78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5,974</w:t>
            </w:r>
          </w:p>
        </w:tc>
        <w:tc>
          <w:tcPr>
            <w:tcW w:w="300" w:type="dxa"/>
            <w:vAlign w:val="bottom"/>
          </w:tcPr>
          <w:p>
            <w:pPr>
              <w:spacing w:after="0"/>
              <w:rPr>
                <w:sz w:val="19"/>
                <w:szCs w:val="19"/>
                <w:color w:val="auto"/>
              </w:rPr>
            </w:pPr>
          </w:p>
        </w:tc>
        <w:tc>
          <w:tcPr>
            <w:tcW w:w="960" w:type="dxa"/>
            <w:vAlign w:val="bottom"/>
          </w:tcPr>
          <w:p>
            <w:pPr>
              <w:jc w:val="right"/>
              <w:ind w:right="80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23,846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Income from discontinued operations</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(1,194)</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(20,217)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6,539</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516</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deferred commissions</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2,121</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ind w:left="240"/>
              <w:spacing w:after="0"/>
              <w:rPr>
                <w:sz w:val="20"/>
                <w:szCs w:val="20"/>
                <w:color w:val="auto"/>
              </w:rPr>
            </w:pPr>
            <w:r>
              <w:rPr>
                <w:rFonts w:ascii="Arial" w:cs="Arial" w:eastAsia="Arial" w:hAnsi="Arial"/>
                <w:sz w:val="18"/>
                <w:szCs w:val="18"/>
                <w:color w:val="auto"/>
              </w:rPr>
              <w:t>Provision for doubtful accounts</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ind w:left="240"/>
              <w:spacing w:after="0"/>
              <w:rPr>
                <w:sz w:val="20"/>
                <w:szCs w:val="20"/>
                <w:color w:val="auto"/>
              </w:rPr>
            </w:pPr>
            <w:r>
              <w:rPr>
                <w:rFonts w:ascii="Arial" w:cs="Arial" w:eastAsia="Arial" w:hAnsi="Arial"/>
                <w:sz w:val="18"/>
                <w:szCs w:val="18"/>
                <w:color w:val="auto"/>
              </w:rPr>
              <w:t>Gain on non-marketable equity investments</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(54)</w:t>
            </w: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(28)</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and unbilled receivables</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ind w:left="240"/>
              <w:spacing w:after="0"/>
              <w:rPr>
                <w:sz w:val="20"/>
                <w:szCs w:val="20"/>
                <w:color w:val="auto"/>
              </w:rPr>
            </w:pPr>
            <w:r>
              <w:rPr>
                <w:rFonts w:ascii="Arial" w:cs="Arial" w:eastAsia="Arial" w:hAnsi="Arial"/>
                <w:sz w:val="18"/>
                <w:szCs w:val="18"/>
                <w:color w:val="auto"/>
              </w:rPr>
              <w:t>Prepaid royalties</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(2,820)</w:t>
            </w: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prepaid expenses and other current assets</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ind w:left="240"/>
              <w:spacing w:after="0"/>
              <w:rPr>
                <w:sz w:val="20"/>
                <w:szCs w:val="20"/>
                <w:color w:val="auto"/>
              </w:rPr>
            </w:pPr>
            <w:r>
              <w:rPr>
                <w:rFonts w:ascii="Arial" w:cs="Arial" w:eastAsia="Arial" w:hAnsi="Arial"/>
                <w:sz w:val="18"/>
                <w:szCs w:val="18"/>
                <w:color w:val="auto"/>
              </w:rPr>
              <w:t>Deferred commissions</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(1,382)</w:t>
            </w: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assets</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(5,386)</w:t>
            </w: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(6,074)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royalties</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3,342</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Deferred revenue</w:t>
            </w:r>
          </w:p>
        </w:tc>
        <w:tc>
          <w:tcPr>
            <w:tcW w:w="10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w:t>
            </w:r>
          </w:p>
        </w:tc>
        <w:tc>
          <w:tcPr>
            <w:tcW w:w="3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Net cash provided by continuing operating activities</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16,085</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ind w:left="360"/>
              <w:spacing w:after="0"/>
              <w:rPr>
                <w:sz w:val="20"/>
                <w:szCs w:val="20"/>
                <w:color w:val="auto"/>
              </w:rPr>
            </w:pPr>
            <w:r>
              <w:rPr>
                <w:rFonts w:ascii="Arial" w:cs="Arial" w:eastAsia="Arial" w:hAnsi="Arial"/>
                <w:sz w:val="18"/>
                <w:szCs w:val="18"/>
                <w:color w:val="auto"/>
              </w:rPr>
              <w:t>Net cash used in discontinued operating activities</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16,085</w:t>
            </w:r>
          </w:p>
        </w:tc>
        <w:tc>
          <w:tcPr>
            <w:tcW w:w="3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6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Business combinations, net of cash acquired</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(18,002)</w:t>
            </w:r>
          </w:p>
        </w:tc>
        <w:tc>
          <w:tcPr>
            <w:tcW w:w="9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 of discontinued operations</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Proceeds from maturities of marketable securities</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28,337</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Purchases of marketable securities</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8"/>
              </w:rPr>
              <w:t>(30,101)</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(12,612)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Payments to acquire cost method investments</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(3,342)</w:t>
            </w:r>
          </w:p>
        </w:tc>
        <w:tc>
          <w:tcPr>
            <w:tcW w:w="9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(4,933)</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(11,338)</w:t>
            </w: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Net cash (used in) provided by continuing investing activities</w:t>
            </w:r>
          </w:p>
        </w:tc>
        <w:tc>
          <w:tcPr>
            <w:tcW w:w="10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(39,379)</w:t>
            </w:r>
          </w:p>
        </w:tc>
        <w:tc>
          <w:tcPr>
            <w:tcW w:w="3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60,792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ind w:left="360"/>
              <w:spacing w:after="0"/>
              <w:rPr>
                <w:sz w:val="20"/>
                <w:szCs w:val="20"/>
                <w:color w:val="auto"/>
              </w:rPr>
            </w:pPr>
            <w:r>
              <w:rPr>
                <w:rFonts w:ascii="Arial" w:cs="Arial" w:eastAsia="Arial" w:hAnsi="Arial"/>
                <w:sz w:val="18"/>
                <w:szCs w:val="18"/>
                <w:color w:val="auto"/>
              </w:rPr>
              <w:t>Net cash used in discontinued investing activities</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Net cash (used in) provided by investing activities</w:t>
            </w:r>
          </w:p>
        </w:tc>
        <w:tc>
          <w:tcPr>
            <w:tcW w:w="10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(39,379)</w:t>
            </w:r>
          </w:p>
        </w:tc>
        <w:tc>
          <w:tcPr>
            <w:tcW w:w="3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60,677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6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(359)</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Payments of earn-outs related to acquisitions</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Payment of cash dividends</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(52)</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0" w:type="dxa"/>
            <w:vAlign w:val="bottom"/>
          </w:tcPr>
          <w:p>
            <w:pPr>
              <w:ind w:left="360"/>
              <w:spacing w:after="0"/>
              <w:rPr>
                <w:sz w:val="20"/>
                <w:szCs w:val="20"/>
                <w:color w:val="auto"/>
              </w:rPr>
            </w:pPr>
            <w:r>
              <w:rPr>
                <w:rFonts w:ascii="Arial" w:cs="Arial" w:eastAsia="Arial" w:hAnsi="Arial"/>
                <w:sz w:val="18"/>
                <w:szCs w:val="18"/>
                <w:color w:val="auto"/>
              </w:rPr>
              <w:t>Net cash (used in) provided by continuing financing activities</w:t>
            </w:r>
          </w:p>
        </w:tc>
        <w:tc>
          <w:tcPr>
            <w:tcW w:w="10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3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Net cash used in discontinued financing activities</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Net cash (used in) provided by financing activities</w:t>
            </w:r>
          </w:p>
        </w:tc>
        <w:tc>
          <w:tcPr>
            <w:tcW w:w="104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30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68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(23,711)</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0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134,321</w:t>
            </w:r>
          </w:p>
        </w:tc>
        <w:tc>
          <w:tcPr>
            <w:tcW w:w="3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8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40" w:type="dxa"/>
            <w:vAlign w:val="bottom"/>
          </w:tcPr>
          <w:p>
            <w:pPr>
              <w:spacing w:after="0"/>
              <w:rPr>
                <w:sz w:val="19"/>
                <w:szCs w:val="19"/>
                <w:color w:val="auto"/>
              </w:rPr>
            </w:pPr>
          </w:p>
        </w:tc>
        <w:tc>
          <w:tcPr>
            <w:tcW w:w="960" w:type="dxa"/>
            <w:vAlign w:val="bottom"/>
            <w:tcBorders>
              <w:bottom w:val="single" w:sz="8" w:color="auto"/>
            </w:tcBorders>
          </w:tcPr>
          <w:p>
            <w:pPr>
              <w:jc w:val="right"/>
              <w:ind w:right="78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110,610</w:t>
            </w:r>
          </w:p>
        </w:tc>
        <w:tc>
          <w:tcPr>
            <w:tcW w:w="300" w:type="dxa"/>
            <w:vAlign w:val="bottom"/>
          </w:tcPr>
          <w:p>
            <w:pPr>
              <w:spacing w:after="0"/>
              <w:rPr>
                <w:sz w:val="19"/>
                <w:szCs w:val="19"/>
                <w:color w:val="auto"/>
              </w:rPr>
            </w:pPr>
          </w:p>
        </w:tc>
        <w:tc>
          <w:tcPr>
            <w:tcW w:w="96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156,028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73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18" w:lineRule="exact"/>
        <w:rPr>
          <w:sz w:val="20"/>
          <w:szCs w:val="20"/>
          <w:color w:val="auto"/>
        </w:rPr>
      </w:pPr>
    </w:p>
    <w:p>
      <w:pPr>
        <w:jc w:val="both"/>
        <w:spacing w:after="0" w:line="216" w:lineRule="exact"/>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w:t>
      </w:r>
      <w:r>
        <w:rPr>
          <w:rFonts w:ascii="MS PGothic" w:cs="MS PGothic" w:eastAsia="MS PGothic" w:hAnsi="MS PGothic"/>
          <w:sz w:val="17"/>
          <w:szCs w:val="17"/>
          <w:color w:val="auto"/>
        </w:rPr>
        <w:t>‑</w:t>
      </w:r>
      <w:r>
        <w:rPr>
          <w:rFonts w:ascii="Arial" w:cs="Arial" w:eastAsia="Arial" w:hAnsi="Arial"/>
          <w:sz w:val="17"/>
          <w:szCs w:val="17"/>
          <w:color w:val="auto"/>
        </w:rPr>
        <w:t>Q and Article 10 of Regulation S</w:t>
      </w:r>
      <w:r>
        <w:rPr>
          <w:rFonts w:ascii="MS PGothic" w:cs="MS PGothic" w:eastAsia="MS PGothic" w:hAnsi="MS PGothic"/>
          <w:sz w:val="17"/>
          <w:szCs w:val="17"/>
          <w:color w:val="auto"/>
        </w:rPr>
        <w:t>‑</w:t>
      </w:r>
      <w:r>
        <w:rPr>
          <w:rFonts w:ascii="Arial" w:cs="Arial" w:eastAsia="Arial" w:hAnsi="Arial"/>
          <w:sz w:val="17"/>
          <w:szCs w:val="17"/>
          <w:color w:val="auto"/>
        </w:rPr>
        <w:t>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intercompany transactions have been eliminated in consolidation. Operating results for the three months ended March 31, 2019 are not necessarily indicative of the results that may be expected for the year ending December 31, 2019.</w:t>
      </w:r>
    </w:p>
    <w:p>
      <w:pPr>
        <w:spacing w:after="0" w:line="9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receives royalties and recognizes revenues (through its Workforce Solutions business segment) from teaming agreements that are entered into on a discrete basis from time-to-time with one of its content partners. Upon review of the teaming agreements with this content partner, the Company discovered that this content partner had failed during certain prior periods to remit royalties to which the Company was entitled. The Company determined such royalties should have been recognized in prior periods as revenue in relation to amounts due and payable under this arrangement and that certain expenses were overstated in connection with this arrangement. If accounted for in these prior periods, the Company would have recognized additional revenue of approximately $689,000 and $172,000 in the years ended December 31, 2018 and 2017, respectively, and would have incurred lower operating expense of $56,000 and $63,000 in the years ended December 31, 2018 and 2017, respectively. These adjustments collectively resulted in additional revenue of $861,000, lower operating expense of $119,000 and additional income from continuing operations of $744,000 during the three months ended March 31, 2019, and additional accounts receivable of $861,000 as of March 31, 2019. The Company concluded that this error was immaterial to the Company’s consolidated financial statements for the three months ended March 31, 2019 and prior affected periods.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12, 2018, the Company divested its Patient Experience (“PX”) business to Press Ganey Associates, Inc. (“Press Ganey”). The sale of the PX business resulted in the divestiture of the Company’s patient experience solutions business segment. The Company has classified the results of its previously owned PX business as discontinued operations in its condensed consolidated statements of income and cash flows for all periods presented. See Note 8 for additional information.</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condensed consolidated balance sheet at December 31, 2018 was derived from the audited consolidated financial statements at that date but does not include all of the information and footnotes required by US GAAP for a complete set of financial statements. For further information, refer to the consolidated financial statements and footnotes thereto for the year ended December 31, 2018 (included in the Company's Annual Report on Form 10-K, filed with the Securities and Exchange Commission on February 25,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Recently Adopted</w:t>
      </w:r>
    </w:p>
    <w:p>
      <w:pPr>
        <w:spacing w:after="0" w:line="1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(“ASC 842”),</w:t>
      </w:r>
      <w:r>
        <w:rPr>
          <w:rFonts w:ascii="Arial" w:cs="Arial" w:eastAsia="Arial" w:hAnsi="Arial"/>
          <w:sz w:val="16"/>
          <w:szCs w:val="16"/>
          <w:color w:val="auto"/>
        </w:rPr>
        <w:t xml:space="preserve"> which, among other things, requires an entity to recognize a right-of-use asset and a lease liability on the balance sheet for substantially all leases, including operating leases. The Company adopted ASC 842 effective January 1, 2019 utilizing the modified retrospective approach such that prior year financial statements were not recast under the new standard. Adoption of this standard resulted in changes to the Company’s condensed consolidated balance sheets and accounting policies for leases but did not have an impact on the condensed consolidated statements of income or cash flows. See Note 12 for additional information regarding the new standard and its impact on the Company’s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June 2016, the FASB issued ASU 2016-03, </w:t>
      </w:r>
      <w:r>
        <w:rPr>
          <w:rFonts w:ascii="Arial" w:cs="Arial" w:eastAsia="Arial" w:hAnsi="Arial"/>
          <w:sz w:val="18"/>
          <w:szCs w:val="18"/>
          <w:i w:val="1"/>
          <w:iCs w:val="1"/>
          <w:color w:val="auto"/>
        </w:rPr>
        <w:t>Financial Instruments—Credit Losses (“ASC 326”): Measurement of Credit Losses on Financial Instruments</w:t>
      </w:r>
      <w:r>
        <w:rPr>
          <w:rFonts w:ascii="Arial" w:cs="Arial" w:eastAsia="Arial" w:hAnsi="Arial"/>
          <w:sz w:val="18"/>
          <w:szCs w:val="18"/>
          <w:color w:val="auto"/>
        </w:rPr>
        <w:t>, which amends guidance on reporting credit losses for assets held at amortized cost basis and available for sale debt securities. For assets held at amortized cost basis, ASC 326 eliminates the probable initial recognition threshold in current GAAP and, instead, requires an entity to reflect its current estimate of all expected credit losses. The standard will be effective for the first interim period within annual reporting periods beginning after December 15, 2019. The Company will adopt this ASU on January 1, 2020 and is currently evaluating the impact that adoption of this ASU will have on the Company’s consolidated financial position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 AND SALES COMMISSIONS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Revenues are recognized when control of the promised goods or services is transferred to the customer in an amount that reflects the consideration the Company expects to be entitled in exchange for transferring those goods or services.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73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Revenue is recognized based on the following five step model:</w:t>
      </w:r>
    </w:p>
    <w:p>
      <w:pPr>
        <w:spacing w:after="0" w:line="114" w:lineRule="exact"/>
        <w:rPr>
          <w:sz w:val="20"/>
          <w:szCs w:val="20"/>
          <w:color w:val="auto"/>
        </w:rPr>
      </w:pPr>
    </w:p>
    <w:p>
      <w:pPr>
        <w:ind w:left="820" w:hanging="4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Identification of the contract with a customer</w:t>
      </w:r>
    </w:p>
    <w:p>
      <w:pPr>
        <w:spacing w:after="0" w:line="114" w:lineRule="exact"/>
        <w:rPr>
          <w:rFonts w:ascii="Arial" w:cs="Arial" w:eastAsia="Arial" w:hAnsi="Arial"/>
          <w:sz w:val="18"/>
          <w:szCs w:val="18"/>
          <w:color w:val="auto"/>
        </w:rPr>
      </w:pPr>
    </w:p>
    <w:p>
      <w:pPr>
        <w:ind w:left="820" w:hanging="4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4" w:lineRule="exact"/>
        <w:rPr>
          <w:rFonts w:ascii="Arial" w:cs="Arial" w:eastAsia="Arial" w:hAnsi="Arial"/>
          <w:sz w:val="18"/>
          <w:szCs w:val="18"/>
          <w:color w:val="auto"/>
        </w:rPr>
      </w:pPr>
    </w:p>
    <w:p>
      <w:pPr>
        <w:ind w:left="820" w:hanging="4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4" w:lineRule="exact"/>
        <w:rPr>
          <w:rFonts w:ascii="Arial" w:cs="Arial" w:eastAsia="Arial" w:hAnsi="Arial"/>
          <w:sz w:val="18"/>
          <w:szCs w:val="18"/>
          <w:color w:val="auto"/>
        </w:rPr>
      </w:pPr>
    </w:p>
    <w:p>
      <w:pPr>
        <w:ind w:left="820" w:hanging="4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4" w:lineRule="exact"/>
        <w:rPr>
          <w:rFonts w:ascii="Arial" w:cs="Arial" w:eastAsia="Arial" w:hAnsi="Arial"/>
          <w:sz w:val="18"/>
          <w:szCs w:val="18"/>
          <w:color w:val="auto"/>
        </w:rPr>
      </w:pPr>
    </w:p>
    <w:p>
      <w:pPr>
        <w:ind w:left="820" w:hanging="4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represents revenues included in continuing operations disaggregated by revenue source for the three months ended March 31, 2019 and 2018 (in thousands). Sales taxes are excluded from revenues.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gridSpan w:val="7"/>
          </w:tcPr>
          <w:p>
            <w:pPr>
              <w:jc w:val="center"/>
              <w:ind w:right="95"/>
              <w:spacing w:after="0"/>
              <w:rPr>
                <w:sz w:val="20"/>
                <w:szCs w:val="20"/>
                <w:color w:val="auto"/>
              </w:rPr>
            </w:pPr>
            <w:r>
              <w:rPr>
                <w:rFonts w:ascii="Arial" w:cs="Arial" w:eastAsia="Arial" w:hAnsi="Arial"/>
                <w:sz w:val="14"/>
                <w:szCs w:val="14"/>
                <w:b w:val="1"/>
                <w:bCs w:val="1"/>
                <w:color w:val="auto"/>
                <w:w w:val="94"/>
              </w:rPr>
              <w:t>Three Months Ended March 31, 2019</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gridSpan w:val="7"/>
          </w:tcPr>
          <w:p>
            <w:pPr>
              <w:jc w:val="center"/>
              <w:ind w:right="115"/>
              <w:spacing w:after="0"/>
              <w:rPr>
                <w:sz w:val="20"/>
                <w:szCs w:val="20"/>
                <w:color w:val="auto"/>
              </w:rPr>
            </w:pPr>
            <w:r>
              <w:rPr>
                <w:rFonts w:ascii="Arial" w:cs="Arial" w:eastAsia="Arial" w:hAnsi="Arial"/>
                <w:sz w:val="14"/>
                <w:szCs w:val="14"/>
                <w:b w:val="1"/>
                <w:bCs w:val="1"/>
                <w:color w:val="auto"/>
                <w:w w:val="94"/>
              </w:rPr>
              <w:t>Three Months Ended March 31, 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rPr>
              <w:t>Business Segments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440"/>
              <w:spacing w:after="0" w:line="131" w:lineRule="exact"/>
              <w:rPr>
                <w:sz w:val="20"/>
                <w:szCs w:val="20"/>
                <w:color w:val="auto"/>
              </w:rPr>
            </w:pPr>
            <w:r>
              <w:rPr>
                <w:rFonts w:ascii="Arial" w:cs="Arial" w:eastAsia="Arial" w:hAnsi="Arial"/>
                <w:sz w:val="14"/>
                <w:szCs w:val="14"/>
                <w:b w:val="1"/>
                <w:bCs w:val="1"/>
                <w:color w:val="auto"/>
                <w:w w:val="95"/>
              </w:rPr>
              <w:t>Workforce</w:t>
            </w:r>
          </w:p>
        </w:tc>
        <w:tc>
          <w:tcPr>
            <w:tcW w:w="200" w:type="dxa"/>
            <w:vAlign w:val="bottom"/>
          </w:tcPr>
          <w:p>
            <w:pPr>
              <w:spacing w:after="0"/>
              <w:rPr>
                <w:sz w:val="11"/>
                <w:szCs w:val="11"/>
                <w:color w:val="auto"/>
              </w:rPr>
            </w:pPr>
          </w:p>
        </w:tc>
        <w:tc>
          <w:tcPr>
            <w:tcW w:w="1020" w:type="dxa"/>
            <w:vAlign w:val="bottom"/>
          </w:tcPr>
          <w:p>
            <w:pPr>
              <w:jc w:val="center"/>
              <w:ind w:right="158"/>
              <w:spacing w:after="0" w:line="131" w:lineRule="exact"/>
              <w:rPr>
                <w:sz w:val="20"/>
                <w:szCs w:val="20"/>
                <w:color w:val="auto"/>
              </w:rPr>
            </w:pPr>
            <w:r>
              <w:rPr>
                <w:rFonts w:ascii="Arial" w:cs="Arial" w:eastAsia="Arial" w:hAnsi="Arial"/>
                <w:sz w:val="14"/>
                <w:szCs w:val="14"/>
                <w:b w:val="1"/>
                <w:bCs w:val="1"/>
                <w:color w:val="auto"/>
                <w:w w:val="94"/>
              </w:rPr>
              <w:t>Provider</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180" w:type="dxa"/>
            <w:vAlign w:val="bottom"/>
          </w:tcPr>
          <w:p>
            <w:pPr>
              <w:spacing w:after="0"/>
              <w:rPr>
                <w:sz w:val="11"/>
                <w:szCs w:val="11"/>
                <w:color w:val="auto"/>
              </w:rPr>
            </w:pPr>
          </w:p>
        </w:tc>
        <w:tc>
          <w:tcPr>
            <w:tcW w:w="1040" w:type="dxa"/>
            <w:vAlign w:val="bottom"/>
          </w:tcPr>
          <w:p>
            <w:pPr>
              <w:jc w:val="right"/>
              <w:ind w:right="200"/>
              <w:spacing w:after="0" w:line="131" w:lineRule="exact"/>
              <w:rPr>
                <w:sz w:val="20"/>
                <w:szCs w:val="20"/>
                <w:color w:val="auto"/>
              </w:rPr>
            </w:pPr>
            <w:r>
              <w:rPr>
                <w:rFonts w:ascii="Arial" w:cs="Arial" w:eastAsia="Arial" w:hAnsi="Arial"/>
                <w:sz w:val="14"/>
                <w:szCs w:val="14"/>
                <w:b w:val="1"/>
                <w:bCs w:val="1"/>
                <w:color w:val="auto"/>
              </w:rPr>
              <w:t>Workforce</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ind w:right="158"/>
              <w:spacing w:after="0" w:line="131" w:lineRule="exact"/>
              <w:rPr>
                <w:sz w:val="20"/>
                <w:szCs w:val="20"/>
                <w:color w:val="auto"/>
              </w:rPr>
            </w:pPr>
            <w:r>
              <w:rPr>
                <w:rFonts w:ascii="Arial" w:cs="Arial" w:eastAsia="Arial" w:hAnsi="Arial"/>
                <w:sz w:val="14"/>
                <w:szCs w:val="14"/>
                <w:b w:val="1"/>
                <w:bCs w:val="1"/>
                <w:color w:val="auto"/>
                <w:w w:val="94"/>
              </w:rPr>
              <w:t>Provider</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0"/>
        </w:trPr>
        <w:tc>
          <w:tcPr>
            <w:tcW w:w="2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4"/>
                <w:szCs w:val="14"/>
                <w:color w:val="auto"/>
              </w:rPr>
            </w:pPr>
          </w:p>
        </w:tc>
        <w:tc>
          <w:tcPr>
            <w:tcW w:w="1020" w:type="dxa"/>
            <w:vAlign w:val="bottom"/>
          </w:tcPr>
          <w:p>
            <w:pPr>
              <w:jc w:val="center"/>
              <w:ind w:right="138"/>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260"/>
              <w:spacing w:after="0"/>
              <w:rPr>
                <w:sz w:val="20"/>
                <w:szCs w:val="20"/>
                <w:color w:val="auto"/>
              </w:rPr>
            </w:pPr>
            <w:r>
              <w:rPr>
                <w:rFonts w:ascii="Arial" w:cs="Arial" w:eastAsia="Arial" w:hAnsi="Arial"/>
                <w:sz w:val="14"/>
                <w:szCs w:val="14"/>
                <w:b w:val="1"/>
                <w:bCs w:val="1"/>
                <w:color w:val="auto"/>
              </w:rPr>
              <w:t>Solutions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right="138"/>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Subscription/SaaS services</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52,805</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9,080</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61,885</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43,702</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52,734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services</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5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 net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54,295</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10,892</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65,187</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44,947</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9,911</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54,858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Subscription/SaaS services revenues primarily consist of fees in consideration of providing customers access to one or more of our SaaS-based solutions and/or courseware subscriptions, as well as fees related to licensing agreements, all of which include routine customer support and technology enhancements. Revenue is generally recognized over time during the contract term beginning when the service is made available to the customer. Subscription/SaaS contracts are generally non-cancelable, one to five years in length, and billed annually, semi-annually, quarterly, or monthly in advance.</w:t>
      </w:r>
    </w:p>
    <w:p>
      <w:pPr>
        <w:spacing w:after="0" w:line="53"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Professional services revenues primarily consist of fees for implementation services, custom courseware development, and training. The majority of our professional services contracts are billed in advance based on a fixed price basis, and revenue is recognized over time as the services are performed. For both subscription/SaaS services and professional services, the time between billing the customer and when performance obligations are satisfied is not significant.</w:t>
      </w:r>
    </w:p>
    <w:p>
      <w:pPr>
        <w:spacing w:after="0" w:line="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contracts with customers often contain multiple performance obligations. For these contracts, the Company accounts for individual performance obligations separately if they are distinct. The contract price, which represents transaction price, is allocated to the separate performance obligations on a relative standalone selling price basis. We generally determine standalone selling prices based on the standard list price for each product, taking into consideration certain factors, including contract length and the number of subscriptions within the contract.</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receive payments from customers based on billing schedules established in our contracts. Accounts receivable - unbilled represent contract assets related to our conditional right to consideration for subscription/SaaS and professional services contracts where performance has occurred under the contract. Accounts receivable are primarily comprised of trade receivables that are recorded at the invoice amount, net of an allowance for doubtful accounts, when the right to consideration becomes unconditional.</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receivables, which are included within Accounts Receivable, include receivables from certain content partners and are not material. For the three months ended March 31, 2019 and 2018, the Company recognized $2,000 and $390,000, respectively, in impairment losses on receivables and contract assets arising from the Company’s contracts with customers.</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Deferred revenue represents contract liabilities that are recorded when cash payments are received or are due in advance of our satisfaction of performance obligations. During the three months ended March 31, 2019 and 2018, we recognized revenues of approximately $31.2 million and $29.2 million, respectively, from amounts included in deferred revenue at the beginning of the respective periods. As of March 31, 2019, approximately $422 million of revenue is expected to be recognized from remaining performance obligations under contracts with customers. We expect to recognize revenue related to approximately 49% of these remaining performance obligations over the next 12 months, with the remaining amounts recognized thereafter.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73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Commissions</w:t>
      </w:r>
    </w:p>
    <w:p>
      <w:pPr>
        <w:spacing w:after="0" w:line="11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Sales commissions earned by our sales organization are considered incremental and recoverable costs of obtaining a contract with a customer. The Company’s sales commission plans for 2018 and 2019 typically include multiple payments, including initial payments in the period a customer contract is obtained and subsequent payments either 15 or 27 months after the initial payment. Under ASC 606, costs to acquire contracts with customers, such as the initial sales commission payment, are capitalized in the period a customer contract is obtained and are amortized consistent with the transfer of the goods or services to the customer over the expected period of benefit, whereas subsequent sales commission payments which require a substantive performance condition of the employee are expensed ratably through the payment date. The capitalized contract cost is included in Deferred commissions in the accompanying condensed consolidated balance sheet. The expected period of benefit is the contract term, except when the capitalized commission is expected to provide economic benefit to the Company for a period longer than the contract term, such as for new customer or incremental sales where renewals are expected and renewal commissions are not commensurate with initial commissions. Non-commensurate commissions are amortized over the greater of the contract term or expected customer relationship period, limited by the technological obsolescence period of approximately three years. The Company recorded amortization of deferred commissions of approximately $2.1 million and $1.8 million for the three months ended March 31, 2019 and 2018, respectively, which is included in Sales and marketing expenses in the accompanying condensed consolidated statements of income.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three months ended March 31, 2019 and 2018, the Company recorded a provision for income taxes from continuing operations of approximately $1.4 million and $414,000, respectively. The Company’s effective tax rate for continuing operations for the three months ended March 31, 2019 and 2018 was 23% and 10%, respectively. During the three months ended March 31, 2019 and 2018, the Company recorded excess tax benefits related to stock based awards of approximately $83,000 and $636,000, respectively, as a component of the provision for income taxes. The Company’s effective tax rate primarily reflects the statutory corporate income tax rate, the net effect of state taxes, and the effect of various permanent tax differences.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SHAREHOLDERS’ EQUITY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on Common Stock</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February 12, 2018, the Company’s Board of Directors declared a $1.00 per common share special cash dividend, which was paid on April 3, 2018 to shareholders of record on March 6, 2018.</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has stock awards outstanding under two stock incentive plans: the Company’s 2016 Omnibus Incentive Plan and 2010 Stock Incentive Plan. The Company accounts for its stock based compensation plans using the fair-value based method for costs related to share based payments, including stock options and restricted share units (“RSUs”). During the three months ended March 31, 2019, the Company issued 86,220 RSUs, subject to service-based time vesting, with a weighted average grant date fair value of $27.39 per share, measured based on the closing fair market value of the Company’s stock on the date of grant. During the three months ended March 31, 2018, the Company issued 83,168 RSUs, subject to service-based time vesting, with a weighted average grant date fair value of $24.70 per share, measured based on the closing fair market value of the Company’s stock on the date of grant.</w:t>
      </w:r>
    </w:p>
    <w:p>
      <w:pPr>
        <w:spacing w:after="0" w:line="58" w:lineRule="exact"/>
        <w:rPr>
          <w:sz w:val="20"/>
          <w:szCs w:val="20"/>
          <w:color w:val="auto"/>
        </w:rPr>
      </w:pPr>
    </w:p>
    <w:p>
      <w:pPr>
        <w:jc w:val="both"/>
        <w:spacing w:after="0" w:line="331" w:lineRule="auto"/>
        <w:rPr>
          <w:sz w:val="20"/>
          <w:szCs w:val="20"/>
          <w:color w:val="auto"/>
        </w:rPr>
      </w:pPr>
      <w:r>
        <w:rPr>
          <w:rFonts w:ascii="Arial" w:cs="Arial" w:eastAsia="Arial" w:hAnsi="Arial"/>
          <w:sz w:val="14"/>
          <w:szCs w:val="14"/>
          <w:color w:val="auto"/>
        </w:rPr>
        <w:t>During the three months ended June 30, 2018, the Company issued 70,000 performance-based RSUs, the vesting of which occurs over a five-year period and is contingent upon continued service and achieving certain performance criteria established by the Compensation Committee on an annual basis. The performance criteria for 7,000 of these performance-based RSUs was determined in the three months ended June 30, 2018, and was based on 2018 performance, 3,500 of which RSUS vested. In addition, the performance criteria for 10,500 of these performance-based RSUs, along with 3,500 performance-based catch-up RSUs which did not vest based on 2018 performance as noted above but remained eligible for vesting, will be based on 2019 performance. The measurement date for these 10,500 performance-based RSUs, along with the 3,500 catch-up RSUs, was established during the three months ended March 31, 2019, with a grant date fair value of $27.61 per share, measured based on the closing fair market value of the Company’s stock on the date the performance criteria was established. The performance criteria for the remaining 52,500 performance-based RSUs has not yet been determined and will be established on an annual basis in 2020, 2021, and 2022, as applicable; therefore, the measurement date for these performance-based RSUs cannot be determined until the performance criteria have been established.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73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0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Total stock based compensation expense recognized for the three months ended March 31, 2019 and 2018, which is recorded within continuing operations in the condensed consolidated statements of income, is as follows (in thousands):</w:t>
      </w:r>
    </w:p>
    <w:p>
      <w:pPr>
        <w:spacing w:after="0" w:line="193"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line="232"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4"/>
        </w:trPr>
        <w:tc>
          <w:tcPr>
            <w:tcW w:w="6060" w:type="dxa"/>
            <w:vAlign w:val="bottom"/>
            <w:tcBorders>
              <w:bottom w:val="single" w:sz="8" w:color="CFF0FC"/>
            </w:tcBorders>
          </w:tcPr>
          <w:p>
            <w:pPr>
              <w:spacing w:after="0"/>
              <w:rPr>
                <w:sz w:val="13"/>
                <w:szCs w:val="13"/>
                <w:color w:val="auto"/>
              </w:rPr>
            </w:pPr>
          </w:p>
        </w:tc>
        <w:tc>
          <w:tcPr>
            <w:tcW w:w="1800" w:type="dxa"/>
            <w:vAlign w:val="bottom"/>
            <w:tcBorders>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117"/>
              <w:spacing w:after="0" w:line="154"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4"/>
              <w:spacing w:after="0" w:line="154"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1"/>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18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37"/>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27"/>
        </w:trPr>
        <w:tc>
          <w:tcPr>
            <w:tcW w:w="6060" w:type="dxa"/>
            <w:vAlign w:val="bottom"/>
          </w:tcPr>
          <w:p>
            <w:pPr>
              <w:spacing w:after="0"/>
              <w:rPr>
                <w:sz w:val="20"/>
                <w:szCs w:val="20"/>
                <w:color w:val="auto"/>
              </w:rPr>
            </w:pPr>
            <w:r>
              <w:rPr>
                <w:rFonts w:ascii="Arial" w:cs="Arial" w:eastAsia="Arial" w:hAnsi="Arial"/>
                <w:sz w:val="18"/>
                <w:szCs w:val="18"/>
                <w:color w:val="auto"/>
              </w:rPr>
              <w:t>Product development</w:t>
            </w:r>
          </w:p>
        </w:tc>
        <w:tc>
          <w:tcPr>
            <w:tcW w:w="1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r>
      <w:tr>
        <w:trPr>
          <w:trHeight w:val="228"/>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8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r>
      <w:tr>
        <w:trPr>
          <w:trHeight w:val="227"/>
        </w:trPr>
        <w:tc>
          <w:tcPr>
            <w:tcW w:w="6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general and administrative</w:t>
            </w:r>
          </w:p>
        </w:tc>
        <w:tc>
          <w:tcPr>
            <w:tcW w:w="18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FF0FC"/>
            </w:tcBorders>
          </w:tcPr>
          <w:p>
            <w:pPr>
              <w:spacing w:after="0"/>
              <w:rPr>
                <w:sz w:val="19"/>
                <w:szCs w:val="19"/>
                <w:color w:val="auto"/>
              </w:rPr>
            </w:pPr>
          </w:p>
        </w:tc>
      </w:tr>
      <w:tr>
        <w:trPr>
          <w:trHeight w:val="221"/>
        </w:trPr>
        <w:tc>
          <w:tcPr>
            <w:tcW w:w="6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 based compensation expense</w:t>
            </w:r>
          </w:p>
        </w:tc>
        <w:tc>
          <w:tcPr>
            <w:tcW w:w="18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37"/>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1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approximately 136,000 and 159,000 for the three months ended March 31, 2019 and 2018, respectively.</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months ended March 31, 2019 and 2018 (in thousands, except per share data):</w:t>
      </w:r>
    </w:p>
    <w:p>
      <w:pPr>
        <w:jc w:val="center"/>
        <w:ind w:left="7740"/>
        <w:spacing w:after="0" w:line="233" w:lineRule="auto"/>
        <w:rPr>
          <w:sz w:val="20"/>
          <w:szCs w:val="20"/>
          <w:color w:val="auto"/>
        </w:rPr>
      </w:pPr>
      <w:r>
        <w:rPr>
          <w:rFonts w:ascii="Arial" w:cs="Arial" w:eastAsia="Arial" w:hAnsi="Arial"/>
          <w:sz w:val="14"/>
          <w:szCs w:val="14"/>
          <w:b w:val="1"/>
          <w:bCs w:val="1"/>
          <w:color w:val="auto"/>
        </w:rPr>
        <w:t>Three Months Ended</w:t>
      </w:r>
    </w:p>
    <w:p>
      <w:pPr>
        <w:jc w:val="center"/>
        <w:ind w:left="7740"/>
        <w:spacing w:after="0" w:line="229"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4280" w:type="dxa"/>
            <w:vAlign w:val="bottom"/>
            <w:tcBorders>
              <w:bottom w:val="single" w:sz="8" w:color="CFF0FC"/>
            </w:tcBorders>
          </w:tcPr>
          <w:p>
            <w:pPr>
              <w:spacing w:after="0"/>
              <w:rPr>
                <w:sz w:val="13"/>
                <w:szCs w:val="13"/>
                <w:color w:val="auto"/>
              </w:rPr>
            </w:pPr>
          </w:p>
        </w:tc>
        <w:tc>
          <w:tcPr>
            <w:tcW w:w="356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4"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3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Income from continuing operations</w:t>
            </w:r>
          </w:p>
        </w:tc>
        <w:tc>
          <w:tcPr>
            <w:tcW w:w="4560" w:type="dxa"/>
            <w:vAlign w:val="bottom"/>
            <w:gridSpan w:val="2"/>
          </w:tcPr>
          <w:p>
            <w:pPr>
              <w:jc w:val="right"/>
              <w:ind w:right="81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4,780</w:t>
            </w:r>
          </w:p>
        </w:tc>
        <w:tc>
          <w:tcPr>
            <w:tcW w:w="300" w:type="dxa"/>
            <w:vAlign w:val="bottom"/>
          </w:tcPr>
          <w:p>
            <w:pPr>
              <w:spacing w:after="0"/>
              <w:rPr>
                <w:sz w:val="19"/>
                <w:szCs w:val="19"/>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from discontinued operations</w:t>
            </w:r>
          </w:p>
        </w:tc>
        <w:tc>
          <w:tcPr>
            <w:tcW w:w="35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2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income</w:t>
            </w:r>
          </w:p>
        </w:tc>
        <w:tc>
          <w:tcPr>
            <w:tcW w:w="356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81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5,974</w:t>
            </w:r>
          </w:p>
        </w:tc>
        <w:tc>
          <w:tcPr>
            <w:tcW w:w="3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3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Weighted-average shares outstanding</w:t>
            </w:r>
          </w:p>
        </w:tc>
        <w:tc>
          <w:tcPr>
            <w:tcW w:w="3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32,337</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dilutive shares</w:t>
            </w:r>
          </w:p>
        </w:tc>
        <w:tc>
          <w:tcPr>
            <w:tcW w:w="35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2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Weighted-average diluted shares</w:t>
            </w:r>
          </w:p>
        </w:tc>
        <w:tc>
          <w:tcPr>
            <w:tcW w:w="356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32,377</w:t>
            </w:r>
          </w:p>
        </w:tc>
        <w:tc>
          <w:tcPr>
            <w:tcW w:w="3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280" w:type="dxa"/>
            <w:vAlign w:val="bottom"/>
            <w:shd w:val="clear" w:color="auto" w:fill="CFF0FC"/>
          </w:tcPr>
          <w:p>
            <w:pPr>
              <w:spacing w:after="0"/>
              <w:rPr>
                <w:sz w:val="18"/>
                <w:szCs w:val="18"/>
                <w:color w:val="auto"/>
              </w:rPr>
            </w:pPr>
          </w:p>
        </w:tc>
        <w:tc>
          <w:tcPr>
            <w:tcW w:w="3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3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Continuing operations</w:t>
            </w:r>
          </w:p>
        </w:tc>
        <w:tc>
          <w:tcPr>
            <w:tcW w:w="4560" w:type="dxa"/>
            <w:vAlign w:val="bottom"/>
            <w:gridSpan w:val="2"/>
            <w:shd w:val="clear" w:color="auto" w:fill="CFF0FC"/>
          </w:tcPr>
          <w:p>
            <w:pPr>
              <w:jc w:val="right"/>
              <w:ind w:right="81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2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Discontinued operations</w:t>
            </w:r>
          </w:p>
        </w:tc>
        <w:tc>
          <w:tcPr>
            <w:tcW w:w="35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per share - basic</w:t>
            </w:r>
          </w:p>
        </w:tc>
        <w:tc>
          <w:tcPr>
            <w:tcW w:w="35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 - diluted:</w:t>
            </w:r>
          </w:p>
        </w:tc>
        <w:tc>
          <w:tcPr>
            <w:tcW w:w="3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280" w:type="dxa"/>
            <w:vAlign w:val="bottom"/>
          </w:tcPr>
          <w:p>
            <w:pPr>
              <w:ind w:left="480"/>
              <w:spacing w:after="0"/>
              <w:rPr>
                <w:sz w:val="20"/>
                <w:szCs w:val="20"/>
                <w:color w:val="auto"/>
              </w:rPr>
            </w:pPr>
            <w:r>
              <w:rPr>
                <w:rFonts w:ascii="Arial" w:cs="Arial" w:eastAsia="Arial" w:hAnsi="Arial"/>
                <w:sz w:val="18"/>
                <w:szCs w:val="18"/>
                <w:color w:val="auto"/>
              </w:rPr>
              <w:t>Continuing operations</w:t>
            </w:r>
          </w:p>
        </w:tc>
        <w:tc>
          <w:tcPr>
            <w:tcW w:w="4560" w:type="dxa"/>
            <w:vAlign w:val="bottom"/>
            <w:gridSpan w:val="2"/>
          </w:tcPr>
          <w:p>
            <w:pPr>
              <w:jc w:val="right"/>
              <w:ind w:right="81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0.15</w:t>
            </w:r>
          </w:p>
        </w:tc>
        <w:tc>
          <w:tcPr>
            <w:tcW w:w="300" w:type="dxa"/>
            <w:vAlign w:val="bottom"/>
          </w:tcPr>
          <w:p>
            <w:pPr>
              <w:spacing w:after="0"/>
              <w:rPr>
                <w:sz w:val="19"/>
                <w:szCs w:val="19"/>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Discontinued operations</w:t>
            </w:r>
          </w:p>
        </w:tc>
        <w:tc>
          <w:tcPr>
            <w:tcW w:w="35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00" w:type="dxa"/>
            <w:vAlign w:val="bottom"/>
            <w:gridSpan w:val="2"/>
          </w:tcPr>
          <w:p>
            <w:pPr>
              <w:spacing w:after="0"/>
              <w:rPr>
                <w:sz w:val="20"/>
                <w:szCs w:val="20"/>
                <w:color w:val="auto"/>
              </w:rPr>
            </w:pPr>
            <w:r>
              <w:rPr>
                <w:rFonts w:ascii="Arial" w:cs="Arial" w:eastAsia="Arial" w:hAnsi="Arial"/>
                <w:sz w:val="18"/>
                <w:szCs w:val="18"/>
                <w:color w:val="auto"/>
              </w:rPr>
              <w:t>Net income per share - diluted</w:t>
            </w:r>
          </w:p>
        </w:tc>
        <w:tc>
          <w:tcPr>
            <w:tcW w:w="3560" w:type="dxa"/>
            <w:vAlign w:val="bottom"/>
          </w:tcPr>
          <w:p>
            <w:pPr>
              <w:spacing w:after="0"/>
              <w:rPr>
                <w:sz w:val="19"/>
                <w:szCs w:val="19"/>
                <w:color w:val="auto"/>
              </w:rPr>
            </w:pPr>
          </w:p>
        </w:tc>
        <w:tc>
          <w:tcPr>
            <w:tcW w:w="1000" w:type="dxa"/>
            <w:vAlign w:val="bottom"/>
            <w:tcBorders>
              <w:bottom w:val="single" w:sz="8" w:color="auto"/>
            </w:tcBorders>
          </w:tcPr>
          <w:p>
            <w:pPr>
              <w:jc w:val="right"/>
              <w:ind w:right="81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560" w:type="dxa"/>
            <w:vAlign w:val="bottom"/>
            <w:vMerge w:val="restart"/>
          </w:tcPr>
          <w:p>
            <w:pPr>
              <w:jc w:val="right"/>
              <w:ind w:right="2011"/>
              <w:spacing w:after="0"/>
              <w:rPr>
                <w:sz w:val="20"/>
                <w:szCs w:val="20"/>
                <w:color w:val="auto"/>
              </w:rPr>
            </w:pPr>
            <w:r>
              <w:rPr>
                <w:rFonts w:ascii="Arial" w:cs="Arial" w:eastAsia="Arial" w:hAnsi="Arial"/>
                <w:sz w:val="18"/>
                <w:szCs w:val="18"/>
                <w:color w:val="auto"/>
              </w:rPr>
              <w:t>9</w:t>
            </w: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7231380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MARKETABLE SECURITIES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March 31, 2019 and December 31, 2018, the fair value of marketable securities, which were all classified as available for sale, included the following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106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440"/>
              <w:spacing w:after="0" w:line="131" w:lineRule="exact"/>
              <w:rPr>
                <w:sz w:val="20"/>
                <w:szCs w:val="20"/>
                <w:color w:val="auto"/>
              </w:rPr>
            </w:pPr>
            <w:r>
              <w:rPr>
                <w:rFonts w:ascii="Arial" w:cs="Arial" w:eastAsia="Arial" w:hAnsi="Arial"/>
                <w:sz w:val="14"/>
                <w:szCs w:val="14"/>
                <w:b w:val="1"/>
                <w:bCs w:val="1"/>
                <w:color w:val="auto"/>
                <w:w w:val="93"/>
              </w:rPr>
              <w:t>Adjusted</w:t>
            </w:r>
          </w:p>
        </w:tc>
        <w:tc>
          <w:tcPr>
            <w:tcW w:w="180" w:type="dxa"/>
            <w:vAlign w:val="bottom"/>
          </w:tcPr>
          <w:p>
            <w:pPr>
              <w:spacing w:after="0"/>
              <w:rPr>
                <w:sz w:val="11"/>
                <w:szCs w:val="11"/>
                <w:color w:val="auto"/>
              </w:rPr>
            </w:pPr>
          </w:p>
        </w:tc>
        <w:tc>
          <w:tcPr>
            <w:tcW w:w="1240" w:type="dxa"/>
            <w:vAlign w:val="bottom"/>
            <w:gridSpan w:val="2"/>
          </w:tcPr>
          <w:p>
            <w:pPr>
              <w:jc w:val="center"/>
              <w:ind w:right="420"/>
              <w:spacing w:after="0" w:line="131"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1"/>
                <w:szCs w:val="11"/>
                <w:color w:val="auto"/>
              </w:rPr>
            </w:pPr>
          </w:p>
        </w:tc>
        <w:tc>
          <w:tcPr>
            <w:tcW w:w="1240" w:type="dxa"/>
            <w:vAlign w:val="bottom"/>
            <w:gridSpan w:val="2"/>
          </w:tcPr>
          <w:p>
            <w:pPr>
              <w:jc w:val="center"/>
              <w:ind w:right="420"/>
              <w:spacing w:after="0" w:line="131"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0"/>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Level 2:</w:t>
            </w: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40" w:type="dxa"/>
            <w:vAlign w:val="bottom"/>
          </w:tcPr>
          <w:p>
            <w:pPr>
              <w:ind w:left="62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27,235</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9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Government-sponsored enterprise debt securities</w:t>
            </w: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9,078</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36,313</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5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440"/>
              <w:spacing w:after="0" w:line="131" w:lineRule="exact"/>
              <w:rPr>
                <w:sz w:val="20"/>
                <w:szCs w:val="20"/>
                <w:color w:val="auto"/>
              </w:rPr>
            </w:pPr>
            <w:r>
              <w:rPr>
                <w:rFonts w:ascii="Arial" w:cs="Arial" w:eastAsia="Arial" w:hAnsi="Arial"/>
                <w:sz w:val="14"/>
                <w:szCs w:val="14"/>
                <w:b w:val="1"/>
                <w:bCs w:val="1"/>
                <w:color w:val="auto"/>
                <w:w w:val="93"/>
              </w:rPr>
              <w:t>Adjusted</w:t>
            </w:r>
          </w:p>
        </w:tc>
        <w:tc>
          <w:tcPr>
            <w:tcW w:w="180" w:type="dxa"/>
            <w:vAlign w:val="bottom"/>
          </w:tcPr>
          <w:p>
            <w:pPr>
              <w:spacing w:after="0"/>
              <w:rPr>
                <w:sz w:val="11"/>
                <w:szCs w:val="11"/>
                <w:color w:val="auto"/>
              </w:rPr>
            </w:pPr>
          </w:p>
        </w:tc>
        <w:tc>
          <w:tcPr>
            <w:tcW w:w="1240" w:type="dxa"/>
            <w:vAlign w:val="bottom"/>
            <w:gridSpan w:val="2"/>
          </w:tcPr>
          <w:p>
            <w:pPr>
              <w:jc w:val="center"/>
              <w:ind w:right="420"/>
              <w:spacing w:after="0" w:line="131"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1"/>
                <w:szCs w:val="11"/>
                <w:color w:val="auto"/>
              </w:rPr>
            </w:pPr>
          </w:p>
        </w:tc>
        <w:tc>
          <w:tcPr>
            <w:tcW w:w="1240" w:type="dxa"/>
            <w:vAlign w:val="bottom"/>
            <w:gridSpan w:val="2"/>
          </w:tcPr>
          <w:p>
            <w:pPr>
              <w:jc w:val="center"/>
              <w:ind w:right="420"/>
              <w:spacing w:after="0" w:line="131"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0"/>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Level 2:</w:t>
            </w: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40" w:type="dxa"/>
            <w:vAlign w:val="bottom"/>
          </w:tcPr>
          <w:p>
            <w:pPr>
              <w:ind w:left="62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31,521</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9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Government-sponsored enterprise debt securities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34,520</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carrying amounts reported in the condensed consolidated balance sheet approximate the fair value based on quoted market prices or alternative pricing sources and models utilizing market observable inputs. As of March 31, 2019, the Company does not consider any of its marketable securities to be other than temporarily impaired. During the three months ended March 31, 2019 and 2018, the Company did not reclassify any items out of accumulated other comprehensive income to net income. All investments in marketable securities are classified as current assets on the balance sheet because the underlying securities mature within one year from the balance sheet 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DISCONTINUED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Experience</w:t>
      </w:r>
    </w:p>
    <w:p>
      <w:pPr>
        <w:spacing w:after="0" w:line="1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February 12, 2018, the Company divested its PX business to Press Ganey for $65.2 million in cash (after giving effect to the post-closing working capital adjustment), resulting in a gain, net of tax, of $20.2 million, of which $19.0 million was recorded during the year ended December 31, 2018 and $1.2 million was recorded during the three months ended March 31, 2019. Approximately $6.55 million of the proceeds were held in escrow for a period of time following the closing as a source of recovery for indemnification claims by Press Ganey, of which $6.2 million was released and paid to the Company in April 2019. Approximately $328,000 remains in escrow through August 12, 2019 as a source of recovery for potential indemnification claims. The Company previously recorded the escrow funds as a contingent asset, and estimated the probability of receiving the full escrow amount when determining the gain on the sale. Given substantially all of the escrow has been received, the Company recorded a change in its previous estimate through the “Gain on sale of discontinued operations” caption within the condensed consolidated statement of income for the three months ended March 31, 2019.</w:t>
      </w:r>
    </w:p>
    <w:p>
      <w:pPr>
        <w:spacing w:after="0" w:line="60" w:lineRule="exact"/>
        <w:rPr>
          <w:sz w:val="20"/>
          <w:szCs w:val="20"/>
          <w:color w:val="auto"/>
        </w:rPr>
      </w:pPr>
    </w:p>
    <w:p>
      <w:pPr>
        <w:jc w:val="both"/>
        <w:spacing w:after="0" w:line="335" w:lineRule="auto"/>
        <w:rPr>
          <w:sz w:val="20"/>
          <w:szCs w:val="20"/>
          <w:color w:val="auto"/>
        </w:rPr>
      </w:pPr>
      <w:r>
        <w:rPr>
          <w:rFonts w:ascii="Arial" w:cs="Arial" w:eastAsia="Arial" w:hAnsi="Arial"/>
          <w:sz w:val="16"/>
          <w:szCs w:val="16"/>
          <w:color w:val="auto"/>
        </w:rPr>
        <w:t>This sale of the PX business resulted in the divestiture of the Company’s patient experience solutions business segment. The Company has classified the results of its PX business segment as discontinued operations in its condensed consolidated statements of income and cash flows for all periods presented.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73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01" w:lineRule="exact"/>
        <w:rPr>
          <w:sz w:val="20"/>
          <w:szCs w:val="20"/>
          <w:color w:val="auto"/>
        </w:rPr>
      </w:pPr>
    </w:p>
    <w:p>
      <w:pPr>
        <w:jc w:val="both"/>
        <w:spacing w:after="0" w:line="335" w:lineRule="auto"/>
        <w:rPr>
          <w:sz w:val="20"/>
          <w:szCs w:val="20"/>
          <w:color w:val="auto"/>
        </w:rPr>
      </w:pPr>
      <w:r>
        <w:rPr>
          <w:rFonts w:ascii="Arial" w:cs="Arial" w:eastAsia="Arial" w:hAnsi="Arial"/>
          <w:sz w:val="16"/>
          <w:szCs w:val="16"/>
          <w:color w:val="auto"/>
        </w:rPr>
        <w:t>The financial results of the PX business for the period prior to divestiture during the three months ended March 31, 2018 are presented in discontinued operations in the Company’s condensed consolidated statements of income. The following table presents the financial results of the PX business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0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940" w:type="dxa"/>
            <w:vAlign w:val="bottom"/>
            <w:tcBorders>
              <w:top w:val="single" w:sz="8" w:color="auto"/>
              <w:bottom w:val="single" w:sz="8" w:color="auto"/>
            </w:tcBorders>
          </w:tcPr>
          <w:p>
            <w:pPr>
              <w:jc w:val="center"/>
              <w:ind w:right="214"/>
              <w:spacing w:after="0" w:line="154"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60" w:type="dxa"/>
            <w:vAlign w:val="bottom"/>
            <w:shd w:val="clear" w:color="auto" w:fill="CFF0FC"/>
          </w:tcPr>
          <w:p>
            <w:pPr>
              <w:spacing w:after="0"/>
              <w:rPr>
                <w:sz w:val="20"/>
                <w:szCs w:val="20"/>
                <w:color w:val="auto"/>
              </w:rPr>
            </w:pPr>
            <w:r>
              <w:rPr>
                <w:rFonts w:ascii="Arial" w:cs="Arial" w:eastAsia="Arial" w:hAnsi="Arial"/>
                <w:sz w:val="18"/>
                <w:szCs w:val="18"/>
                <w:color w:val="auto"/>
              </w:rPr>
              <w:t>Revenues, net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revenues (excluding depreciation and amortization)</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9060" w:type="dxa"/>
            <w:vAlign w:val="bottom"/>
          </w:tcPr>
          <w:p>
            <w:pPr>
              <w:ind w:left="240"/>
              <w:spacing w:after="0"/>
              <w:rPr>
                <w:sz w:val="20"/>
                <w:szCs w:val="20"/>
                <w:color w:val="auto"/>
              </w:rPr>
            </w:pPr>
            <w:r>
              <w:rPr>
                <w:rFonts w:ascii="Arial" w:cs="Arial" w:eastAsia="Arial" w:hAnsi="Arial"/>
                <w:sz w:val="18"/>
                <w:szCs w:val="18"/>
                <w:color w:val="auto"/>
              </w:rPr>
              <w:t>Product development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9060" w:type="dxa"/>
            <w:vAlign w:val="bottom"/>
          </w:tcPr>
          <w:p>
            <w:pPr>
              <w:ind w:left="240"/>
              <w:spacing w:after="0"/>
              <w:rPr>
                <w:sz w:val="20"/>
                <w:szCs w:val="20"/>
                <w:color w:val="auto"/>
              </w:rPr>
            </w:pPr>
            <w:r>
              <w:rPr>
                <w:rFonts w:ascii="Arial" w:cs="Arial" w:eastAsia="Arial" w:hAnsi="Arial"/>
                <w:sz w:val="18"/>
                <w:szCs w:val="18"/>
                <w:color w:val="auto"/>
              </w:rPr>
              <w:t>Other general and administrative expenses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60" w:type="dxa"/>
            <w:vAlign w:val="bottom"/>
          </w:tcPr>
          <w:p>
            <w:pPr>
              <w:ind w:left="480"/>
              <w:spacing w:after="0"/>
              <w:rPr>
                <w:sz w:val="20"/>
                <w:szCs w:val="20"/>
                <w:color w:val="auto"/>
              </w:rPr>
            </w:pPr>
            <w:r>
              <w:rPr>
                <w:rFonts w:ascii="Arial" w:cs="Arial" w:eastAsia="Arial" w:hAnsi="Arial"/>
                <w:sz w:val="18"/>
                <w:szCs w:val="18"/>
                <w:color w:val="auto"/>
              </w:rPr>
              <w:t>Total operating costs and expenses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3,406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9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Operating loss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9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Other loss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90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Loss from discontinued operations before income tax provision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provision</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908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SEGMENTS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provides services to healthcare organizations and other members within the healthcare industry. The Company’s services are focused on the delivery of workforce development products and services (HealthStream Workforce Solutions) and provider credentialing, privileging, and enrollment products and services (HealthStream Provider Solutions).</w:t>
      </w:r>
    </w:p>
    <w:p>
      <w:pPr>
        <w:spacing w:after="0" w:line="7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As noted above, the sale of the PX business on February 12, 2018 resulted in the divestiture of the Company’s Patient Experience Solutions segment. Beginning with the first quarter of 2018, the Company classified the results of its Patient Experience Solutions segment as discontinued operations in its condensed consolidated statements of income and cash flows for all periods presented. See Note 8 for additional information.</w:t>
      </w:r>
    </w:p>
    <w:p>
      <w:pPr>
        <w:spacing w:after="0" w:line="6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measures segment performance based on operating income before income taxes and prior to the allocation of certain corporate overhead expenses, interest income, interest expense, and depreciation. The Unallocated component below includes corporate functions, such as accounting, human resources, legal, investor relations, information systems, administrative and executive personnel, depreciation, a portion of amortization, and certain other expenses, which are not currently allocated in measuring segment performance. The following is the Company’s business segment information for the three months ended March 31, 2019 and 2018 and as of March 31, 2019 and December 31, 2018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88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Revenues, net:</w:t>
            </w:r>
          </w:p>
        </w:tc>
        <w:tc>
          <w:tcPr>
            <w:tcW w:w="29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29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54,295</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Provider Solutions</w:t>
            </w:r>
          </w:p>
        </w:tc>
        <w:tc>
          <w:tcPr>
            <w:tcW w:w="29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10,892</w:t>
            </w:r>
          </w:p>
        </w:tc>
        <w:tc>
          <w:tcPr>
            <w:tcW w:w="3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 net</w:t>
            </w:r>
          </w:p>
        </w:tc>
        <w:tc>
          <w:tcPr>
            <w:tcW w:w="29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65,187</w:t>
            </w:r>
          </w:p>
        </w:tc>
        <w:tc>
          <w:tcPr>
            <w:tcW w:w="3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54,858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from continuing operations:</w:t>
            </w:r>
          </w:p>
        </w:tc>
        <w:tc>
          <w:tcPr>
            <w:tcW w:w="2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880" w:type="dxa"/>
            <w:vAlign w:val="bottom"/>
            <w:vMerge w:val="continue"/>
          </w:tcPr>
          <w:p>
            <w:pPr>
              <w:spacing w:after="0"/>
              <w:rPr>
                <w:sz w:val="12"/>
                <w:szCs w:val="12"/>
                <w:color w:val="auto"/>
              </w:rPr>
            </w:pPr>
          </w:p>
        </w:tc>
        <w:tc>
          <w:tcPr>
            <w:tcW w:w="2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3340" w:type="dxa"/>
            <w:vAlign w:val="bottom"/>
            <w:gridSpan w:val="2"/>
            <w:shd w:val="clear" w:color="auto" w:fill="CFF0FC"/>
          </w:tcPr>
          <w:p>
            <w:pPr>
              <w:jc w:val="right"/>
              <w:ind w:right="17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11,529</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80" w:type="dxa"/>
            <w:vAlign w:val="bottom"/>
          </w:tcPr>
          <w:p>
            <w:pPr>
              <w:ind w:left="260"/>
              <w:spacing w:after="0"/>
              <w:rPr>
                <w:sz w:val="20"/>
                <w:szCs w:val="20"/>
                <w:color w:val="auto"/>
              </w:rPr>
            </w:pPr>
            <w:r>
              <w:rPr>
                <w:rFonts w:ascii="Arial" w:cs="Arial" w:eastAsia="Arial" w:hAnsi="Arial"/>
                <w:sz w:val="18"/>
                <w:szCs w:val="18"/>
                <w:color w:val="auto"/>
              </w:rPr>
              <w:t>Provider Solutions</w:t>
            </w:r>
          </w:p>
        </w:tc>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1,436</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Unallocated</w:t>
            </w:r>
          </w:p>
        </w:tc>
        <w:tc>
          <w:tcPr>
            <w:tcW w:w="2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(7,596)</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(6,019)</w:t>
            </w:r>
          </w:p>
        </w:tc>
        <w:tc>
          <w:tcPr>
            <w:tcW w:w="0" w:type="dxa"/>
            <w:vAlign w:val="bottom"/>
          </w:tcPr>
          <w:p>
            <w:pPr>
              <w:spacing w:after="0"/>
              <w:rPr>
                <w:sz w:val="1"/>
                <w:szCs w:val="1"/>
                <w:color w:val="auto"/>
              </w:rPr>
            </w:pPr>
          </w:p>
        </w:tc>
      </w:tr>
      <w:tr>
        <w:trPr>
          <w:trHeight w:val="220"/>
        </w:trPr>
        <w:tc>
          <w:tcPr>
            <w:tcW w:w="4880" w:type="dxa"/>
            <w:vAlign w:val="bottom"/>
          </w:tcPr>
          <w:p>
            <w:pPr>
              <w:ind w:left="500"/>
              <w:spacing w:after="0"/>
              <w:rPr>
                <w:sz w:val="20"/>
                <w:szCs w:val="20"/>
                <w:color w:val="auto"/>
              </w:rPr>
            </w:pPr>
            <w:r>
              <w:rPr>
                <w:rFonts w:ascii="Arial" w:cs="Arial" w:eastAsia="Arial" w:hAnsi="Arial"/>
                <w:sz w:val="18"/>
                <w:szCs w:val="18"/>
                <w:color w:val="auto"/>
              </w:rPr>
              <w:t>Total operating income from continuing operations</w:t>
            </w:r>
          </w:p>
        </w:tc>
        <w:tc>
          <w:tcPr>
            <w:tcW w:w="29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5,369</w:t>
            </w: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980" w:type="dxa"/>
            <w:vAlign w:val="bottom"/>
            <w:vMerge w:val="restart"/>
          </w:tcPr>
          <w:p>
            <w:pPr>
              <w:jc w:val="right"/>
              <w:ind w:right="1971"/>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488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488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7231380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60" w:type="dxa"/>
            <w:vAlign w:val="bottom"/>
          </w:tcPr>
          <w:p>
            <w:pPr>
              <w:spacing w:after="0"/>
              <w:rPr>
                <w:sz w:val="20"/>
                <w:szCs w:val="20"/>
                <w:color w:val="auto"/>
              </w:rPr>
            </w:pPr>
            <w:r>
              <w:rPr>
                <w:rFonts w:ascii="Arial" w:cs="Arial" w:eastAsia="Arial" w:hAnsi="Arial"/>
                <w:sz w:val="14"/>
                <w:szCs w:val="14"/>
                <w:b w:val="1"/>
                <w:bCs w:val="1"/>
                <w:color w:val="auto"/>
              </w:rPr>
              <w:t>Segment assets *</w:t>
            </w:r>
          </w:p>
        </w:tc>
        <w:tc>
          <w:tcPr>
            <w:tcW w:w="240" w:type="dxa"/>
            <w:vAlign w:val="bottom"/>
          </w:tcPr>
          <w:p>
            <w:pPr>
              <w:spacing w:after="0"/>
              <w:rPr>
                <w:sz w:val="14"/>
                <w:szCs w:val="14"/>
                <w:color w:val="auto"/>
              </w:rPr>
            </w:pPr>
          </w:p>
        </w:tc>
        <w:tc>
          <w:tcPr>
            <w:tcW w:w="17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2018</w:t>
            </w:r>
          </w:p>
        </w:tc>
      </w:tr>
      <w:tr>
        <w:trPr>
          <w:trHeight w:val="221"/>
        </w:trPr>
        <w:tc>
          <w:tcPr>
            <w:tcW w:w="75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24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134,249</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104,668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7560" w:type="dxa"/>
            <w:vAlign w:val="bottom"/>
          </w:tcPr>
          <w:p>
            <w:pPr>
              <w:ind w:left="260"/>
              <w:spacing w:after="0"/>
              <w:rPr>
                <w:sz w:val="20"/>
                <w:szCs w:val="20"/>
                <w:color w:val="auto"/>
              </w:rPr>
            </w:pPr>
            <w:r>
              <w:rPr>
                <w:rFonts w:ascii="Arial" w:cs="Arial" w:eastAsia="Arial" w:hAnsi="Arial"/>
                <w:sz w:val="18"/>
                <w:szCs w:val="18"/>
                <w:color w:val="auto"/>
              </w:rPr>
              <w:t>Provider Solutions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143,297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145,637</w:t>
            </w:r>
          </w:p>
        </w:tc>
        <w:tc>
          <w:tcPr>
            <w:tcW w:w="120" w:type="dxa"/>
            <w:vAlign w:val="bottom"/>
          </w:tcPr>
          <w:p>
            <w:pPr>
              <w:spacing w:after="0"/>
              <w:rPr>
                <w:sz w:val="19"/>
                <w:szCs w:val="19"/>
                <w:color w:val="auto"/>
              </w:rPr>
            </w:pPr>
          </w:p>
        </w:tc>
      </w:tr>
      <w:tr>
        <w:trPr>
          <w:trHeight w:val="228"/>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Unallocated</w:t>
            </w:r>
          </w:p>
        </w:tc>
        <w:tc>
          <w:tcPr>
            <w:tcW w:w="2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205,954</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191,643</w:t>
            </w:r>
          </w:p>
        </w:tc>
        <w:tc>
          <w:tcPr>
            <w:tcW w:w="120" w:type="dxa"/>
            <w:vAlign w:val="bottom"/>
            <w:shd w:val="clear" w:color="auto" w:fill="CFF0FC"/>
          </w:tcPr>
          <w:p>
            <w:pPr>
              <w:spacing w:after="0"/>
              <w:rPr>
                <w:sz w:val="19"/>
                <w:szCs w:val="19"/>
                <w:color w:val="auto"/>
              </w:rPr>
            </w:pPr>
          </w:p>
        </w:tc>
      </w:tr>
      <w:tr>
        <w:trPr>
          <w:trHeight w:val="221"/>
        </w:trPr>
        <w:tc>
          <w:tcPr>
            <w:tcW w:w="756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483,500</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441,948</w:t>
            </w:r>
          </w:p>
        </w:tc>
        <w:tc>
          <w:tcPr>
            <w:tcW w:w="12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2" w:lineRule="exact"/>
        <w:rPr>
          <w:sz w:val="20"/>
          <w:szCs w:val="20"/>
          <w:color w:val="auto"/>
        </w:rPr>
      </w:pPr>
    </w:p>
    <w:p>
      <w:pPr>
        <w:jc w:val="both"/>
        <w:ind w:left="400" w:hanging="393"/>
        <w:spacing w:after="0" w:line="236" w:lineRule="auto"/>
        <w:tabs>
          <w:tab w:leader="none" w:pos="40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Segment assets include accounts and unbilled receivables, prepaid and other current assets, other assets, capitalized software development, certain property and equipment, and intangible assets. Cash and cash equivalents and marketable securities are not allocated to individual segments, and are included within Unallocated. A significant portion of property and equipment assets are included within Unallocated.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Providigm, LLC</w:t>
      </w:r>
    </w:p>
    <w:p>
      <w:pPr>
        <w:spacing w:after="0" w:line="11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January 10, 2019, the Company acquired the outstanding equity of Providigm, LLC (“Providigm”), a Denver, Colorado based company focusing on quality assurance and performance improvement in healthcare, primarily serving skilled nursing facilities. The Company acquired Providigm to add its comprehensive quality management system, known as “abaqis®,” to its product portfolio and gain customers in the skilled nursing market. The consideration paid for Providigm consisted of approximately $18.0 million in cash, which the Company funded with cash on hand (subject to a post-closing working capital adjustment). In addition, up to an additional $500,000 in cash may be paid by the Company based on the financial performance of Providigm during an 18-month period following closing. Of the purchase price paid by the Company at closing, $500,000 will be held in escrow for a period of time following the closing to serve as a source of recovery for any post-closting working capital adjustment claims in favor of the Company, and an additional $3.65 million will be held in escrow for a period of time following the closing to serve as a source of recovery for certain potential indemnification claims by the Company. The Company incurred approximately $329,000 in transaction costs, which were primarily incurred during the year ended December 31, 2018. The transaction costs were recorded in the “other general and administrative” caption in the condensed consolidated statements of income for such periods. The results of operations for Providigm have been included in the HealthStream Workforce Solutions segment of the Company’s condensed consolidated financial statements from the date of acquisition.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purchase price is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180" w:type="dxa"/>
            <w:vAlign w:val="bottom"/>
          </w:tcPr>
          <w:p>
            <w:pPr>
              <w:spacing w:after="0"/>
              <w:rPr>
                <w:sz w:val="20"/>
                <w:szCs w:val="20"/>
                <w:color w:val="auto"/>
              </w:rPr>
            </w:pPr>
            <w:r>
              <w:rPr>
                <w:rFonts w:ascii="Arial" w:cs="Arial" w:eastAsia="Arial" w:hAnsi="Arial"/>
                <w:sz w:val="18"/>
                <w:szCs w:val="18"/>
                <w:color w:val="auto"/>
              </w:rPr>
              <w:t>Cash paid at closing</w:t>
            </w:r>
          </w:p>
        </w:tc>
        <w:tc>
          <w:tcPr>
            <w:tcW w:w="860" w:type="dxa"/>
            <w:vAlign w:val="bottom"/>
          </w:tcPr>
          <w:p>
            <w:pPr>
              <w:jc w:val="right"/>
              <w:ind w:right="671"/>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13,852</w:t>
            </w:r>
          </w:p>
        </w:tc>
        <w:tc>
          <w:tcPr>
            <w:tcW w:w="120" w:type="dxa"/>
            <w:vAlign w:val="bottom"/>
          </w:tcPr>
          <w:p>
            <w:pPr>
              <w:spacing w:after="0"/>
              <w:rPr>
                <w:sz w:val="19"/>
                <w:szCs w:val="19"/>
                <w:color w:val="auto"/>
              </w:rPr>
            </w:pPr>
          </w:p>
        </w:tc>
      </w:tr>
      <w:tr>
        <w:trPr>
          <w:trHeight w:val="229"/>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Cash held in escrow</w:t>
            </w:r>
          </w:p>
        </w:tc>
        <w:tc>
          <w:tcPr>
            <w:tcW w:w="8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4,150</w:t>
            </w:r>
          </w:p>
        </w:tc>
        <w:tc>
          <w:tcPr>
            <w:tcW w:w="120" w:type="dxa"/>
            <w:vAlign w:val="bottom"/>
            <w:shd w:val="clear" w:color="auto" w:fill="CFF0FC"/>
          </w:tcPr>
          <w:p>
            <w:pPr>
              <w:spacing w:after="0"/>
              <w:rPr>
                <w:sz w:val="19"/>
                <w:szCs w:val="19"/>
                <w:color w:val="auto"/>
              </w:rPr>
            </w:pPr>
          </w:p>
        </w:tc>
      </w:tr>
      <w:tr>
        <w:trPr>
          <w:trHeight w:val="221"/>
        </w:trPr>
        <w:tc>
          <w:tcPr>
            <w:tcW w:w="9180" w:type="dxa"/>
            <w:vAlign w:val="bottom"/>
          </w:tcPr>
          <w:p>
            <w:pPr>
              <w:ind w:left="500"/>
              <w:spacing w:after="0"/>
              <w:rPr>
                <w:sz w:val="20"/>
                <w:szCs w:val="20"/>
                <w:color w:val="auto"/>
              </w:rPr>
            </w:pPr>
            <w:r>
              <w:rPr>
                <w:rFonts w:ascii="Arial" w:cs="Arial" w:eastAsia="Arial" w:hAnsi="Arial"/>
                <w:sz w:val="18"/>
                <w:szCs w:val="18"/>
                <w:color w:val="auto"/>
              </w:rPr>
              <w:t>Total consideration paid</w:t>
            </w:r>
          </w:p>
        </w:tc>
        <w:tc>
          <w:tcPr>
            <w:tcW w:w="86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18,002</w:t>
            </w:r>
          </w:p>
        </w:tc>
        <w:tc>
          <w:tcPr>
            <w:tcW w:w="120" w:type="dxa"/>
            <w:vAlign w:val="bottom"/>
          </w:tcPr>
          <w:p>
            <w:pPr>
              <w:spacing w:after="0"/>
              <w:rPr>
                <w:sz w:val="19"/>
                <w:szCs w:val="19"/>
                <w:color w:val="auto"/>
              </w:rPr>
            </w:pPr>
          </w:p>
        </w:tc>
      </w:tr>
      <w:tr>
        <w:trPr>
          <w:trHeight w:val="20"/>
        </w:trPr>
        <w:tc>
          <w:tcPr>
            <w:tcW w:w="9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preliminary fair value of the assets acquired and liabilities assumed as of the date of acquisition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Accounts and unbilled receivable, net</w:t>
            </w:r>
          </w:p>
        </w:tc>
        <w:tc>
          <w:tcPr>
            <w:tcW w:w="5780" w:type="dxa"/>
            <w:vAlign w:val="bottom"/>
            <w:gridSpan w:val="2"/>
          </w:tcPr>
          <w:p>
            <w:pPr>
              <w:jc w:val="right"/>
              <w:ind w:right="671"/>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Prepaid assets</w:t>
            </w:r>
          </w:p>
        </w:tc>
        <w:tc>
          <w:tcPr>
            <w:tcW w:w="49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49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Other assets</w:t>
            </w:r>
          </w:p>
        </w:tc>
        <w:tc>
          <w:tcPr>
            <w:tcW w:w="4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49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Goodwill</w:t>
            </w:r>
          </w:p>
        </w:tc>
        <w:tc>
          <w:tcPr>
            <w:tcW w:w="4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49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4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49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4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21"/>
        </w:trPr>
        <w:tc>
          <w:tcPr>
            <w:tcW w:w="426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assets acquired</w:t>
            </w:r>
          </w:p>
        </w:tc>
        <w:tc>
          <w:tcPr>
            <w:tcW w:w="49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71"/>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920" w:type="dxa"/>
            <w:vAlign w:val="bottom"/>
            <w:vMerge w:val="restart"/>
          </w:tcPr>
          <w:p>
            <w:pPr>
              <w:jc w:val="right"/>
              <w:ind w:right="3291"/>
              <w:spacing w:after="0"/>
              <w:rPr>
                <w:sz w:val="20"/>
                <w:szCs w:val="20"/>
                <w:color w:val="auto"/>
              </w:rPr>
            </w:pPr>
            <w:r>
              <w:rPr>
                <w:rFonts w:ascii="Arial" w:cs="Arial" w:eastAsia="Arial" w:hAnsi="Arial"/>
                <w:sz w:val="18"/>
                <w:szCs w:val="18"/>
                <w:color w:val="auto"/>
              </w:rPr>
              <w:t>12</w:t>
            </w: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426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426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7231380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excess of preliminary purchase price over the preliminary fair values of net tangible and intangible assets is recorded as goodwill. The preliminary fair values of tangible and identifiable intangible assets and liabilities are based on management’s estimates and assumptions. The preliminary fair values of assets acquired and liabilities assumed are subject to change during the measurement period (up to one year from the acquisition date) as the Company finalizes the valuation of these items. The primary areas of the preliminary purchase price allocation that are not finalized include working capital, the composition and valuation of intangible assets, goodwill, indemnification asset and liability, and contingent consideration. The goodwill balance is primarily attributed to the assembled workforce, additional market opportunities from offering Providigm’s products, and expected synergies from integrating Providigm with other products or other combined functional areas within the Company. The goodwill balance is deductible for U.S. income tax purposes. The net tangible assets include deferred revenue, which was preliminarily adjusted down from a book value at the acquisition date of $266,000 to an estimated fair value of $141,000. The preliminary $125,000 write-down of deferred revenue will result in lower revenues than would have otherwise been recognized for such services. The acquired assets and liabilities include a $750,000 indemnification asset and liability related to tax liabilities. The purchase agreement also contains a provision for up to $500,000 of additional consideration based on the achievement of financial performance targets by Providigm during an 18-month period following the closing date. Management assessed the likelihood of achieving the financial performance targets, which has been included in the preliminary purchase price allocation.</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preliminary components of identifiable intangible assets and their estimated useful lives as of the acquisition date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Preliminary Fair Value</w:t>
            </w:r>
          </w:p>
        </w:tc>
        <w:tc>
          <w:tcPr>
            <w:tcW w:w="280" w:type="dxa"/>
            <w:vAlign w:val="bottom"/>
            <w:tcBorders>
              <w:bottom w:val="single" w:sz="8" w:color="CFF0FC"/>
            </w:tcBorders>
          </w:tcPr>
          <w:p>
            <w:pPr>
              <w:spacing w:after="0"/>
              <w:rPr>
                <w:sz w:val="14"/>
                <w:szCs w:val="14"/>
                <w:color w:val="auto"/>
              </w:rPr>
            </w:pPr>
          </w:p>
        </w:tc>
        <w:tc>
          <w:tcPr>
            <w:tcW w:w="18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Useful life</w:t>
            </w:r>
          </w:p>
        </w:tc>
      </w:tr>
      <w:tr>
        <w:trPr>
          <w:trHeight w:val="221"/>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w:t>
            </w:r>
          </w:p>
        </w:tc>
        <w:tc>
          <w:tcPr>
            <w:tcW w:w="280" w:type="dxa"/>
            <w:vAlign w:val="bottom"/>
            <w:shd w:val="clear" w:color="auto" w:fill="CFF0FC"/>
          </w:tcPr>
          <w:p>
            <w:pPr>
              <w:spacing w:after="0"/>
              <w:rPr>
                <w:sz w:val="19"/>
                <w:szCs w:val="19"/>
                <w:color w:val="auto"/>
              </w:rPr>
            </w:pPr>
          </w:p>
        </w:tc>
        <w:tc>
          <w:tcPr>
            <w:tcW w:w="1860" w:type="dxa"/>
            <w:vAlign w:val="bottom"/>
            <w:shd w:val="clear" w:color="auto" w:fill="CFF0FC"/>
          </w:tcPr>
          <w:p>
            <w:pPr>
              <w:ind w:left="1340"/>
              <w:spacing w:after="0"/>
              <w:rPr>
                <w:sz w:val="20"/>
                <w:szCs w:val="20"/>
                <w:color w:val="auto"/>
              </w:rPr>
            </w:pPr>
            <w:r>
              <w:rPr>
                <w:rFonts w:ascii="Arial" w:cs="Arial" w:eastAsia="Arial" w:hAnsi="Arial"/>
                <w:sz w:val="18"/>
                <w:szCs w:val="18"/>
                <w:color w:val="auto"/>
                <w:w w:val="84"/>
              </w:rPr>
              <w:t>8 years</w:t>
            </w:r>
          </w:p>
        </w:tc>
      </w:tr>
      <w:tr>
        <w:trPr>
          <w:trHeight w:val="227"/>
        </w:trPr>
        <w:tc>
          <w:tcPr>
            <w:tcW w:w="7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Developed technology</w:t>
            </w: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280" w:type="dxa"/>
            <w:vAlign w:val="bottom"/>
            <w:tcBorders>
              <w:bottom w:val="single" w:sz="8" w:color="CFF0FC"/>
            </w:tcBorders>
          </w:tcPr>
          <w:p>
            <w:pPr>
              <w:spacing w:after="0"/>
              <w:rPr>
                <w:sz w:val="19"/>
                <w:szCs w:val="19"/>
                <w:color w:val="auto"/>
              </w:rPr>
            </w:pPr>
          </w:p>
        </w:tc>
        <w:tc>
          <w:tcPr>
            <w:tcW w:w="1860" w:type="dxa"/>
            <w:vAlign w:val="bottom"/>
            <w:tcBorders>
              <w:bottom w:val="single" w:sz="8" w:color="CFF0FC"/>
            </w:tcBorders>
          </w:tcPr>
          <w:p>
            <w:pPr>
              <w:ind w:left="1340"/>
              <w:spacing w:after="0"/>
              <w:rPr>
                <w:sz w:val="20"/>
                <w:szCs w:val="20"/>
                <w:color w:val="auto"/>
              </w:rPr>
            </w:pPr>
            <w:r>
              <w:rPr>
                <w:rFonts w:ascii="Arial" w:cs="Arial" w:eastAsia="Arial" w:hAnsi="Arial"/>
                <w:sz w:val="18"/>
                <w:szCs w:val="18"/>
                <w:color w:val="auto"/>
                <w:w w:val="84"/>
              </w:rPr>
              <w:t>4 years</w:t>
            </w:r>
          </w:p>
        </w:tc>
      </w:tr>
      <w:tr>
        <w:trPr>
          <w:trHeight w:val="221"/>
        </w:trPr>
        <w:tc>
          <w:tcPr>
            <w:tcW w:w="75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preliminary intangible assets subject to amortization</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8,225</w:t>
            </w:r>
          </w:p>
        </w:tc>
        <w:tc>
          <w:tcPr>
            <w:tcW w:w="280" w:type="dxa"/>
            <w:vAlign w:val="bottom"/>
            <w:tcBorders>
              <w:bottom w:val="single" w:sz="8" w:color="CFF0FC"/>
            </w:tcBorders>
            <w:shd w:val="clear" w:color="auto" w:fill="CFF0FC"/>
          </w:tcPr>
          <w:p>
            <w:pPr>
              <w:spacing w:after="0"/>
              <w:rPr>
                <w:sz w:val="19"/>
                <w:szCs w:val="19"/>
                <w:color w:val="auto"/>
              </w:rPr>
            </w:pPr>
          </w:p>
        </w:tc>
        <w:tc>
          <w:tcPr>
            <w:tcW w:w="1860" w:type="dxa"/>
            <w:vAlign w:val="bottom"/>
            <w:tcBorders>
              <w:bottom w:val="single" w:sz="8" w:color="CFF0FC"/>
            </w:tcBorders>
            <w:shd w:val="clear" w:color="auto" w:fill="CFF0FC"/>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The amounts of revenue and operating loss of Providigm included in the Company’s condensed consolidated statement of income from the date of acquisition of</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January 10, 2019 to the period ending March 31, 2019 are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9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revenues</w:t>
            </w:r>
          </w:p>
        </w:tc>
        <w:tc>
          <w:tcPr>
            <w:tcW w:w="90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120" w:type="dxa"/>
            <w:vAlign w:val="bottom"/>
            <w:tcBorders>
              <w:bottom w:val="single" w:sz="8" w:color="CFF0FC"/>
            </w:tcBorders>
          </w:tcPr>
          <w:p>
            <w:pPr>
              <w:spacing w:after="0"/>
              <w:rPr>
                <w:sz w:val="23"/>
                <w:szCs w:val="23"/>
                <w:color w:val="auto"/>
              </w:rPr>
            </w:pPr>
          </w:p>
        </w:tc>
      </w:tr>
      <w:tr>
        <w:trPr>
          <w:trHeight w:val="208"/>
        </w:trPr>
        <w:tc>
          <w:tcPr>
            <w:tcW w:w="9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900" w:type="dxa"/>
            <w:vAlign w:val="bottom"/>
            <w:tcBorders>
              <w:bottom w:val="single" w:sz="8" w:color="auto"/>
            </w:tcBorders>
            <w:shd w:val="clear" w:color="auto" w:fill="CFF0FC"/>
          </w:tcPr>
          <w:p>
            <w:pPr>
              <w:jc w:val="right"/>
              <w:ind w:right="71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9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 following unaudited pro forma financial information summarizes the combined results of continuing and discontinued operations of the Company, unless otherwise noted, and Providigm as though the companies were combined as of January 1, 2018 (in thousands, except per share data):</w:t>
      </w:r>
    </w:p>
    <w:p>
      <w:pPr>
        <w:spacing w:after="0" w:line="50"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4805045</wp:posOffset>
            </wp:positionH>
            <wp:positionV relativeFrom="paragraph">
              <wp:posOffset>-3810</wp:posOffset>
            </wp:positionV>
            <wp:extent cx="23704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70455"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364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6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5040" w:type="dxa"/>
            <w:vAlign w:val="bottom"/>
            <w:tcBorders>
              <w:bottom w:val="single" w:sz="8" w:color="CFF0FC"/>
            </w:tcBorders>
            <w:vMerge w:val="continue"/>
          </w:tcPr>
          <w:p>
            <w:pPr>
              <w:spacing w:after="0"/>
              <w:rPr>
                <w:sz w:val="22"/>
                <w:szCs w:val="22"/>
                <w:color w:val="auto"/>
              </w:rPr>
            </w:pPr>
          </w:p>
        </w:tc>
        <w:tc>
          <w:tcPr>
            <w:tcW w:w="2520" w:type="dxa"/>
            <w:vAlign w:val="bottom"/>
            <w:tcBorders>
              <w:bottom w:val="single" w:sz="8" w:color="CFF0FC"/>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931"/>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65,498</w:t>
            </w:r>
          </w:p>
        </w:tc>
        <w:tc>
          <w:tcPr>
            <w:tcW w:w="1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CFF0FC"/>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60,188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continuing operations</w:t>
            </w:r>
          </w:p>
        </w:tc>
        <w:tc>
          <w:tcPr>
            <w:tcW w:w="25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931"/>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4,834</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36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040" w:type="dxa"/>
            <w:vAlign w:val="bottom"/>
            <w:tcBorders>
              <w:bottom w:val="single" w:sz="8" w:color="CFF0FC"/>
            </w:tcBorders>
            <w:vMerge w:val="continue"/>
          </w:tcPr>
          <w:p>
            <w:pPr>
              <w:spacing w:after="0"/>
              <w:rPr>
                <w:sz w:val="21"/>
                <w:szCs w:val="21"/>
                <w:color w:val="auto"/>
              </w:rPr>
            </w:pPr>
          </w:p>
        </w:tc>
        <w:tc>
          <w:tcPr>
            <w:tcW w:w="2520" w:type="dxa"/>
            <w:vAlign w:val="bottom"/>
            <w:tcBorders>
              <w:bottom w:val="single" w:sz="8" w:color="CFF0FC"/>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931"/>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6,028</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23,640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per share - basic</w:t>
            </w:r>
          </w:p>
        </w:tc>
        <w:tc>
          <w:tcPr>
            <w:tcW w:w="25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931"/>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Net income per share - diluted</w:t>
            </w:r>
          </w:p>
        </w:tc>
        <w:tc>
          <w:tcPr>
            <w:tcW w:w="36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40" w:type="dxa"/>
            <w:vAlign w:val="bottom"/>
            <w:vMerge w:val="continue"/>
          </w:tcPr>
          <w:p>
            <w:pPr>
              <w:spacing w:after="0"/>
              <w:rPr>
                <w:sz w:val="18"/>
                <w:szCs w:val="18"/>
                <w:color w:val="auto"/>
              </w:rPr>
            </w:pPr>
          </w:p>
        </w:tc>
        <w:tc>
          <w:tcPr>
            <w:tcW w:w="25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31"/>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unaudited pro forma combined results of operations include certain adjustments arising from the acquisition, such as amortization of intangible assets, depreciation of property and equipment, interest expense related to Providigm’s previously outstanding debt, and fair value adjustments of acquired deferred revenue balances. The unaudited pro forma combined results of operations is for informational purposes only and is not indicative of what the Company’s results of operations would have been had the transaction occurred at the beginning of the earliest period presented or to project the Company’s results of operations in any future period.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73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11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 December 31, 2018, the Company entered into a Second Amendment to its Revolving Credit Agreement, dated as of November 24, 2014 (as amended, the “Revolving Credit Facility”), with SunTrust Bank (“SunTrust”), which extended the maturity date to November 24, 2020. Under the Revolving Credit Facility, the Company may borrow up to $50.0 million, which includes a $5.0 million swing 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The obligations under the Revolving Credit Facility are guaranteed by each of the Company’s subsidiaries. At the Company’s election, the borrowings under the Revolving Credit Facility bear interest at either (1) a rate per annum equal to the highest of SunTrust’s prime rate or 0.5% in excess of the Federal Funds Rate or 1.0% in excess of one-month LIBOR (the “Base Rate”), plus an applicable margin, or (2) the one, two, three, or six month per annum LIBOR for deposits in the applicable currency (the “Eurocurrency Rate”), as selected by the Company, plus an applicable margin. The applicable margin for Eurocurrency Rate loans depends on the Company’s funded debt leverage ratio and varies from 1.50% to 2.00%. The applicable margin for Base Rate loans depends on the Company’s funded debt leverage ratio and varies from 0.50% to 1.50%. Commitment fees and letter of credit fees are also payable under the Revolving Credit Facility. Principal is payable in full at maturity on November 24, 2020,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purpose of the Revolving Credit Facility is for general working capital needs, permitted acquisitions (as defined in the Revolving Credit Facility), and for stock repurchase and/or redemption transactions that the Company may authorize.</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Revolving Credit Facility requires the Company to meet certain financial tests, including, without limitation:</w:t>
      </w:r>
    </w:p>
    <w:p>
      <w:pPr>
        <w:spacing w:after="0" w:line="114" w:lineRule="exact"/>
        <w:rPr>
          <w:sz w:val="20"/>
          <w:szCs w:val="20"/>
          <w:color w:val="auto"/>
        </w:rPr>
      </w:pPr>
    </w:p>
    <w:p>
      <w:pPr>
        <w:ind w:left="400" w:hanging="393"/>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funded debt leverage ratio (consolidated debt/consolidated EBITDA) of not greater than 3.0 to 1.0; and</w:t>
      </w:r>
    </w:p>
    <w:p>
      <w:pPr>
        <w:spacing w:after="0" w:line="114" w:lineRule="exact"/>
        <w:rPr>
          <w:rFonts w:ascii="Arial" w:cs="Arial" w:eastAsia="Arial" w:hAnsi="Arial"/>
          <w:sz w:val="18"/>
          <w:szCs w:val="18"/>
          <w:color w:val="auto"/>
        </w:rPr>
      </w:pPr>
    </w:p>
    <w:p>
      <w:pPr>
        <w:ind w:left="400" w:hanging="393"/>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interest coverage ratio (consolidated EBITDA/consolidated interest expense) of not less than 3.0 to 1.0.</w:t>
      </w:r>
    </w:p>
    <w:p>
      <w:pPr>
        <w:spacing w:after="0" w:line="11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of March 31, 2019, the Company was in compliance with all covenants. There were no balances outstanding on the Revolving Credit Facility as of or during the three months ended March 31, 2019.</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73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Effective January 1, 2019, the Company adopted ASC 842, which requires an entity to recognize a right-of-use (“ROU”) asset and a lease liability on the balance sheet for substantially all leases, including operating leases, using the modified retrospective approach. The Company elected to use the package of practicable expedients which allows companies to not reassess the following: (1) the lease classification for any expired or existing leases, (2) the treatment of initial direct costs as they related to existing leases, and (3) whether expired or existing contracts are or contain leases. The Company did not elect the use of the hindsight practical expedient, but did elect the practical expedient not to separate lease components from non-lease components related to its office space leases.</w:t>
      </w:r>
    </w:p>
    <w:p>
      <w:pPr>
        <w:spacing w:after="0" w:line="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Upon adoption of ASC 842, the Company had non-cancellable operating leases for office space subject to recognition as ROU assets. Accordingly, on January 1, 2019 the Company recorded $4.8 million in ROU assets and $6.4 million in operating lease liabilities (the difference of $1.6 million related to existing deferred rent liabilities as of December 31, 2018 which had the effect of reducing our ROU asset upon adoption). During the first quarter of 2019, the Company acquired an operating lease as part of its acquisition of Providigm, resulting in a $1.2 million ROU asset and lease liability, and another operating lease for office space commenced for the Company’s new corporate headquarters in Nashville, TN, resulting in a $26.5 million ROU asset and lease liability. As of March 31, 2019, the Company does not have any leases that have not yet commenced.</w:t>
      </w:r>
    </w:p>
    <w:p>
      <w:pPr>
        <w:spacing w:after="0" w:line="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does not have any lease contracts that contain: (1) an option to extend that the Company is reasonably certain to exercise, (2) an option to terminate that the Company is reasonably certain not to exercise, or (3) an option to extend (or not to terminate) in which exercise of the option is controlled by the lessor. Additionally, the Company does not have any leases with residual value guarantees or material restrictive covenants. For leases already commenced, the lease term was determined to be the remaining months in the lease term as of January 1, 2019, the date of adoption. The Company has elected not to recognize leases with initial terms of one year or less on the balance sheet. Lease liabilities and their corresponding right-of-use assets have been recorded based on the present value of the future lease payments over the expected lease term. Most of the Company’s lease agreements contain provisions for escalating rent payments over the term of the lease.</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leases do not contain readily determinable implicit discount rates, therefore, the Company must use its incremental borrowing rate to discount the future lease payments based on information available at lease commencement. The incremental borrowing rate was estimated by determining the rate of interest that the Company would have to pay to borrow on a collateralized basis over a similar term an amount equal to the lease payments in a similar economic environment.</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operating lease cost as presented in the “other general and administrative” caption in the condensed consolidated statement of income was approximately $1.2 million for three months ended March 31, 2019. Cash paid for amounts included in the measurement of operating lease liabilities was approximately $724,000 for the three months ended March 31, 2019. As of March 31, 2019, the weighted-average remaining lease term was 11.07 years, and the weighted-average incremental borrowing rate was 6.04%.</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lease-related assets and liabilities recorded on the balance sheet as of March 31, 2019 (in thousands).</w:t>
      </w:r>
    </w:p>
    <w:p>
      <w:pPr>
        <w:spacing w:after="0" w:line="240" w:lineRule="exact"/>
        <w:rPr>
          <w:sz w:val="20"/>
          <w:szCs w:val="20"/>
          <w:color w:val="auto"/>
        </w:rPr>
      </w:pPr>
    </w:p>
    <w:p>
      <w:pPr>
        <w:spacing w:after="0"/>
        <w:tabs>
          <w:tab w:leader="none" w:pos="4460" w:val="left"/>
        </w:tabs>
        <w:rPr>
          <w:sz w:val="20"/>
          <w:szCs w:val="20"/>
          <w:color w:val="auto"/>
        </w:rPr>
      </w:pPr>
      <w:r>
        <w:rPr>
          <w:rFonts w:ascii="Arial" w:cs="Arial" w:eastAsia="Arial" w:hAnsi="Arial"/>
          <w:sz w:val="14"/>
          <w:szCs w:val="14"/>
          <w:b w:val="1"/>
          <w:bCs w:val="1"/>
          <w:color w:val="auto"/>
        </w:rPr>
        <w:t>Assets</w:t>
      </w:r>
      <w:r>
        <w:rPr>
          <w:sz w:val="20"/>
          <w:szCs w:val="20"/>
          <w:color w:val="auto"/>
        </w:rPr>
        <w:tab/>
      </w:r>
      <w:r>
        <w:rPr>
          <w:rFonts w:ascii="Arial" w:cs="Arial" w:eastAsia="Arial" w:hAnsi="Arial"/>
          <w:sz w:val="14"/>
          <w:szCs w:val="14"/>
          <w:b w:val="1"/>
          <w:bCs w:val="1"/>
          <w:color w:val="auto"/>
        </w:rPr>
        <w:t>Classification</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 right-of-use assets</w:t>
            </w:r>
          </w:p>
        </w:tc>
        <w:tc>
          <w:tcPr>
            <w:tcW w:w="4660" w:type="dxa"/>
            <w:vAlign w:val="bottom"/>
            <w:shd w:val="clear" w:color="auto" w:fill="CFF0FC"/>
          </w:tcPr>
          <w:p>
            <w:pPr>
              <w:ind w:left="840"/>
              <w:spacing w:after="0"/>
              <w:rPr>
                <w:sz w:val="20"/>
                <w:szCs w:val="20"/>
                <w:color w:val="auto"/>
              </w:rPr>
            </w:pPr>
            <w:r>
              <w:rPr>
                <w:rFonts w:ascii="Arial" w:cs="Arial" w:eastAsia="Arial" w:hAnsi="Arial"/>
                <w:sz w:val="18"/>
                <w:szCs w:val="18"/>
                <w:color w:val="auto"/>
              </w:rPr>
              <w:t>Operating lease right of use assets, net</w:t>
            </w:r>
          </w:p>
        </w:tc>
        <w:tc>
          <w:tcPr>
            <w:tcW w:w="1760" w:type="dxa"/>
            <w:vAlign w:val="bottom"/>
            <w:gridSpan w:val="2"/>
            <w:shd w:val="clear" w:color="auto" w:fill="CFF0FC"/>
          </w:tcPr>
          <w:p>
            <w:pPr>
              <w:jc w:val="right"/>
              <w:ind w:right="648"/>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leased assets</w:t>
            </w:r>
          </w:p>
        </w:tc>
        <w:tc>
          <w:tcPr>
            <w:tcW w:w="4660" w:type="dxa"/>
            <w:vAlign w:val="bottom"/>
            <w:tcBorders>
              <w:bottom w:val="single" w:sz="8" w:color="CFF0FC"/>
            </w:tcBorders>
          </w:tcPr>
          <w:p>
            <w:pPr>
              <w:spacing w:after="0"/>
              <w:rPr>
                <w:sz w:val="22"/>
                <w:szCs w:val="22"/>
                <w:color w:val="auto"/>
              </w:rPr>
            </w:pPr>
          </w:p>
        </w:tc>
        <w:tc>
          <w:tcPr>
            <w:tcW w:w="960" w:type="dxa"/>
            <w:vAlign w:val="bottom"/>
            <w:tcBorders>
              <w:bottom w:val="single" w:sz="8" w:color="CFF0FC"/>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31,710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3640" w:type="dxa"/>
            <w:vAlign w:val="bottom"/>
            <w:tcBorders>
              <w:bottom w:val="single" w:sz="8" w:color="CFF0FC"/>
            </w:tcBorders>
            <w:shd w:val="clear" w:color="auto" w:fill="CFF0FC"/>
          </w:tcPr>
          <w:p>
            <w:pPr>
              <w:spacing w:after="0" w:line="156" w:lineRule="exact"/>
              <w:rPr>
                <w:sz w:val="20"/>
                <w:szCs w:val="20"/>
                <w:color w:val="auto"/>
              </w:rPr>
            </w:pPr>
            <w:r>
              <w:rPr>
                <w:rFonts w:ascii="Arial" w:cs="Arial" w:eastAsia="Arial" w:hAnsi="Arial"/>
                <w:sz w:val="14"/>
                <w:szCs w:val="14"/>
                <w:b w:val="1"/>
                <w:bCs w:val="1"/>
                <w:color w:val="auto"/>
              </w:rPr>
              <w:t>Liabilities</w:t>
            </w:r>
          </w:p>
        </w:tc>
        <w:tc>
          <w:tcPr>
            <w:tcW w:w="466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1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640" w:type="dxa"/>
            <w:vAlign w:val="bottom"/>
          </w:tcPr>
          <w:p>
            <w:pPr>
              <w:ind w:left="120"/>
              <w:spacing w:after="0"/>
              <w:rPr>
                <w:sz w:val="20"/>
                <w:szCs w:val="20"/>
                <w:color w:val="auto"/>
              </w:rPr>
            </w:pPr>
            <w:r>
              <w:rPr>
                <w:rFonts w:ascii="Arial" w:cs="Arial" w:eastAsia="Arial" w:hAnsi="Arial"/>
                <w:sz w:val="18"/>
                <w:szCs w:val="18"/>
                <w:color w:val="auto"/>
              </w:rPr>
              <w:t>Operating lease liabilities, current</w:t>
            </w:r>
          </w:p>
        </w:tc>
        <w:tc>
          <w:tcPr>
            <w:tcW w:w="4660" w:type="dxa"/>
            <w:vAlign w:val="bottom"/>
          </w:tcPr>
          <w:p>
            <w:pPr>
              <w:ind w:left="840"/>
              <w:spacing w:after="0"/>
              <w:rPr>
                <w:sz w:val="20"/>
                <w:szCs w:val="20"/>
                <w:color w:val="auto"/>
              </w:rPr>
            </w:pPr>
            <w:r>
              <w:rPr>
                <w:rFonts w:ascii="Arial" w:cs="Arial" w:eastAsia="Arial" w:hAnsi="Arial"/>
                <w:sz w:val="18"/>
                <w:szCs w:val="18"/>
                <w:color w:val="auto"/>
              </w:rPr>
              <w:t>Accounts payable and accrued expenses</w:t>
            </w:r>
          </w:p>
        </w:tc>
        <w:tc>
          <w:tcPr>
            <w:tcW w:w="176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 liabilities, noncurrent</w:t>
            </w:r>
          </w:p>
        </w:tc>
        <w:tc>
          <w:tcPr>
            <w:tcW w:w="4660" w:type="dxa"/>
            <w:vAlign w:val="bottom"/>
            <w:shd w:val="clear" w:color="auto" w:fill="CFF0FC"/>
          </w:tcPr>
          <w:p>
            <w:pPr>
              <w:ind w:left="840"/>
              <w:spacing w:after="0"/>
              <w:rPr>
                <w:sz w:val="20"/>
                <w:szCs w:val="20"/>
                <w:color w:val="auto"/>
              </w:rPr>
            </w:pPr>
            <w:r>
              <w:rPr>
                <w:rFonts w:ascii="Arial" w:cs="Arial" w:eastAsia="Arial" w:hAnsi="Arial"/>
                <w:sz w:val="18"/>
                <w:szCs w:val="18"/>
                <w:color w:val="auto"/>
              </w:rPr>
              <w:t>Operating lease liability, noncurrent</w:t>
            </w:r>
          </w:p>
        </w:tc>
        <w:tc>
          <w:tcPr>
            <w:tcW w:w="96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40" w:type="dxa"/>
            <w:vAlign w:val="bottom"/>
          </w:tcPr>
          <w:p>
            <w:pPr>
              <w:ind w:left="260"/>
              <w:spacing w:after="0"/>
              <w:rPr>
                <w:sz w:val="20"/>
                <w:szCs w:val="20"/>
                <w:color w:val="auto"/>
              </w:rPr>
            </w:pPr>
            <w:r>
              <w:rPr>
                <w:rFonts w:ascii="Arial" w:cs="Arial" w:eastAsia="Arial" w:hAnsi="Arial"/>
                <w:sz w:val="18"/>
                <w:szCs w:val="18"/>
                <w:color w:val="auto"/>
              </w:rPr>
              <w:t>Total operating lease liabilities</w:t>
            </w:r>
          </w:p>
        </w:tc>
        <w:tc>
          <w:tcPr>
            <w:tcW w:w="4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660" w:type="dxa"/>
            <w:vAlign w:val="bottom"/>
            <w:vMerge w:val="restart"/>
          </w:tcPr>
          <w:p>
            <w:pPr>
              <w:jc w:val="right"/>
              <w:ind w:right="2411"/>
              <w:spacing w:after="0"/>
              <w:rPr>
                <w:sz w:val="20"/>
                <w:szCs w:val="20"/>
                <w:color w:val="auto"/>
              </w:rPr>
            </w:pPr>
            <w:r>
              <w:rPr>
                <w:rFonts w:ascii="Arial" w:cs="Arial" w:eastAsia="Arial" w:hAnsi="Arial"/>
                <w:sz w:val="18"/>
                <w:szCs w:val="18"/>
                <w:color w:val="auto"/>
              </w:rPr>
              <w:t>15</w:t>
            </w:r>
          </w:p>
        </w:tc>
        <w:tc>
          <w:tcPr>
            <w:tcW w:w="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2"/>
        </w:trPr>
        <w:tc>
          <w:tcPr>
            <w:tcW w:w="364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364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7231380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4"/>
        </w:trPr>
        <w:tc>
          <w:tcPr>
            <w:tcW w:w="9180" w:type="dxa"/>
            <w:vAlign w:val="bottom"/>
          </w:tcPr>
          <w:p>
            <w:pPr>
              <w:ind w:left="4720"/>
              <w:spacing w:after="0"/>
              <w:rPr>
                <w:sz w:val="20"/>
                <w:szCs w:val="20"/>
                <w:color w:val="auto"/>
              </w:rPr>
            </w:pPr>
            <w:r>
              <w:rPr>
                <w:rFonts w:ascii="Arial" w:cs="Arial" w:eastAsia="Arial" w:hAnsi="Arial"/>
                <w:sz w:val="18"/>
                <w:szCs w:val="18"/>
                <w:b w:val="1"/>
                <w:bCs w:val="1"/>
                <w:color w:val="auto"/>
              </w:rPr>
              <w:t>HEALTHSTREAM, INC.</w:t>
            </w: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10040" w:type="dxa"/>
            <w:vAlign w:val="bottom"/>
            <w:gridSpan w:val="2"/>
          </w:tcPr>
          <w:p>
            <w:pPr>
              <w:ind w:left="2180"/>
              <w:spacing w:after="0"/>
              <w:rPr>
                <w:sz w:val="20"/>
                <w:szCs w:val="20"/>
                <w:color w:val="auto"/>
              </w:rPr>
            </w:pPr>
            <w:r>
              <w:rPr>
                <w:rFonts w:ascii="Arial" w:cs="Arial" w:eastAsia="Arial" w:hAnsi="Arial"/>
                <w:sz w:val="18"/>
                <w:szCs w:val="18"/>
                <w:b w:val="1"/>
                <w:bCs w:val="1"/>
                <w:color w:val="auto"/>
              </w:rPr>
              <w:t>NOTES TO CONDENSED CONSOLIDATED FINANCIAL STATEMENTS (UNAUDITED)</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1"/>
        </w:trPr>
        <w:tc>
          <w:tcPr>
            <w:tcW w:w="9180" w:type="dxa"/>
            <w:vAlign w:val="bottom"/>
          </w:tcPr>
          <w:p>
            <w:pPr>
              <w:spacing w:after="0"/>
              <w:rPr>
                <w:sz w:val="20"/>
                <w:szCs w:val="20"/>
                <w:color w:val="auto"/>
              </w:rPr>
            </w:pPr>
            <w:r>
              <w:rPr>
                <w:rFonts w:ascii="Arial" w:cs="Arial" w:eastAsia="Arial" w:hAnsi="Arial"/>
                <w:sz w:val="18"/>
                <w:szCs w:val="18"/>
                <w:color w:val="auto"/>
                <w:w w:val="92"/>
              </w:rPr>
              <w:t>The table below presents the maturities of lease liabilities under non-cancellable leases as of March 31, 2019 (in thousands).</w:t>
            </w: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5"/>
        </w:trPr>
        <w:tc>
          <w:tcPr>
            <w:tcW w:w="9180" w:type="dxa"/>
            <w:vAlign w:val="bottom"/>
          </w:tcPr>
          <w:p>
            <w:pPr>
              <w:spacing w:after="0"/>
              <w:rPr>
                <w:sz w:val="20"/>
                <w:szCs w:val="20"/>
                <w:color w:val="auto"/>
              </w:rPr>
            </w:pPr>
            <w:r>
              <w:rPr>
                <w:rFonts w:ascii="Arial" w:cs="Arial" w:eastAsia="Arial" w:hAnsi="Arial"/>
                <w:sz w:val="18"/>
                <w:szCs w:val="18"/>
                <w:color w:val="auto"/>
              </w:rPr>
              <w:t>2019</w:t>
            </w:r>
          </w:p>
        </w:tc>
        <w:tc>
          <w:tcPr>
            <w:tcW w:w="860" w:type="dxa"/>
            <w:vAlign w:val="bottom"/>
          </w:tcPr>
          <w:p>
            <w:pPr>
              <w:jc w:val="right"/>
              <w:ind w:right="671"/>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1,789</w:t>
            </w:r>
          </w:p>
        </w:tc>
        <w:tc>
          <w:tcPr>
            <w:tcW w:w="120" w:type="dxa"/>
            <w:vAlign w:val="bottom"/>
          </w:tcPr>
          <w:p>
            <w:pPr>
              <w:spacing w:after="0"/>
              <w:rPr>
                <w:sz w:val="24"/>
                <w:szCs w:val="24"/>
                <w:color w:val="auto"/>
              </w:rPr>
            </w:pPr>
          </w:p>
        </w:tc>
      </w:tr>
      <w:tr>
        <w:trPr>
          <w:trHeight w:val="229"/>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8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4,739</w:t>
            </w:r>
          </w:p>
        </w:tc>
        <w:tc>
          <w:tcPr>
            <w:tcW w:w="120" w:type="dxa"/>
            <w:vAlign w:val="bottom"/>
            <w:shd w:val="clear" w:color="auto" w:fill="CFF0FC"/>
          </w:tcPr>
          <w:p>
            <w:pPr>
              <w:spacing w:after="0"/>
              <w:rPr>
                <w:sz w:val="19"/>
                <w:szCs w:val="19"/>
                <w:color w:val="auto"/>
              </w:rPr>
            </w:pPr>
          </w:p>
        </w:tc>
      </w:tr>
      <w:tr>
        <w:trPr>
          <w:trHeight w:val="227"/>
        </w:trPr>
        <w:tc>
          <w:tcPr>
            <w:tcW w:w="9180" w:type="dxa"/>
            <w:vAlign w:val="bottom"/>
          </w:tcPr>
          <w:p>
            <w:pPr>
              <w:spacing w:after="0"/>
              <w:rPr>
                <w:sz w:val="20"/>
                <w:szCs w:val="20"/>
                <w:color w:val="auto"/>
              </w:rPr>
            </w:pPr>
            <w:r>
              <w:rPr>
                <w:rFonts w:ascii="Arial" w:cs="Arial" w:eastAsia="Arial" w:hAnsi="Arial"/>
                <w:sz w:val="18"/>
                <w:szCs w:val="18"/>
                <w:color w:val="auto"/>
              </w:rPr>
              <w:t>2021</w:t>
            </w:r>
          </w:p>
        </w:tc>
        <w:tc>
          <w:tcPr>
            <w:tcW w:w="8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4,505</w:t>
            </w:r>
          </w:p>
        </w:tc>
        <w:tc>
          <w:tcPr>
            <w:tcW w:w="120" w:type="dxa"/>
            <w:vAlign w:val="bottom"/>
          </w:tcPr>
          <w:p>
            <w:pPr>
              <w:spacing w:after="0"/>
              <w:rPr>
                <w:sz w:val="19"/>
                <w:szCs w:val="19"/>
                <w:color w:val="auto"/>
              </w:rPr>
            </w:pPr>
          </w:p>
        </w:tc>
      </w:tr>
      <w:tr>
        <w:trPr>
          <w:trHeight w:val="228"/>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8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4,124</w:t>
            </w:r>
          </w:p>
        </w:tc>
        <w:tc>
          <w:tcPr>
            <w:tcW w:w="120" w:type="dxa"/>
            <w:vAlign w:val="bottom"/>
            <w:shd w:val="clear" w:color="auto" w:fill="CFF0FC"/>
          </w:tcPr>
          <w:p>
            <w:pPr>
              <w:spacing w:after="0"/>
              <w:rPr>
                <w:sz w:val="19"/>
                <w:szCs w:val="19"/>
                <w:color w:val="auto"/>
              </w:rPr>
            </w:pPr>
          </w:p>
        </w:tc>
      </w:tr>
      <w:tr>
        <w:trPr>
          <w:trHeight w:val="227"/>
        </w:trPr>
        <w:tc>
          <w:tcPr>
            <w:tcW w:w="9180" w:type="dxa"/>
            <w:vAlign w:val="bottom"/>
          </w:tcPr>
          <w:p>
            <w:pPr>
              <w:spacing w:after="0"/>
              <w:rPr>
                <w:sz w:val="20"/>
                <w:szCs w:val="20"/>
                <w:color w:val="auto"/>
              </w:rPr>
            </w:pPr>
            <w:r>
              <w:rPr>
                <w:rFonts w:ascii="Arial" w:cs="Arial" w:eastAsia="Arial" w:hAnsi="Arial"/>
                <w:sz w:val="18"/>
                <w:szCs w:val="18"/>
                <w:color w:val="auto"/>
              </w:rPr>
              <w:t>2023</w:t>
            </w:r>
          </w:p>
        </w:tc>
        <w:tc>
          <w:tcPr>
            <w:tcW w:w="8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3,979</w:t>
            </w:r>
          </w:p>
        </w:tc>
        <w:tc>
          <w:tcPr>
            <w:tcW w:w="120" w:type="dxa"/>
            <w:vAlign w:val="bottom"/>
          </w:tcPr>
          <w:p>
            <w:pPr>
              <w:spacing w:after="0"/>
              <w:rPr>
                <w:sz w:val="19"/>
                <w:szCs w:val="19"/>
                <w:color w:val="auto"/>
              </w:rPr>
            </w:pPr>
          </w:p>
        </w:tc>
      </w:tr>
      <w:tr>
        <w:trPr>
          <w:trHeight w:val="228"/>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8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28,655</w:t>
            </w:r>
          </w:p>
        </w:tc>
        <w:tc>
          <w:tcPr>
            <w:tcW w:w="120" w:type="dxa"/>
            <w:vAlign w:val="bottom"/>
            <w:shd w:val="clear" w:color="auto" w:fill="CFF0FC"/>
          </w:tcPr>
          <w:p>
            <w:pPr>
              <w:spacing w:after="0"/>
              <w:rPr>
                <w:sz w:val="19"/>
                <w:szCs w:val="19"/>
                <w:color w:val="auto"/>
              </w:rPr>
            </w:pPr>
          </w:p>
        </w:tc>
      </w:tr>
      <w:tr>
        <w:trPr>
          <w:trHeight w:val="220"/>
        </w:trPr>
        <w:tc>
          <w:tcPr>
            <w:tcW w:w="9180" w:type="dxa"/>
            <w:vAlign w:val="bottom"/>
          </w:tcPr>
          <w:p>
            <w:pPr>
              <w:ind w:left="120"/>
              <w:spacing w:after="0"/>
              <w:rPr>
                <w:sz w:val="20"/>
                <w:szCs w:val="20"/>
                <w:color w:val="auto"/>
              </w:rPr>
            </w:pPr>
            <w:r>
              <w:rPr>
                <w:rFonts w:ascii="Arial" w:cs="Arial" w:eastAsia="Arial" w:hAnsi="Arial"/>
                <w:sz w:val="18"/>
                <w:szCs w:val="18"/>
                <w:color w:val="auto"/>
              </w:rPr>
              <w:t>Total undiscounted lease payments</w:t>
            </w:r>
          </w:p>
        </w:tc>
        <w:tc>
          <w:tcPr>
            <w:tcW w:w="8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47,791</w:t>
            </w:r>
          </w:p>
        </w:tc>
        <w:tc>
          <w:tcPr>
            <w:tcW w:w="120" w:type="dxa"/>
            <w:vAlign w:val="bottom"/>
          </w:tcPr>
          <w:p>
            <w:pPr>
              <w:spacing w:after="0"/>
              <w:rPr>
                <w:sz w:val="19"/>
                <w:szCs w:val="19"/>
                <w:color w:val="auto"/>
              </w:rPr>
            </w:pPr>
          </w:p>
        </w:tc>
      </w:tr>
      <w:tr>
        <w:trPr>
          <w:trHeight w:val="228"/>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8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14,092</w:t>
            </w:r>
          </w:p>
        </w:tc>
        <w:tc>
          <w:tcPr>
            <w:tcW w:w="120" w:type="dxa"/>
            <w:vAlign w:val="bottom"/>
            <w:shd w:val="clear" w:color="auto" w:fill="CFF0FC"/>
          </w:tcPr>
          <w:p>
            <w:pPr>
              <w:spacing w:after="0"/>
              <w:rPr>
                <w:sz w:val="19"/>
                <w:szCs w:val="19"/>
                <w:color w:val="auto"/>
              </w:rPr>
            </w:pPr>
          </w:p>
        </w:tc>
      </w:tr>
      <w:tr>
        <w:trPr>
          <w:trHeight w:val="221"/>
        </w:trPr>
        <w:tc>
          <w:tcPr>
            <w:tcW w:w="9180" w:type="dxa"/>
            <w:vAlign w:val="bottom"/>
          </w:tcPr>
          <w:p>
            <w:pPr>
              <w:ind w:left="120"/>
              <w:spacing w:after="0"/>
              <w:rPr>
                <w:sz w:val="20"/>
                <w:szCs w:val="20"/>
                <w:color w:val="auto"/>
              </w:rPr>
            </w:pPr>
            <w:r>
              <w:rPr>
                <w:rFonts w:ascii="Arial" w:cs="Arial" w:eastAsia="Arial" w:hAnsi="Arial"/>
                <w:sz w:val="18"/>
                <w:szCs w:val="18"/>
                <w:color w:val="auto"/>
              </w:rPr>
              <w:t>Total lease liabilities</w:t>
            </w:r>
          </w:p>
        </w:tc>
        <w:tc>
          <w:tcPr>
            <w:tcW w:w="86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33,699</w:t>
            </w:r>
          </w:p>
        </w:tc>
        <w:tc>
          <w:tcPr>
            <w:tcW w:w="120" w:type="dxa"/>
            <w:vAlign w:val="bottom"/>
          </w:tcPr>
          <w:p>
            <w:pPr>
              <w:spacing w:after="0"/>
              <w:rPr>
                <w:sz w:val="19"/>
                <w:szCs w:val="19"/>
                <w:color w:val="auto"/>
              </w:rPr>
            </w:pPr>
          </w:p>
        </w:tc>
      </w:tr>
      <w:tr>
        <w:trPr>
          <w:trHeight w:val="20"/>
        </w:trPr>
        <w:tc>
          <w:tcPr>
            <w:tcW w:w="9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NON-MARKETABLE EQUITY INVESTMENTS</w:t>
      </w:r>
    </w:p>
    <w:p>
      <w:pPr>
        <w:spacing w:after="0" w:line="118" w:lineRule="exact"/>
        <w:rPr>
          <w:sz w:val="20"/>
          <w:szCs w:val="20"/>
          <w:color w:val="auto"/>
        </w:rPr>
      </w:pPr>
    </w:p>
    <w:p>
      <w:pPr>
        <w:jc w:val="both"/>
        <w:ind w:right="20"/>
        <w:spacing w:after="0" w:line="335" w:lineRule="auto"/>
        <w:rPr>
          <w:sz w:val="20"/>
          <w:szCs w:val="20"/>
          <w:color w:val="auto"/>
        </w:rPr>
      </w:pPr>
      <w:r>
        <w:rPr>
          <w:rFonts w:ascii="Arial" w:cs="Arial" w:eastAsia="Arial" w:hAnsi="Arial"/>
          <w:sz w:val="16"/>
          <w:szCs w:val="16"/>
          <w:color w:val="auto"/>
        </w:rPr>
        <w:t>Non-marketable equity investments are accounted for using the equity method when the Company can exercise significant influence over the investee. The aggregate carrying amount of all equity method investments was $1.4 million and $1.3 million as of March 31, 2019 and December 31, 2018, respectively.</w:t>
      </w:r>
    </w:p>
    <w:p>
      <w:pPr>
        <w:spacing w:after="0" w:line="2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Non-marketable equity investments where the Company is not able to exercise significant influence over the investee are accounted for under the cost method. ASU 2016-01, </w:t>
      </w:r>
      <w:r>
        <w:rPr>
          <w:rFonts w:ascii="Arial" w:cs="Arial" w:eastAsia="Arial" w:hAnsi="Arial"/>
          <w:sz w:val="17"/>
          <w:szCs w:val="17"/>
          <w:i w:val="1"/>
          <w:iCs w:val="1"/>
          <w:color w:val="auto"/>
        </w:rPr>
        <w:t>Financial Instruments – Overall (Subtopic 825-10)</w:t>
      </w:r>
      <w:r>
        <w:rPr>
          <w:rFonts w:ascii="Arial" w:cs="Arial" w:eastAsia="Arial" w:hAnsi="Arial"/>
          <w:sz w:val="17"/>
          <w:szCs w:val="17"/>
          <w:color w:val="auto"/>
        </w:rPr>
        <w:t>, became effective for the Company as of January 1, 2018 and requires equity investments (except those accounted for under the equity method of accounting or those that result in consolidation of the investee) to be measured at fair value with changes in fair value recognized in net income. The aggregate carrying amount of all cost method investments was $5.4 million and $2.1 million as of March 31, 2019 and December 31, 2018, respectively, which carrying value we evaluate for impairment at each reporting period. Cumulatively, the Company has recorded $1.3 million in reductions to the carrying value of cost method investments due to downward changes in fair value based on observable prices from orderly transactions for similar investments made in the investee. The fair value of cost method investments is not estimated if there are no identified events or changes in circumstances that may have a significant adverse effect on the fair value of the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73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right="4380"/>
        <w:spacing w:after="0" w:line="276" w:lineRule="exact"/>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r>
        <w:rPr>
          <w:rFonts w:ascii="Arial" w:cs="Arial" w:eastAsia="Arial" w:hAnsi="Arial"/>
          <w:sz w:val="17"/>
          <w:szCs w:val="17"/>
          <w:b w:val="1"/>
          <w:bCs w:val="1"/>
          <w:color w:val="auto"/>
        </w:rPr>
        <w:t xml:space="preserve"> Special Cautionary Notice Regarding Forward</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Looking Statements</w:t>
      </w:r>
    </w:p>
    <w:p>
      <w:pPr>
        <w:spacing w:after="0" w:line="9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2018, appearing in our Annual Report on Form 10-K that was filed with the Securities and Exchange Commission (“SEC”) on February 25, 2019 (the “2018 Form 10-K”). Statements contained in this Quarterly Report on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“projects,” “should,” “will,” “would,” and similar expressions are forward-looking statements.</w:t>
      </w:r>
    </w:p>
    <w:p>
      <w:pPr>
        <w:spacing w:after="0" w:line="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evaluating any forward-looking statement, you should specifically consider the information regarding forward-looking statements and the information set forth under the caption Part I, Item 1A. Risk Factors in our 2018 Form 10-K and the information regarding forward-looking statements and other disclosures in our 2018 Form 10-K, earnings releases and other filings with the SEC from time to time,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currently expect.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HealthStream provides workforce and provider solutions for healthcare organizations—all designed to assess and develop the people that deliver patient care, which, in turn, supports the improvement of business and clinical outcomes. Workforce Solutions products are used by healthcare organizations to meet a broad range of their clinical development, talent management, training, certification, competency assessment, and performance appraisal needs. Provider Solutions products are used by healthcare organizations for provider credentialing, privileging, and enrollment needs. HealthStream’s customers include healthcare organizations, pharmaceutical and medical device companies, and other participants in the healthcare industry. At March 31, 2019, we had approximately 1.84 million contracted subscriptions to hStream</w:t>
      </w:r>
      <w:r>
        <w:rPr>
          <w:rFonts w:ascii="Arial" w:cs="Arial" w:eastAsia="Arial" w:hAnsi="Arial"/>
          <w:sz w:val="13"/>
          <w:szCs w:val="13"/>
          <w:color w:val="auto"/>
        </w:rPr>
        <w:t>TM</w:t>
      </w:r>
      <w:r>
        <w:rPr>
          <w:rFonts w:ascii="Arial" w:cs="Arial" w:eastAsia="Arial" w:hAnsi="Arial"/>
          <w:sz w:val="16"/>
          <w:szCs w:val="16"/>
          <w:color w:val="auto"/>
        </w:rPr>
        <w:t>, our Platform-as-a-Service technology. hStream technology enables healthcare organizations and their respective workforces to easily connect to and gain value from the growing HealthStream ecosystem of applications, tools, and content.</w:t>
      </w:r>
    </w:p>
    <w:p>
      <w:pPr>
        <w:spacing w:after="0" w:line="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February 12, 2018, the Company divested its Patient Experience (“PX”) business to Press Ganey for $65.2 million in cash (after giving effect to the post-closing adjustment), resulting in a gain, net of tax, of $20.2 million.</w:t>
      </w:r>
    </w:p>
    <w:p>
      <w:pPr>
        <w:spacing w:after="0" w:line="6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Prior to the disposition of the PX business, our Patient Experience Solutions products provided our customers information about patients’ experiences and how to improve them, workforce engagement, physician relations, and community perceptions of their services. The historical financial results of the PX business for periods prior to the closing of the disposition of the PX business on February 12, 2018 are reflected in the Company’s consolidated financial statements as discontinued operations. This sale of the PX business resulted in the Company’s divestiture of the patient experience solutions business segment.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Key financial indicators of operations for the first quarter of 2019 are set forth in the bullets below.</w:t>
      </w:r>
    </w:p>
    <w:p>
      <w:pPr>
        <w:sectPr>
          <w:pgSz w:w="11900" w:h="16838" w:orient="portrait"/>
          <w:cols w:equalWidth="0" w:num="1">
            <w:col w:w="11420"/>
          </w:cols>
          <w:pgMar w:left="240" w:top="349" w:right="239" w:bottom="1440" w:gutter="0" w:footer="0" w:header="0"/>
        </w:sectPr>
      </w:pPr>
    </w:p>
    <w:p>
      <w:pPr>
        <w:spacing w:after="0" w:line="53" w:lineRule="exact"/>
        <w:rPr>
          <w:sz w:val="20"/>
          <w:szCs w:val="20"/>
          <w:color w:val="auto"/>
        </w:rPr>
      </w:pPr>
    </w:p>
    <w:p>
      <w:pPr>
        <w:spacing w:after="0"/>
        <w:rPr>
          <w:sz w:val="20"/>
          <w:szCs w:val="20"/>
          <w:color w:val="auto"/>
        </w:rPr>
      </w:pPr>
      <w:r>
        <w:rPr>
          <w:rFonts w:ascii="Arial" w:cs="Arial" w:eastAsia="Arial" w:hAnsi="Arial"/>
          <w:sz w:val="27"/>
          <w:szCs w:val="27"/>
          <w:color w:val="auto"/>
        </w:rPr>
        <w:t>•</w:t>
      </w:r>
    </w:p>
    <w:p>
      <w:pPr>
        <w:spacing w:after="0" w:line="233" w:lineRule="auto"/>
        <w:rPr>
          <w:sz w:val="20"/>
          <w:szCs w:val="20"/>
          <w:color w:val="auto"/>
        </w:rPr>
      </w:pPr>
      <w:r>
        <w:rPr>
          <w:rFonts w:ascii="Arial" w:cs="Arial" w:eastAsia="Arial" w:hAnsi="Arial"/>
          <w:sz w:val="27"/>
          <w:szCs w:val="27"/>
          <w:color w:val="auto"/>
        </w:rPr>
        <w:t>•</w:t>
      </w:r>
    </w:p>
    <w:p>
      <w:pPr>
        <w:spacing w:after="0" w:line="228" w:lineRule="auto"/>
        <w:rPr>
          <w:sz w:val="20"/>
          <w:szCs w:val="20"/>
          <w:color w:val="auto"/>
        </w:rPr>
      </w:pPr>
      <w:r>
        <w:rPr>
          <w:rFonts w:ascii="Arial" w:cs="Arial" w:eastAsia="Arial" w:hAnsi="Arial"/>
          <w:sz w:val="27"/>
          <w:szCs w:val="27"/>
          <w:color w:val="auto"/>
        </w:rPr>
        <w:t>•</w:t>
      </w:r>
    </w:p>
    <w:p>
      <w:pPr>
        <w:spacing w:after="0"/>
        <w:rPr>
          <w:sz w:val="20"/>
          <w:szCs w:val="20"/>
          <w:color w:val="auto"/>
        </w:rPr>
      </w:pPr>
      <w:r>
        <w:rPr>
          <w:rFonts w:ascii="Arial" w:cs="Arial" w:eastAsia="Arial" w:hAnsi="Arial"/>
          <w:sz w:val="27"/>
          <w:szCs w:val="27"/>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Revenues of $65.2 million in the first quarter of 2019, up 19% from $54.9 million in the first quarter of 2018.</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of $5.4 million in the first quarter of 2019, up 44% from $3.7 million in the first quarter of 2018.</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Income from continuing operations of $4.8 million in the first quarter of 2019, up 32% from $3.6 million in the first quarter of 2018.</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(“EPS”) from continuing operations of $0.15 per share (diluted) in the first quarter of 2019, compared to $0.11 per share (diluted) in the first quarter of 2018</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Adjusted EBITDA</w:t>
      </w:r>
      <w:r>
        <w:rPr>
          <w:rFonts w:ascii="Arial" w:cs="Arial" w:eastAsia="Arial" w:hAnsi="Arial"/>
          <w:sz w:val="12"/>
          <w:szCs w:val="12"/>
          <w:color w:val="auto"/>
        </w:rPr>
        <w:t>1</w:t>
      </w:r>
      <w:r>
        <w:rPr>
          <w:rFonts w:ascii="Arial" w:cs="Arial" w:eastAsia="Arial" w:hAnsi="Arial"/>
          <w:sz w:val="17"/>
          <w:szCs w:val="17"/>
          <w:color w:val="auto"/>
        </w:rPr>
        <w:t xml:space="preserve"> from continuing operations of $12.5 million in the first quarter of 2019, up 22% from $10.2 million in the first quarter of 2018.</w:t>
      </w:r>
    </w:p>
    <w:p>
      <w:pPr>
        <w:spacing w:after="0" w:line="107" w:lineRule="exact"/>
        <w:rPr>
          <w:sz w:val="20"/>
          <w:szCs w:val="20"/>
          <w:color w:val="auto"/>
        </w:rPr>
      </w:pPr>
    </w:p>
    <w:p>
      <w:pPr>
        <w:sectPr>
          <w:pgSz w:w="11900" w:h="16838" w:orient="portrait"/>
          <w:cols w:equalWidth="0" w:num="2">
            <w:col w:w="100" w:space="300"/>
            <w:col w:w="11020"/>
          </w:cols>
          <w:pgMar w:left="240" w:top="349" w:right="239" w:bottom="1440" w:gutter="0" w:footer="0" w:header="0"/>
          <w:type w:val="continuous"/>
        </w:sectPr>
      </w:pPr>
    </w:p>
    <w:p>
      <w:pPr>
        <w:ind w:left="400" w:hanging="393"/>
        <w:spacing w:after="0" w:line="249" w:lineRule="auto"/>
        <w:tabs>
          <w:tab w:leader="none" w:pos="400" w:val="left"/>
        </w:tabs>
        <w:numPr>
          <w:ilvl w:val="0"/>
          <w:numId w:val="4"/>
        </w:numPr>
        <w:rPr>
          <w:rFonts w:ascii="Arial" w:cs="Arial" w:eastAsia="Arial" w:hAnsi="Arial"/>
          <w:sz w:val="14"/>
          <w:szCs w:val="14"/>
          <w:color w:val="auto"/>
        </w:rPr>
      </w:pPr>
      <w:r>
        <w:rPr>
          <w:rFonts w:ascii="Arial" w:cs="Arial" w:eastAsia="Arial" w:hAnsi="Arial"/>
          <w:sz w:val="14"/>
          <w:szCs w:val="14"/>
          <w:color w:val="auto"/>
        </w:rPr>
        <w:t>Adjusted EBITDA from continuing operations is a non-GAAP financial measure. A reconciliation of adjusted EBITDA from continuing operations to income from continuing operations and disclosure regarding why we believe adjusted EBITDA from continuing operations provides useful information to investors is included later in this report.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73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type w:val="continuous"/>
        </w:sectPr>
      </w:pPr>
    </w:p>
    <w:bookmarkStart w:id="19" w:name="page20"/>
    <w:bookmarkEnd w:id="19"/>
    <w:p>
      <w:pPr>
        <w:jc w:val="both"/>
        <w:spacing w:after="0" w:line="254" w:lineRule="auto"/>
        <w:rPr>
          <w:sz w:val="20"/>
          <w:szCs w:val="20"/>
          <w:color w:val="auto"/>
        </w:rPr>
      </w:pPr>
      <w:r>
        <w:rPr>
          <w:rFonts w:ascii="Arial" w:cs="Arial" w:eastAsia="Arial" w:hAnsi="Arial"/>
          <w:sz w:val="18"/>
          <w:szCs w:val="18"/>
          <w:color w:val="auto"/>
        </w:rPr>
        <w:t>On January 10, 2019, the Company acquired the outstanding equity of Providigm, LLC (“Providigm”), a Denver-based company focused on quality assurance and performance improvement in healthcare, primarily serving skilled nursing facilities, for approximately $18.0 million in cash, subject to a post-closing working capital adjustment. In addition, up to an additional $500,000 in cash may be paid by the Company contingent upon the performance of Providigm during an 18-month period following closing. The results of operations for Providigm have been included in the HealthStream Workforce Solutions segment of our condensed consolidated financial statements from the date of acquisition.</w:t>
      </w:r>
    </w:p>
    <w:p>
      <w:pPr>
        <w:spacing w:after="0" w:line="82" w:lineRule="exact"/>
        <w:rPr>
          <w:sz w:val="20"/>
          <w:szCs w:val="20"/>
          <w:color w:val="auto"/>
        </w:rPr>
      </w:pPr>
    </w:p>
    <w:p>
      <w:pPr>
        <w:ind w:right="1100"/>
        <w:spacing w:after="0" w:line="372" w:lineRule="auto"/>
        <w:rPr>
          <w:sz w:val="20"/>
          <w:szCs w:val="20"/>
          <w:color w:val="auto"/>
        </w:rPr>
      </w:pPr>
      <w:r>
        <w:rPr>
          <w:rFonts w:ascii="Arial" w:cs="Arial" w:eastAsia="Arial" w:hAnsi="Arial"/>
          <w:sz w:val="18"/>
          <w:szCs w:val="18"/>
          <w:color w:val="auto"/>
        </w:rPr>
        <w:t>In April 2019, we began relocating to our new corporate office, which is located at 500 11</w:t>
      </w:r>
      <w:r>
        <w:rPr>
          <w:rFonts w:ascii="Arial" w:cs="Arial" w:eastAsia="Arial" w:hAnsi="Arial"/>
          <w:sz w:val="15"/>
          <w:szCs w:val="15"/>
          <w:color w:val="auto"/>
        </w:rPr>
        <w:t>th</w:t>
      </w:r>
      <w:r>
        <w:rPr>
          <w:rFonts w:ascii="Arial" w:cs="Arial" w:eastAsia="Arial" w:hAnsi="Arial"/>
          <w:sz w:val="18"/>
          <w:szCs w:val="18"/>
          <w:color w:val="auto"/>
        </w:rPr>
        <w:t xml:space="preserve"> Avenue North, Suite 1000, Nashville, Tennessee 37203. </w:t>
      </w:r>
      <w:r>
        <w:rPr>
          <w:rFonts w:ascii="Arial" w:cs="Arial" w:eastAsia="Arial" w:hAnsi="Arial"/>
          <w:sz w:val="18"/>
          <w:szCs w:val="18"/>
          <w:b w:val="1"/>
          <w:bCs w:val="1"/>
          <w:color w:val="auto"/>
        </w:rPr>
        <w:t>Critical Accounting Policies and Estimates</w:t>
      </w:r>
    </w:p>
    <w:p>
      <w:pPr>
        <w:spacing w:after="0" w:line="1" w:lineRule="exact"/>
        <w:rPr>
          <w:sz w:val="20"/>
          <w:szCs w:val="20"/>
          <w:color w:val="auto"/>
        </w:rPr>
      </w:pPr>
    </w:p>
    <w:p>
      <w:pPr>
        <w:jc w:val="both"/>
        <w:spacing w:after="0" w:line="343" w:lineRule="auto"/>
        <w:rPr>
          <w:sz w:val="20"/>
          <w:szCs w:val="20"/>
          <w:color w:val="auto"/>
        </w:rPr>
      </w:pPr>
      <w:r>
        <w:rPr>
          <w:rFonts w:ascii="Arial" w:cs="Arial" w:eastAsia="Arial" w:hAnsi="Arial"/>
          <w:sz w:val="14"/>
          <w:szCs w:val="14"/>
          <w:color w:val="auto"/>
        </w:rPr>
        <w:t>The Company’s condensed consolidated financial statements are prepared in accordance with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ectPr>
          <w:pgSz w:w="11900" w:h="16838" w:orient="portrait"/>
          <w:cols w:equalWidth="0" w:num="1">
            <w:col w:w="11420"/>
          </w:cols>
          <w:pgMar w:left="240" w:top="460" w:right="239" w:bottom="1440" w:gutter="0" w:footer="0" w:header="0"/>
        </w:sectPr>
      </w:pPr>
    </w:p>
    <w:p>
      <w:pPr>
        <w:spacing w:after="0" w:line="7" w:lineRule="exact"/>
        <w:rPr>
          <w:sz w:val="20"/>
          <w:szCs w:val="20"/>
          <w:color w:val="auto"/>
        </w:rPr>
      </w:pPr>
    </w:p>
    <w:p>
      <w:pPr>
        <w:ind w:left="400"/>
        <w:spacing w:after="0"/>
        <w:rPr>
          <w:sz w:val="20"/>
          <w:szCs w:val="20"/>
          <w:color w:val="auto"/>
        </w:rPr>
      </w:pPr>
      <w:r>
        <w:rPr>
          <w:rFonts w:ascii="Arial" w:cs="Arial" w:eastAsia="Arial" w:hAnsi="Arial"/>
          <w:sz w:val="27"/>
          <w:szCs w:val="27"/>
          <w:color w:val="auto"/>
        </w:rPr>
        <w:t>•</w:t>
      </w:r>
    </w:p>
    <w:p>
      <w:pPr>
        <w:ind w:left="400"/>
        <w:spacing w:after="0" w:line="233" w:lineRule="auto"/>
        <w:rPr>
          <w:sz w:val="20"/>
          <w:szCs w:val="20"/>
          <w:color w:val="auto"/>
        </w:rPr>
      </w:pPr>
      <w:r>
        <w:rPr>
          <w:rFonts w:ascii="Arial" w:cs="Arial" w:eastAsia="Arial" w:hAnsi="Arial"/>
          <w:sz w:val="27"/>
          <w:szCs w:val="27"/>
          <w:color w:val="auto"/>
        </w:rPr>
        <w:t>•</w:t>
      </w:r>
    </w:p>
    <w:p>
      <w:pPr>
        <w:ind w:left="400"/>
        <w:spacing w:after="0" w:line="228" w:lineRule="auto"/>
        <w:rPr>
          <w:sz w:val="20"/>
          <w:szCs w:val="20"/>
          <w:color w:val="auto"/>
        </w:rPr>
      </w:pPr>
      <w:r>
        <w:rPr>
          <w:rFonts w:ascii="Arial" w:cs="Arial" w:eastAsia="Arial" w:hAnsi="Arial"/>
          <w:sz w:val="27"/>
          <w:szCs w:val="27"/>
          <w:color w:val="auto"/>
        </w:rPr>
        <w:t>•</w:t>
      </w:r>
    </w:p>
    <w:p>
      <w:pPr>
        <w:ind w:left="400"/>
        <w:spacing w:after="0" w:line="227" w:lineRule="auto"/>
        <w:rPr>
          <w:sz w:val="20"/>
          <w:szCs w:val="20"/>
          <w:color w:val="auto"/>
        </w:rPr>
      </w:pPr>
      <w:r>
        <w:rPr>
          <w:rFonts w:ascii="Arial" w:cs="Arial" w:eastAsia="Arial" w:hAnsi="Arial"/>
          <w:sz w:val="27"/>
          <w:szCs w:val="27"/>
          <w:color w:val="auto"/>
        </w:rPr>
        <w:t>•</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income taxes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Software development costs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Goodwill, intangibles, and other long-lived assets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w:t>
      </w:r>
    </w:p>
    <w:p>
      <w:pPr>
        <w:spacing w:after="0" w:line="101" w:lineRule="exact"/>
        <w:rPr>
          <w:sz w:val="20"/>
          <w:szCs w:val="20"/>
          <w:color w:val="auto"/>
        </w:rPr>
      </w:pPr>
    </w:p>
    <w:p>
      <w:pPr>
        <w:sectPr>
          <w:pgSz w:w="11900" w:h="16838" w:orient="portrait"/>
          <w:cols w:equalWidth="0" w:num="2">
            <w:col w:w="500" w:space="320"/>
            <w:col w:w="10600"/>
          </w:cols>
          <w:pgMar w:left="240" w:top="460" w:right="239" w:bottom="1440" w:gutter="0" w:footer="0" w:header="0"/>
          <w:type w:val="continuous"/>
        </w:sectPr>
      </w:pPr>
    </w:p>
    <w:p>
      <w:pPr>
        <w:jc w:val="both"/>
        <w:spacing w:after="0" w:line="286" w:lineRule="auto"/>
        <w:rPr>
          <w:sz w:val="20"/>
          <w:szCs w:val="20"/>
          <w:color w:val="auto"/>
        </w:rPr>
      </w:pPr>
      <w:r>
        <w:rPr>
          <w:rFonts w:ascii="Arial" w:cs="Arial" w:eastAsia="Arial" w:hAnsi="Arial"/>
          <w:sz w:val="16"/>
          <w:szCs w:val="16"/>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the Consolidated Financial Statements in our 2018 Form 10-K and the Notes to the Condensed Consolidated Financial Statements herein which contain additional information regarding our accounting policies and other disclosures required by US GAAP. There have been no changes in our critical accounting policies and estimates from those reported in our 2018 Form 10-K, except as disclosed in the Notes to the Condensed Consolidated Financial Statements herein. Note 2 in the Notes to Condensed Consolidated Financial Statements summarizes new accounting guidance issued by the Financial Accounting Standards Board (“FASB”) that has been recently adopted by the Company, or not yet adopted by the Company, and our evaluation of such accounting guidance and the anticipated impact of such guidance (if known) on the Company. Note 12 in the Notes to Condensed Consolidated Financial Statements summarizes our critical accounting polices related to the new lease accounting standard and its impact on our financial results.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2019 Compared to Three Months Ended March 31, 2018</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$10.3 million, or 19%, to $65.2 million for the three months ended March 31, 2019 from $54.9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2018.</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 comparison of revenues by business segment is as follows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4"/>
              </w:rPr>
              <w:t>Three Months Ended March 31,</w:t>
            </w:r>
          </w:p>
        </w:tc>
        <w:tc>
          <w:tcPr>
            <w:tcW w:w="1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Revenues by Business Segment:</w:t>
            </w:r>
          </w:p>
        </w:tc>
        <w:tc>
          <w:tcPr>
            <w:tcW w:w="2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1"/>
                <w:szCs w:val="11"/>
                <w:color w:val="auto"/>
              </w:rPr>
            </w:pPr>
          </w:p>
        </w:tc>
        <w:tc>
          <w:tcPr>
            <w:tcW w:w="13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280" w:type="dxa"/>
            <w:vAlign w:val="bottom"/>
            <w:tcBorders>
              <w:bottom w:val="single" w:sz="8" w:color="CFF0FC"/>
            </w:tcBorders>
            <w:vMerge w:val="continue"/>
          </w:tcPr>
          <w:p>
            <w:pPr>
              <w:spacing w:after="0"/>
              <w:rPr>
                <w:sz w:val="14"/>
                <w:szCs w:val="14"/>
                <w:color w:val="auto"/>
              </w:rPr>
            </w:pPr>
          </w:p>
        </w:tc>
        <w:tc>
          <w:tcPr>
            <w:tcW w:w="23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2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54,295</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44,947</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7"/>
        </w:trPr>
        <w:tc>
          <w:tcPr>
            <w:tcW w:w="4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Provider Solutions</w:t>
            </w:r>
          </w:p>
        </w:tc>
        <w:tc>
          <w:tcPr>
            <w:tcW w:w="2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10,892</w:t>
            </w:r>
          </w:p>
        </w:tc>
        <w:tc>
          <w:tcPr>
            <w:tcW w:w="3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9,911</w:t>
            </w:r>
          </w:p>
        </w:tc>
        <w:tc>
          <w:tcPr>
            <w:tcW w:w="340" w:type="dxa"/>
            <w:vAlign w:val="bottom"/>
            <w:tcBorders>
              <w:bottom w:val="single" w:sz="8" w:color="CFF0FC"/>
            </w:tcBorders>
          </w:tcPr>
          <w:p>
            <w:pPr>
              <w:spacing w:after="0"/>
              <w:rPr>
                <w:sz w:val="19"/>
                <w:szCs w:val="19"/>
                <w:color w:val="auto"/>
              </w:rPr>
            </w:pPr>
          </w:p>
        </w:tc>
        <w:tc>
          <w:tcPr>
            <w:tcW w:w="15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1"/>
        </w:trPr>
        <w:tc>
          <w:tcPr>
            <w:tcW w:w="42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 net</w:t>
            </w:r>
          </w:p>
        </w:tc>
        <w:tc>
          <w:tcPr>
            <w:tcW w:w="23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65,187</w:t>
            </w:r>
          </w:p>
        </w:tc>
        <w:tc>
          <w:tcPr>
            <w:tcW w:w="3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54,858</w:t>
            </w:r>
          </w:p>
        </w:tc>
        <w:tc>
          <w:tcPr>
            <w:tcW w:w="34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 of Revenues</w:t>
            </w:r>
          </w:p>
        </w:tc>
        <w:tc>
          <w:tcPr>
            <w:tcW w:w="5060" w:type="dxa"/>
            <w:vAlign w:val="bottom"/>
            <w:tcBorders>
              <w:bottom w:val="single" w:sz="8" w:color="CFF0FC"/>
            </w:tcBorders>
            <w:shd w:val="clear" w:color="auto" w:fill="CFF0FC"/>
          </w:tcPr>
          <w:p>
            <w:pPr>
              <w:spacing w:after="0"/>
              <w:rPr>
                <w:sz w:val="18"/>
                <w:szCs w:val="18"/>
                <w:color w:val="auto"/>
              </w:rPr>
            </w:pPr>
          </w:p>
        </w:tc>
        <w:tc>
          <w:tcPr>
            <w:tcW w:w="2680" w:type="dxa"/>
            <w:vAlign w:val="bottom"/>
            <w:tcBorders>
              <w:bottom w:val="single" w:sz="8" w:color="CFF0FC"/>
            </w:tcBorders>
            <w:shd w:val="clear" w:color="auto" w:fill="CFF0FC"/>
          </w:tcPr>
          <w:p>
            <w:pPr>
              <w:spacing w:after="0"/>
              <w:rPr>
                <w:sz w:val="18"/>
                <w:szCs w:val="18"/>
                <w:color w:val="auto"/>
              </w:rPr>
            </w:pPr>
          </w:p>
        </w:tc>
      </w:tr>
      <w:tr>
        <w:trPr>
          <w:trHeight w:val="227"/>
        </w:trPr>
        <w:tc>
          <w:tcPr>
            <w:tcW w:w="3680" w:type="dxa"/>
            <w:vAlign w:val="bottom"/>
          </w:tcPr>
          <w:p>
            <w:pPr>
              <w:ind w:left="260"/>
              <w:spacing w:after="0"/>
              <w:rPr>
                <w:sz w:val="20"/>
                <w:szCs w:val="20"/>
                <w:color w:val="auto"/>
              </w:rPr>
            </w:pPr>
            <w:r>
              <w:rPr>
                <w:rFonts w:ascii="Arial" w:cs="Arial" w:eastAsia="Arial" w:hAnsi="Arial"/>
                <w:sz w:val="18"/>
                <w:szCs w:val="18"/>
                <w:color w:val="auto"/>
              </w:rPr>
              <w:t>Workforce Solutions</w:t>
            </w:r>
          </w:p>
        </w:tc>
        <w:tc>
          <w:tcPr>
            <w:tcW w:w="5060" w:type="dxa"/>
            <w:vAlign w:val="bottom"/>
          </w:tcPr>
          <w:p>
            <w:pPr>
              <w:jc w:val="right"/>
              <w:ind w:right="571"/>
              <w:spacing w:after="0"/>
              <w:rPr>
                <w:sz w:val="20"/>
                <w:szCs w:val="20"/>
                <w:color w:val="auto"/>
              </w:rPr>
            </w:pPr>
            <w:r>
              <w:rPr>
                <w:rFonts w:ascii="Arial" w:cs="Arial" w:eastAsia="Arial" w:hAnsi="Arial"/>
                <w:sz w:val="18"/>
                <w:szCs w:val="18"/>
                <w:color w:val="auto"/>
              </w:rPr>
              <w:t>83%</w:t>
            </w:r>
          </w:p>
        </w:tc>
        <w:tc>
          <w:tcPr>
            <w:tcW w:w="2680" w:type="dxa"/>
            <w:vAlign w:val="bottom"/>
          </w:tcPr>
          <w:p>
            <w:pPr>
              <w:jc w:val="right"/>
              <w:ind w:right="1591"/>
              <w:spacing w:after="0"/>
              <w:rPr>
                <w:sz w:val="20"/>
                <w:szCs w:val="20"/>
                <w:color w:val="auto"/>
              </w:rPr>
            </w:pPr>
            <w:r>
              <w:rPr>
                <w:rFonts w:ascii="Arial" w:cs="Arial" w:eastAsia="Arial" w:hAnsi="Arial"/>
                <w:sz w:val="18"/>
                <w:szCs w:val="18"/>
                <w:color w:val="auto"/>
              </w:rPr>
              <w:t>82%</w:t>
            </w:r>
          </w:p>
        </w:tc>
      </w:tr>
      <w:tr>
        <w:trPr>
          <w:trHeight w:val="228"/>
        </w:trPr>
        <w:tc>
          <w:tcPr>
            <w:tcW w:w="3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Provider Solutions</w:t>
            </w:r>
          </w:p>
        </w:tc>
        <w:tc>
          <w:tcPr>
            <w:tcW w:w="5060" w:type="dxa"/>
            <w:vAlign w:val="bottom"/>
            <w:shd w:val="clear" w:color="auto" w:fill="CFF0FC"/>
          </w:tcPr>
          <w:p>
            <w:pPr>
              <w:jc w:val="right"/>
              <w:ind w:right="571"/>
              <w:spacing w:after="0"/>
              <w:rPr>
                <w:sz w:val="20"/>
                <w:szCs w:val="20"/>
                <w:color w:val="auto"/>
              </w:rPr>
            </w:pPr>
            <w:r>
              <w:rPr>
                <w:rFonts w:ascii="Arial" w:cs="Arial" w:eastAsia="Arial" w:hAnsi="Arial"/>
                <w:sz w:val="18"/>
                <w:szCs w:val="18"/>
                <w:color w:val="auto"/>
              </w:rPr>
              <w:t>17%</w:t>
            </w:r>
          </w:p>
        </w:tc>
        <w:tc>
          <w:tcPr>
            <w:tcW w:w="2680" w:type="dxa"/>
            <w:vAlign w:val="bottom"/>
            <w:shd w:val="clear" w:color="auto" w:fill="CFF0FC"/>
          </w:tcPr>
          <w:p>
            <w:pPr>
              <w:jc w:val="right"/>
              <w:ind w:right="1591"/>
              <w:spacing w:after="0"/>
              <w:rPr>
                <w:sz w:val="20"/>
                <w:szCs w:val="20"/>
                <w:color w:val="auto"/>
              </w:rPr>
            </w:pPr>
            <w:r>
              <w:rPr>
                <w:rFonts w:ascii="Arial" w:cs="Arial" w:eastAsia="Arial" w:hAnsi="Arial"/>
                <w:sz w:val="18"/>
                <w:szCs w:val="18"/>
                <w:color w:val="auto"/>
              </w:rPr>
              <w:t>18%</w:t>
            </w:r>
          </w:p>
        </w:tc>
      </w:tr>
      <w:tr>
        <w:trPr>
          <w:trHeight w:val="654"/>
        </w:trPr>
        <w:tc>
          <w:tcPr>
            <w:tcW w:w="3680" w:type="dxa"/>
            <w:vAlign w:val="bottom"/>
          </w:tcPr>
          <w:p>
            <w:pPr>
              <w:spacing w:after="0"/>
              <w:rPr>
                <w:sz w:val="24"/>
                <w:szCs w:val="24"/>
                <w:color w:val="auto"/>
              </w:rPr>
            </w:pPr>
          </w:p>
        </w:tc>
        <w:tc>
          <w:tcPr>
            <w:tcW w:w="5060" w:type="dxa"/>
            <w:vAlign w:val="bottom"/>
          </w:tcPr>
          <w:p>
            <w:pPr>
              <w:jc w:val="right"/>
              <w:ind w:right="2851"/>
              <w:spacing w:after="0"/>
              <w:rPr>
                <w:sz w:val="20"/>
                <w:szCs w:val="20"/>
                <w:color w:val="auto"/>
              </w:rPr>
            </w:pPr>
            <w:r>
              <w:rPr>
                <w:rFonts w:ascii="Arial" w:cs="Arial" w:eastAsia="Arial" w:hAnsi="Arial"/>
                <w:sz w:val="18"/>
                <w:szCs w:val="18"/>
                <w:color w:val="auto"/>
              </w:rPr>
              <w:t>18</w:t>
            </w:r>
          </w:p>
        </w:tc>
        <w:tc>
          <w:tcPr>
            <w:tcW w:w="2680" w:type="dxa"/>
            <w:vAlign w:val="bottom"/>
          </w:tcPr>
          <w:p>
            <w:pPr>
              <w:spacing w:after="0"/>
              <w:rPr>
                <w:sz w:val="24"/>
                <w:szCs w:val="24"/>
                <w:color w:val="auto"/>
              </w:rPr>
            </w:pPr>
          </w:p>
        </w:tc>
      </w:tr>
      <w:tr>
        <w:trPr>
          <w:trHeight w:val="343"/>
        </w:trPr>
        <w:tc>
          <w:tcPr>
            <w:tcW w:w="36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7231380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type w:val="continuous"/>
        </w:sectPr>
      </w:pPr>
    </w:p>
    <w:bookmarkStart w:id="20" w:name="page21"/>
    <w:bookmarkEnd w:id="20"/>
    <w:p>
      <w:pPr>
        <w:jc w:val="both"/>
        <w:spacing w:after="0" w:line="254" w:lineRule="auto"/>
        <w:rPr>
          <w:sz w:val="20"/>
          <w:szCs w:val="20"/>
          <w:color w:val="auto"/>
        </w:rPr>
      </w:pPr>
      <w:r>
        <w:rPr>
          <w:rFonts w:ascii="Arial" w:cs="Arial" w:eastAsia="Arial" w:hAnsi="Arial"/>
          <w:sz w:val="18"/>
          <w:szCs w:val="18"/>
          <w:color w:val="auto"/>
        </w:rPr>
        <w:t>Revenues for HealthStream Workforce Solutions increased approximately $9.3 million, or 21%, to $54.3 million for the three months ended March 31, 2019 from $44.9 million for the three months ended March 31, 2018. Revenue growth in 2019 was positively influenced by an increase in subscription-based product revenues, including higher revenues from our legacy resuscitation products, which were $17.3 million in the first quarter of 2019 compared to $12.3 million in the first quarter of 2018, and growth in our proprietary compliance products. The acquisition of Providigm in January 2019 also added $1.5 million of revenue to the first quarter of 2019.</w:t>
      </w:r>
    </w:p>
    <w:p>
      <w:pPr>
        <w:spacing w:after="0" w:line="82" w:lineRule="exact"/>
        <w:rPr>
          <w:sz w:val="20"/>
          <w:szCs w:val="20"/>
          <w:color w:val="auto"/>
        </w:rPr>
      </w:pPr>
    </w:p>
    <w:p>
      <w:pPr>
        <w:jc w:val="both"/>
        <w:spacing w:after="0" w:line="335" w:lineRule="auto"/>
        <w:rPr>
          <w:sz w:val="20"/>
          <w:szCs w:val="20"/>
          <w:color w:val="auto"/>
        </w:rPr>
      </w:pPr>
      <w:r>
        <w:rPr>
          <w:rFonts w:ascii="Arial" w:cs="Arial" w:eastAsia="Arial" w:hAnsi="Arial"/>
          <w:sz w:val="16"/>
          <w:szCs w:val="16"/>
          <w:color w:val="auto"/>
        </w:rPr>
        <w:t>Revenues for HealthStream Provider Solutions increased approximately $981,000, or 10%, to $10.9 million for the three months ended March 31, 2019 from $9.9 million for the three months ended March 31, 2018. This increase was primarily as a result of organic growth among product lines in this segment.</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increased approximately $4.6 million, or 21%, to $26.9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2019 from $22.2 million for the three months ended March 31, 2018. Cost of revenues as a percentage of revenues was 41% for both the three months ended March 31, 2019 and 2018.</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Cost of revenues for HealthStream Workforce Solutions increased approximately $4.3 million to $23.3 million for the three months ended March 31, 2019 and approximated 43% and 42% of revenues for HealthStream Workforce Solutions for the three months ended March 31, 2019 and 2018, respectively. The increase is primarily associated with increased royalties paid by us resulting from growth in courseware subscription revenues. Cost of revenues for HealthStream Provider Solutions increased approximately $331,000 to $3.6 million for the three months ended March 31, 2019 and approximated 33% of HealthStream Provider Solutions revenues for both the three months ended March 31, 2019 and 2018. The increase is primarily associated with increases in personnel costs over the prior year period.</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$926,000, or 15%, to $6.9 million for the three months ended March 31, 2019 from</w:t>
      </w:r>
      <w:r>
        <w:rPr>
          <w:rFonts w:ascii="Arial" w:cs="Arial" w:eastAsia="Arial" w:hAnsi="Arial"/>
          <w:sz w:val="18"/>
          <w:szCs w:val="18"/>
          <w:i w:val="1"/>
          <w:iCs w:val="1"/>
          <w:color w:val="auto"/>
        </w:rPr>
        <w:t xml:space="preserve"> </w:t>
      </w:r>
      <w:r>
        <w:rPr>
          <w:rFonts w:ascii="Arial" w:cs="Arial" w:eastAsia="Arial" w:hAnsi="Arial"/>
          <w:sz w:val="18"/>
          <w:szCs w:val="18"/>
          <w:color w:val="auto"/>
        </w:rPr>
        <w:t>$6.0 million for the three months ended March 31, 2018. Product development expenses as a percentage of revenues were 11% for both the three months ended March 31, 2019 and 2018.</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Product development expenses for HealthStream Workforce Solutions increased approximately $968,000 to $5.8 million for the three months ended March 31, 2019 and approximated 11% of revenues for HealthStream Workforce Solutions for both the three months ended March 31, 2019 and 2018. The increase in amount is primarily due to additions to personnel over the prior year period. Product development expenses for HealthStream Provider Solutions decreased approximately $42,000 to $1.1 million for the three months ended March 31, 2019 and approximated 10% and 12% of revenues for HealthStream Provider Solutions for the three months ended March 31, 2019 and 2018, respectively.</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$457,000, or 5%, to $9.5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2019 from $9.1 million for the three months ended March 31, 2018. Sales and marketing expenses were 15% and 17% of revenues for the three months ended March 31, 2019 and 2018, respectively.</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Sales and marketing expenses for HealthStream Workforce Solutions increased approximately $533,000 to $7.8 million for the three months ended March 31, 2019 and approximated 14% and 16% of revenues for HealthStream Workforce Solutions for the three months ended March 31, 2019 and 2018, respectively. The increase in amount is primarily due to higher sales commissions, consistent with the increases in revenues, as well as higher marketing expenses. Sales and marketing expenses for HealthStream Provider Solutions decreased approximately $23,000 to $1.4 million for the three months ended March 31, 2019 and approximated 13% and 15% of revenues for HealthStream Provider Solutions for the three months ended March 31, 2019 and 2018, respectively. The unallocated corporate portion of sales and marketing expenses decreased approximately $53,000 to $260,000 for the three months ended March 31, 2019 compared to the prior year period primarily due to decreases in personnel costs.</w:t>
      </w:r>
    </w:p>
    <w:p>
      <w:pPr>
        <w:spacing w:after="0" w:line="7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i w:val="1"/>
          <w:iCs w:val="1"/>
          <w:color w:val="auto"/>
        </w:rPr>
        <w:t xml:space="preserve">Other General and Administrative Expenses. </w:t>
      </w:r>
      <w:r>
        <w:rPr>
          <w:rFonts w:ascii="Arial" w:cs="Arial" w:eastAsia="Arial" w:hAnsi="Arial"/>
          <w:sz w:val="17"/>
          <w:szCs w:val="17"/>
          <w:color w:val="auto"/>
        </w:rPr>
        <w:t>Other general and administrative expenses increased approximately $2.3 million, or 29%, to $10.0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March 31, 2019 from $7.7 million for the three months ended March 31, 2018. Other general and administrative expenses as a percentage of revenues were 15% and 14% of revenues for the three months ended March 31, 2019 and 2018, respectively.</w:t>
      </w:r>
    </w:p>
    <w:p>
      <w:pPr>
        <w:spacing w:after="0" w:line="6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Other general and administrative expenses for HealthStream Workforce Solutions increased approximately $1.1 million to $3.3 million for the three months ended March 31, 2019 and approximated 6% and 5% of HealthStream Workforce Solutions revenues for the three months ended March 31, 2019 and 2018, respectively. The increase is primarily due to higher facilities expense related to our new corporate headquarters incurred during the three months ended March 31, 2019 as well as higher personnel and software costs. Other general and administrative expenses for HealthStream Provider Solutions decreased approximately $420,000 to $935,000 for the three months ended March 31, 2019 and approximated 9% and 14% of HealthStream Provider Solutions revenues for the three months ended March 31, 2019 and 2018, respectively. The decrease is due to a reduction in contract labor costs. The unallocated corporate portion of other general and administrative expenses increased approximately $1.6 million to $5.8 million for the three months ended March 31, 2019 compared to the prior year period primarily due to increases to personnel, software expenses, professional services, and other administrative costs.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73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1" w:name="page22"/>
    <w:bookmarkEnd w:id="21"/>
    <w:p>
      <w:pPr>
        <w:jc w:val="both"/>
        <w:spacing w:after="0" w:line="301"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was approximately $6.5 million and $6.1 million for the three months ended March 31, 2019 and</w:t>
      </w:r>
      <w:r>
        <w:rPr>
          <w:rFonts w:ascii="Arial" w:cs="Arial" w:eastAsia="Arial" w:hAnsi="Arial"/>
          <w:sz w:val="17"/>
          <w:szCs w:val="17"/>
          <w:i w:val="1"/>
          <w:iCs w:val="1"/>
          <w:color w:val="auto"/>
        </w:rPr>
        <w:t xml:space="preserve"> </w:t>
      </w:r>
      <w:r>
        <w:rPr>
          <w:rFonts w:ascii="Arial" w:cs="Arial" w:eastAsia="Arial" w:hAnsi="Arial"/>
          <w:sz w:val="17"/>
          <w:szCs w:val="17"/>
          <w:color w:val="auto"/>
        </w:rPr>
        <w:t>2018, respectively. This increase is primarily a result of amortization of acquired intangible assets associated with Providigm.</w:t>
      </w:r>
    </w:p>
    <w:p>
      <w:pPr>
        <w:spacing w:after="0" w:line="4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was approximately $822,000 for the three months ended March 31, 2019 compared to $313,000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2018. The increase resulted from higher interest income from cash and investments in marketable securities.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The Company recorded a provision for income taxes from continuing operations of approximately $1.4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2019 compared to $414,000 for the three months ended March 31, 2018. The Company’s effective tax rate was 23% for the three months ended March 31, 2019 compared to 10% for the three months ended March 31, 2018. During the three months ended March 31, 2019 and 2018, the Company recorded excess tax benefits from stock based awards of approximately $83,000 and $636,000, respectively, as a component of the provision for income taxes, which reduced the effective tax rate.</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Income from Continuing Operations. </w:t>
      </w:r>
      <w:r>
        <w:rPr>
          <w:rFonts w:ascii="Arial" w:cs="Arial" w:eastAsia="Arial" w:hAnsi="Arial"/>
          <w:sz w:val="18"/>
          <w:szCs w:val="18"/>
          <w:color w:val="auto"/>
        </w:rPr>
        <w:t>Income from continuing operations was $4.8 million in the first quarter of 2019, up 32% from $3.6 million in the first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2018. Income from continuing operations in the first quarter of 2019 was positively impacted by the increase in revenues noted above. The accounting adjustment referenced above in Note 1 to the condensed consolidated financial statements also had a positive impact of $744,000 on income from continuing operations in the first quarter of 2019. EPS from continuing operations was $0.15 and $0.11 per share (diluted) for the three months ended March 31, 2019 and 2018, respectively.</w:t>
      </w:r>
    </w:p>
    <w:p>
      <w:pPr>
        <w:spacing w:after="0" w:line="8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Income from Discontinued Operations. </w:t>
      </w:r>
      <w:r>
        <w:rPr>
          <w:rFonts w:ascii="Arial" w:cs="Arial" w:eastAsia="Arial" w:hAnsi="Arial"/>
          <w:sz w:val="16"/>
          <w:szCs w:val="16"/>
          <w:color w:val="auto"/>
        </w:rPr>
        <w:t>Income from discontinued operations was $1.2 million for the three months ended March 31, 2019 compared to $20.2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March 31, 2018, which decrease was primarily driven by the gain of $20.3 million on the sale of the Patient Experience business recognized in the three months ended March 31, 2018. The $1.2 million gain, net of tax, recorded during the three months ended March 31, 2019 was the result of a release of the escrow funds. Refer to Note 8 in the Notes to the condensed consolidated financial statements for further information.</w:t>
      </w:r>
    </w:p>
    <w:p>
      <w:pPr>
        <w:spacing w:after="0" w:line="53" w:lineRule="exact"/>
        <w:rPr>
          <w:sz w:val="20"/>
          <w:szCs w:val="20"/>
          <w:color w:val="auto"/>
        </w:rPr>
      </w:pPr>
    </w:p>
    <w:p>
      <w:pPr>
        <w:jc w:val="both"/>
        <w:spacing w:after="0" w:line="301"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was approximately $6.0 million for the three months ended March 31, 2019 compared to $23.8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2018. EPS was $0.18 and $0.74 per share (diluted) for the three months ended March 31, 2019 and 2018, respectively.</w:t>
      </w:r>
    </w:p>
    <w:p>
      <w:pPr>
        <w:spacing w:after="0" w:line="4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Adjusted EBITDA from continuing operations increased 22% to $12.5 million for the first quarter of 2019 compared to $10.2 million for the first quarter of 2018.</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EBITDA (from continuing and discontinued operations) was $14.1 million for the three months ended March 31, 2019 compared to $41.2 million for the three months ended March 31, 2018. See “Reconciliation of Non-GAAP Financial Measures” below for our reconciliation of Adjusted EBITDA from continuing operations and adjusted EBITDA to the most directly comparable measures under US GAAP and disclosure regarding why we believe these non-GAAP financial measures provide useful information to investors.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12, 2018, the Company divested its PX business to Press Ganey for $65.2 million in cash (after giving effect to the post-closing working capital adjustment). This sale of the PX business resulted in the divestiture of our patient experience solutions business segment. We recorded a gain on sale, net of tax, of $20.2 million, of which $19.0 million was recorded during the year ended December 31, 2018 and $1.2 million was recorded during the three months ended March 31, 2019. With the proceeds of this sale, our Board of Directors declared a $1.00 per common share special cash dividend, which was paid on April 3, 2018 to shareholders of record on March 6, 2018.</w:t>
      </w:r>
    </w:p>
    <w:p>
      <w:pPr>
        <w:spacing w:after="0" w:line="82"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We have classified the results of our PX business segment as discontinued operations in our condensed consolidated statements of income and cash flows for all periods presented. See Note 8 to our condensed consolidated financial statements included in this report for additional information.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73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Other Developments</w:t>
      </w:r>
    </w:p>
    <w:p>
      <w:pPr>
        <w:spacing w:after="0" w:line="11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legacy agreements with Laerdal (the “Legacy Agreements”) for the HeartCode and Resuscitation Quality Improvement (“RQI”) products expired pursuant to their terms on December 31, 2018. Revenues associated with sales of HeartCode and RQI products pursuant to the Legacy Agreements have been significant in recent years, although margins on such products have been lower than HealthStream’s average margin. In 2018, revenue generated by HeartCode and RQI pursuant to the Legacy Agreements was approximately $55 million. In 2019, we expect the revenue from these products generated pursuant to the Legacy Agreements to approximate $59 to $60 million. During the three months ended March 31, 2019, as noted above we recorded revenue of $17.3 million related to HeartCode and RQI products under the Legacy Agreements compared to $12.3 million for the three months ended March 31, 2018. We expect 2019 revenue from HeartCode and RQI generated pursuant to the Legacy Agreements to decline sequentially on a quarterly basis. We also continue to expect revenue from HeartCode and RQI sold pursuant to the Legacy Agreements to be zero in the first quarter of 2021.</w:t>
      </w:r>
    </w:p>
    <w:p>
      <w:pPr>
        <w:spacing w:after="0" w:line="6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6, 2018, we announced a new agreement with RQI Partners, a joint venture between Laerdal and the American Heart Association. This agreement with RQI Partners is not an extension or renewal of the expired Legacy Agreements with Laerdal and should not be construed as such. Under our agreement with RQI Partners, HealthStream will neither market nor sell HeartCode or RQI. Our RQI Partners agreement provides for continuity of service for customers that desire to purchase HeartCode or RQI from RQI Partners after December 31, 2018 and receive it via the HealthStream Learning Center. RQI Partners will remit a fee to us when new sales of HeartCode and RQI are delivered via the HealthStream Learning Center. This fee will not be sufficient to supplant the revenue runout associated with the Legacy Agreements.</w:t>
      </w:r>
    </w:p>
    <w:p>
      <w:pPr>
        <w:spacing w:after="0" w:line="7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remain actively engaged in efforts to broaden the scope and utilization of our simulation-related offerings to include a range of clinical competencies that extend beyond resuscitation, and we intend to bring to market a broadened scope of simulation-based offerings, including resuscitation programs. On January 17, 2019, as part of a seven-year collaboration agreement with the American Red Cross, which spans to 2026, we announced the launch of the American Red Cross Resuscitation Suite. We have now begun efforts to market, sell, and deliver the American Red Cross Resuscitation Suite. Our first eight customers are under contract for the American Red Cross Resuscitation Suite, and we expect to begin implementing certain of those contracts during the second quarter. No revenue will be recognized from these new contracts until implementation is complete. We believe our efforts to market, sell, and deliver the American Red Cross Resuscitation Suite, along with efforts to bring additional simulation-related offerings to market, have the potential to give rise to additional and higher margin opportunities than those that existed under the Legacy Agreements. However, there is no assurance that we will be successful in these efforts, and to the extent that new simulation-based or other solutions do not generate revenue and/or earnings in a manner that supplants the impact of the Legacy Agreements, our revenue and results of operations may be adversely affected.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report presents adjusted EBITDA from continuing operations and adjusted EBITDA, both of which are non-GAAP financial measures used by management in analyzing our financial results and ongoing operational performance.</w:t>
      </w:r>
    </w:p>
    <w:p>
      <w:pPr>
        <w:spacing w:after="0" w:line="6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order to better assess the Company’s financial results, management believes that net income before interest, income taxes, share-based compensation, depreciation and amortization, and changes in fair value of cost method investments (“adjusted EBITDA”) is a useful measure for evaluating the operating performance of the Company because adjusted EBITDA reflects net income adjusted for certain non-cash and non-operating items. Management also believes that adjusted EBITDA from continuing operations is a useful measure for evaluating the operating performance of the Company because such measure excludes the results of operations of the PX business that we no longer own and the gain on sale in connection with the sale of such business in February 2018 and thus reflects the Company’s ongoing business operations and assists in comparing the Company’s results of operations between periods. We also believe that adjusted EBITDA and adjusted EBITDA from continuing operations are useful to many investors to assess the Company’s ongoing results from current operations. Adjusted EBITDA and adjusted EBITDA from continuing operations are non-GAAP financial measures and should not be considered as measures of financial performance under GAAP. Because adjusted EBITDA and adjusted EBITDA from continuing operations are not measurements determined in accordance with GAAP, such non-GAAP financial measures are susceptible to varying calculations. Accordingly, adjusted EBITDA and adjusted EBITDA from continuing operations, as presented, may not be comparable to other similarly titled measures of other companies.</w:t>
      </w:r>
    </w:p>
    <w:p>
      <w:pPr>
        <w:spacing w:after="0" w:line="67" w:lineRule="exact"/>
        <w:rPr>
          <w:sz w:val="20"/>
          <w:szCs w:val="20"/>
          <w:color w:val="auto"/>
        </w:rPr>
      </w:pPr>
    </w:p>
    <w:p>
      <w:pPr>
        <w:jc w:val="both"/>
        <w:spacing w:after="0" w:line="335" w:lineRule="auto"/>
        <w:rPr>
          <w:sz w:val="20"/>
          <w:szCs w:val="20"/>
          <w:color w:val="auto"/>
        </w:rPr>
      </w:pPr>
      <w:r>
        <w:rPr>
          <w:rFonts w:ascii="Arial" w:cs="Arial" w:eastAsia="Arial" w:hAnsi="Arial"/>
          <w:sz w:val="16"/>
          <w:szCs w:val="16"/>
          <w:color w:val="auto"/>
        </w:rPr>
        <w:t>These non-GAAP financial measures should not be considered as a substitute for, or superior to, measures of financial performance which are prepared in accordance with US GAAP and may be different from non-GAAP financial measures used by other companies and have limitations as analytical tools.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73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456" w:right="239" w:bottom="1440" w:gutter="0" w:footer="0" w:header="0"/>
        </w:sectPr>
      </w:pPr>
    </w:p>
    <w:bookmarkStart w:id="23" w:name="page24"/>
    <w:bookmarkEnd w:id="23"/>
    <w:p>
      <w:pPr>
        <w:jc w:val="both"/>
        <w:spacing w:after="0" w:line="271" w:lineRule="auto"/>
        <w:rPr>
          <w:sz w:val="20"/>
          <w:szCs w:val="20"/>
          <w:color w:val="auto"/>
        </w:rPr>
      </w:pPr>
      <w:r>
        <w:rPr>
          <w:rFonts w:ascii="Arial" w:cs="Arial" w:eastAsia="Arial" w:hAnsi="Arial"/>
          <w:sz w:val="18"/>
          <w:szCs w:val="18"/>
          <w:color w:val="auto"/>
        </w:rPr>
        <w:t>A reconciliation of adjusted EBITDA and adjusted EBITDA from continuing operations to the most directly comparable GAAP measures is set forth below (in thousands).</w:t>
      </w:r>
    </w:p>
    <w:p>
      <w:pPr>
        <w:spacing w:after="0" w:line="180"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line="232"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5640" w:type="dxa"/>
            <w:vAlign w:val="bottom"/>
            <w:tcBorders>
              <w:bottom w:val="single" w:sz="8" w:color="CFF0FC"/>
            </w:tcBorders>
          </w:tcPr>
          <w:p>
            <w:pPr>
              <w:spacing w:after="0"/>
              <w:rPr>
                <w:sz w:val="13"/>
                <w:szCs w:val="13"/>
                <w:color w:val="auto"/>
              </w:rPr>
            </w:pPr>
          </w:p>
        </w:tc>
        <w:tc>
          <w:tcPr>
            <w:tcW w:w="220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4"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GAAP income from continuing operations</w:t>
            </w:r>
          </w:p>
        </w:tc>
        <w:tc>
          <w:tcPr>
            <w:tcW w:w="2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4,780</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9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Interest income</w:t>
            </w: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(790)</w:t>
            </w:r>
          </w:p>
        </w:tc>
        <w:tc>
          <w:tcPr>
            <w:tcW w:w="5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Income tax provision</w:t>
            </w: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 expense</w:t>
            </w:r>
          </w:p>
        </w:tc>
        <w:tc>
          <w:tcPr>
            <w:tcW w:w="2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6,539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cost method investments</w:t>
            </w:r>
          </w:p>
        </w:tc>
        <w:tc>
          <w:tcPr>
            <w:tcW w:w="2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5660" w:type="dxa"/>
            <w:vAlign w:val="bottom"/>
            <w:gridSpan w:val="2"/>
          </w:tcPr>
          <w:p>
            <w:pPr>
              <w:spacing w:after="0"/>
              <w:rPr>
                <w:sz w:val="20"/>
                <w:szCs w:val="20"/>
                <w:color w:val="auto"/>
              </w:rPr>
            </w:pPr>
            <w:r>
              <w:rPr>
                <w:rFonts w:ascii="Arial" w:cs="Arial" w:eastAsia="Arial" w:hAnsi="Arial"/>
                <w:sz w:val="18"/>
                <w:szCs w:val="18"/>
                <w:color w:val="auto"/>
              </w:rPr>
              <w:t>Adjusted EBITDA from continuing operations</w:t>
            </w:r>
          </w:p>
        </w:tc>
        <w:tc>
          <w:tcPr>
            <w:tcW w:w="22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815"/>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12,477</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640" w:type="dxa"/>
            <w:vAlign w:val="bottom"/>
            <w:tcBorders>
              <w:top w:val="single" w:sz="8" w:color="CFF0FC"/>
            </w:tcBorders>
            <w:shd w:val="clear" w:color="auto" w:fill="CFF0FC"/>
          </w:tcPr>
          <w:p>
            <w:pPr>
              <w:spacing w:after="0"/>
              <w:rPr>
                <w:sz w:val="18"/>
                <w:szCs w:val="18"/>
                <w:color w:val="auto"/>
              </w:rPr>
            </w:pPr>
          </w:p>
        </w:tc>
        <w:tc>
          <w:tcPr>
            <w:tcW w:w="22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GAAP net income</w:t>
            </w:r>
          </w:p>
        </w:tc>
        <w:tc>
          <w:tcPr>
            <w:tcW w:w="3200" w:type="dxa"/>
            <w:vAlign w:val="bottom"/>
            <w:gridSpan w:val="2"/>
          </w:tcPr>
          <w:p>
            <w:pPr>
              <w:jc w:val="right"/>
              <w:ind w:right="81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5,974</w:t>
            </w:r>
          </w:p>
        </w:tc>
        <w:tc>
          <w:tcPr>
            <w:tcW w:w="100" w:type="dxa"/>
            <w:vAlign w:val="bottom"/>
          </w:tcPr>
          <w:p>
            <w:pPr>
              <w:spacing w:after="0"/>
              <w:rPr>
                <w:sz w:val="19"/>
                <w:szCs w:val="19"/>
                <w:color w:val="auto"/>
              </w:rPr>
            </w:pPr>
          </w:p>
        </w:tc>
        <w:tc>
          <w:tcPr>
            <w:tcW w:w="56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23,846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(790)</w:t>
            </w:r>
          </w:p>
        </w:tc>
        <w:tc>
          <w:tcPr>
            <w:tcW w:w="5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Interest expense</w:t>
            </w: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2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Stock based compensation expense</w:t>
            </w: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6,539</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Change in fair value of cost method investments</w:t>
            </w: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2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5"/>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14,097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Net cash provided by operating activities from continuing operations increased by $6.5 million to $16.1 million during the three months ended March 31, 2019 from $9.6 million during the three months ended March 31, 2018. The increase compared to the prior year period primarily resulted from changes in accounts and unbilled receivables, accrued royalties, and deferred revenue. The number of days sales outstanding (“DSO”) was 52 days for the first quarter of 2019 compared to 60 days for the first quarter of 2018. The improvement in DSO primarily relates to improved collections in the Provider Solutions segment as compared to the prior year period.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7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Net cash used in investing activities from continuing operations was approximately $39.4 million for the three months ended March 31, 2019 compared to net cash provided by investing activities from continuing operations of $60.8 million for the three months ended March 31, 2018. During the three months ended March 31, 2019, the Company acquired Providigm for $18.0 million, invested in marketable securities of $30.1 million, purchased property and equipment of $11.3 million, made payments for capitalized software development of $4.9 million, and invested $3.3 million in cost method investments. These uses of cash were partially offset by $28.3 million in maturities of marketable securities. During the three months ended March 31, 2018, the Company divested its PX business segment, receiving proceeds from the sale of $58.2 million (not including the $6.55 million portion of the purchase price being held in escrow for a period of time following the closing as a source of recovery for indemnification claims) and had maturities of marketable securities of $19.6 million. These sources of cash were partially offset by purchases of $1.9 million of property and equipment, $2.5 million for capitalized software development, and $12.6 million for investments in marketable securities.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73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4" w:name="page25"/>
    <w:bookmarkEnd w:id="24"/>
    <w:p>
      <w:pPr>
        <w:jc w:val="both"/>
        <w:spacing w:after="0" w:line="287" w:lineRule="auto"/>
        <w:rPr>
          <w:sz w:val="20"/>
          <w:szCs w:val="20"/>
          <w:color w:val="auto"/>
        </w:rPr>
      </w:pPr>
      <w:r>
        <w:rPr>
          <w:rFonts w:ascii="Arial" w:cs="Arial" w:eastAsia="Arial" w:hAnsi="Arial"/>
          <w:sz w:val="16"/>
          <w:szCs w:val="16"/>
          <w:color w:val="auto"/>
        </w:rPr>
        <w:t>Net cash used in financing activities from continuing operations was approximately $417,000 for the three months ended March 31, 2019 compared to net cash provided by financing activities from continuing operations of $2.0 million for the three months ended March 31, 2018. The uses of cash for both the three months ended March 31, 2019 and 2018 included the payment of employee payroll taxes in relation to the vesting of restricted share units (“RSU”) of $359,000 and $297,000, respectively. In this regard, the Company net-share settled the employee RSUs by withholding shares with value equivalent to the employee’s minimum statutory obligation for the applicable income and other employment taxes. The uses of cash for both the three months ended March 31, 2019 and 2018 also included $37,000 of payments of earn-outs related to prior acquisitions. The source of cash from financing activities for both the three months ended March 31, 2019 and 2018 was from the exercise of stock options of $31,000 for the three months ended March 31, 2019 and $2.4 million for the three months ended March 31, 2018. The use of cash for the three months ended March 31, 2019 also included $52,000 of cash dividend payments.</w:t>
      </w:r>
    </w:p>
    <w:p>
      <w:pPr>
        <w:spacing w:after="0" w:line="6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balance sheet reflects positive working capital of $112.8 million at March 31, 2019 compared to $134.6 million at December 31, 2018. The decrease in working capital is primarily a result of the acquisition of Providigm and capital expenditures related to our new corporate office. The Company’s primary source of liquidity as of March 31, 2019 was $110.6 million of cash and cash equivalents and $36.3 million of marketable securities. The Company also has a $50.0 million revolving credit facility, all of which was available for additional borrowing at March 31, 2019. The revolving credit facility expires on November 24, 2020.</w:t>
      </w:r>
    </w:p>
    <w:p>
      <w:pPr>
        <w:spacing w:after="0" w:line="53" w:lineRule="exact"/>
        <w:rPr>
          <w:sz w:val="20"/>
          <w:szCs w:val="20"/>
          <w:color w:val="auto"/>
        </w:rPr>
      </w:pPr>
    </w:p>
    <w:p>
      <w:pPr>
        <w:jc w:val="both"/>
        <w:spacing w:after="0" w:line="335" w:lineRule="auto"/>
        <w:rPr>
          <w:sz w:val="20"/>
          <w:szCs w:val="20"/>
          <w:color w:val="auto"/>
        </w:rPr>
      </w:pPr>
      <w:r>
        <w:rPr>
          <w:rFonts w:ascii="Arial" w:cs="Arial" w:eastAsia="Arial" w:hAnsi="Arial"/>
          <w:sz w:val="16"/>
          <w:szCs w:val="16"/>
          <w:color w:val="auto"/>
        </w:rPr>
        <w:t>We believe that our existing cash and cash equivalents, marketable securities, cash generated from operations, and available borrowings under our revolving credit facility will be sufficient to meet anticipated working capital needs, new product development, and capital expenditures for at least the next 12 months.</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addition, the Company’s growth strategy includes acquiring businesses or making strategic investments in businesses that complement or enhance our business. It is anticipated that future acquisitions or strategic investments,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adjusted EBITDA and an interest coverage ratio of adjusted EBITDA to interest expense. Therefore, the maximum borrowings against our revolving credit facility would be dependent on the covenant calculations at the time of borrowing. As of March 31, 2019, we were in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1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is exposed to market risk from changes in interest rates. We do not have any material foreign currency exchange rate risk or commodity price risk. As of March 31, 2019 and during the three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approximated $146.9 million at March 31, 2019. Assuming a hypothetical 10% decrease in interest rates for invested balances, interest income from cash and investments would decrease on an annualized basis by approximately $317,000.</w:t>
      </w:r>
    </w:p>
    <w:p>
      <w:pPr>
        <w:spacing w:after="0" w:line="58"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45"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color w:val="auto"/>
        </w:rPr>
        <w:t>The above market risk discussion and the estimated amounts presented are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of market risk assuming the occurrence of certain adverse market conditions. Actual results in the future may differ materially from those projected as a result of actual developments in the market.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73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first quarter of 2019 that has materially affected, or that is reasonably likely to materially affect, HealthStream’s internal control over financial reporting.</w:t>
      </w:r>
    </w:p>
    <w:p>
      <w:pPr>
        <w:spacing w:after="0" w:line="17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PART II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OTHER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18" w:lineRule="exact"/>
        <w:rPr>
          <w:sz w:val="20"/>
          <w:szCs w:val="20"/>
          <w:color w:val="auto"/>
        </w:rPr>
      </w:pPr>
    </w:p>
    <w:p>
      <w:pPr>
        <w:ind w:left="820" w:hanging="4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140" w:type="dxa"/>
            <w:vAlign w:val="bottom"/>
          </w:tcPr>
          <w:p>
            <w:pPr>
              <w:spacing w:after="0"/>
              <w:rPr>
                <w:sz w:val="20"/>
                <w:szCs w:val="20"/>
                <w:color w:val="auto"/>
              </w:rPr>
            </w:pPr>
            <w:r>
              <w:rPr>
                <w:rFonts w:ascii="Arial" w:cs="Arial" w:eastAsia="Arial" w:hAnsi="Arial"/>
                <w:sz w:val="16"/>
                <w:szCs w:val="16"/>
                <w:color w:val="auto"/>
              </w:rPr>
              <w:t>10.18</w:t>
            </w:r>
          </w:p>
        </w:tc>
        <w:tc>
          <w:tcPr>
            <w:tcW w:w="586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28">
              <w:r>
                <w:rPr>
                  <w:rFonts w:ascii="Arial" w:cs="Arial" w:eastAsia="Arial" w:hAnsi="Arial"/>
                  <w:sz w:val="16"/>
                  <w:szCs w:val="16"/>
                  <w:color w:val="0000EE"/>
                  <w:w w:val="90"/>
                </w:rPr>
                <w:t>HealthStream, Inc. 2019 Executive and Corporate Management Cash Incentive Bonus Plan</w:t>
              </w:r>
            </w:hyperlink>
          </w:p>
        </w:tc>
        <w:tc>
          <w:tcPr>
            <w:tcW w:w="4340" w:type="dxa"/>
            <w:vAlign w:val="bottom"/>
            <w:gridSpan w:val="4"/>
          </w:tcPr>
          <w:p>
            <w:pPr>
              <w:spacing w:after="0"/>
              <w:rPr>
                <w:sz w:val="16"/>
                <w:szCs w:val="16"/>
                <w:color w:val="auto"/>
              </w:rPr>
            </w:pPr>
          </w:p>
        </w:tc>
      </w:tr>
      <w:tr>
        <w:trPr>
          <w:trHeight w:val="315"/>
        </w:trPr>
        <w:tc>
          <w:tcPr>
            <w:tcW w:w="1140" w:type="dxa"/>
            <w:vAlign w:val="bottom"/>
          </w:tcPr>
          <w:p>
            <w:pPr>
              <w:spacing w:after="0"/>
              <w:rPr>
                <w:sz w:val="20"/>
                <w:szCs w:val="20"/>
                <w:color w:val="auto"/>
              </w:rPr>
            </w:pPr>
            <w:r>
              <w:rPr>
                <w:rFonts w:ascii="Arial" w:cs="Arial" w:eastAsia="Arial" w:hAnsi="Arial"/>
                <w:sz w:val="16"/>
                <w:szCs w:val="16"/>
                <w:color w:val="auto"/>
              </w:rPr>
              <w:t>10.19</w:t>
            </w:r>
          </w:p>
        </w:tc>
        <w:tc>
          <w:tcPr>
            <w:tcW w:w="10200" w:type="dxa"/>
            <w:vAlign w:val="bottom"/>
            <w:gridSpan w:val="6"/>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HealthStream, Inc. 2019 Provider Solutions Cash Incentive Bonus Plan</w:t>
              </w:r>
            </w:hyperlink>
          </w:p>
        </w:tc>
      </w:tr>
      <w:tr>
        <w:trPr>
          <w:trHeight w:val="20"/>
        </w:trPr>
        <w:tc>
          <w:tcPr>
            <w:tcW w:w="1140" w:type="dxa"/>
            <w:vAlign w:val="bottom"/>
          </w:tcPr>
          <w:p>
            <w:pPr>
              <w:spacing w:after="0" w:line="20" w:lineRule="exact"/>
              <w:rPr>
                <w:sz w:val="1"/>
                <w:szCs w:val="1"/>
                <w:color w:val="auto"/>
              </w:rPr>
            </w:pPr>
          </w:p>
        </w:tc>
        <w:tc>
          <w:tcPr>
            <w:tcW w:w="4580" w:type="dxa"/>
            <w:vAlign w:val="bottom"/>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1"/>
        </w:trPr>
        <w:tc>
          <w:tcPr>
            <w:tcW w:w="1140" w:type="dxa"/>
            <w:vAlign w:val="bottom"/>
          </w:tcPr>
          <w:p>
            <w:pPr>
              <w:spacing w:after="0"/>
              <w:rPr>
                <w:sz w:val="20"/>
                <w:szCs w:val="20"/>
                <w:color w:val="auto"/>
              </w:rPr>
            </w:pPr>
            <w:r>
              <w:rPr>
                <w:rFonts w:ascii="Arial" w:cs="Arial" w:eastAsia="Arial" w:hAnsi="Arial"/>
                <w:sz w:val="16"/>
                <w:szCs w:val="16"/>
                <w:color w:val="auto"/>
              </w:rPr>
              <w:t>31.1</w:t>
            </w:r>
          </w:p>
        </w:tc>
        <w:tc>
          <w:tcPr>
            <w:tcW w:w="6660" w:type="dxa"/>
            <w:vAlign w:val="bottom"/>
            <w:tcBorders>
              <w:bottom w:val="single" w:sz="8" w:color="0000EE"/>
            </w:tcBorders>
            <w:gridSpan w:val="3"/>
          </w:tcPr>
          <w:p>
            <w:pPr>
              <w:spacing w:after="0"/>
              <w:rPr>
                <w:rFonts w:ascii="Arial" w:cs="Arial" w:eastAsia="Arial" w:hAnsi="Arial"/>
                <w:sz w:val="16"/>
                <w:szCs w:val="16"/>
                <w:color w:val="0000EE"/>
                <w:w w:val="92"/>
              </w:rPr>
            </w:pPr>
            <w:hyperlink w:anchor="page32">
              <w:r>
                <w:rPr>
                  <w:rFonts w:ascii="Arial" w:cs="Arial" w:eastAsia="Arial" w:hAnsi="Arial"/>
                  <w:sz w:val="16"/>
                  <w:szCs w:val="16"/>
                  <w:color w:val="0000EE"/>
                  <w:w w:val="92"/>
                </w:rPr>
                <w:t>Certification of the Chief Executive Officer Pursuant to Section 302 of the Sarbanes-Oxley Act of 2002</w:t>
              </w:r>
            </w:hyperlink>
          </w:p>
        </w:tc>
        <w:tc>
          <w:tcPr>
            <w:tcW w:w="3540" w:type="dxa"/>
            <w:vAlign w:val="bottom"/>
            <w:gridSpan w:val="3"/>
          </w:tcPr>
          <w:p>
            <w:pPr>
              <w:spacing w:after="0"/>
              <w:rPr>
                <w:sz w:val="24"/>
                <w:szCs w:val="24"/>
                <w:color w:val="auto"/>
              </w:rPr>
            </w:pPr>
          </w:p>
        </w:tc>
      </w:tr>
      <w:tr>
        <w:trPr>
          <w:trHeight w:val="315"/>
        </w:trPr>
        <w:tc>
          <w:tcPr>
            <w:tcW w:w="1140" w:type="dxa"/>
            <w:vAlign w:val="bottom"/>
          </w:tcPr>
          <w:p>
            <w:pPr>
              <w:spacing w:after="0"/>
              <w:rPr>
                <w:sz w:val="20"/>
                <w:szCs w:val="20"/>
                <w:color w:val="auto"/>
              </w:rPr>
            </w:pPr>
            <w:r>
              <w:rPr>
                <w:rFonts w:ascii="Arial" w:cs="Arial" w:eastAsia="Arial" w:hAnsi="Arial"/>
                <w:sz w:val="16"/>
                <w:szCs w:val="16"/>
                <w:color w:val="auto"/>
              </w:rPr>
              <w:t>31.2</w:t>
            </w:r>
          </w:p>
        </w:tc>
        <w:tc>
          <w:tcPr>
            <w:tcW w:w="6840" w:type="dxa"/>
            <w:vAlign w:val="bottom"/>
            <w:tcBorders>
              <w:bottom w:val="single" w:sz="8" w:color="0000EE"/>
            </w:tcBorders>
            <w:gridSpan w:val="4"/>
          </w:tcPr>
          <w:p>
            <w:pPr>
              <w:spacing w:after="0"/>
              <w:rPr>
                <w:rFonts w:ascii="Arial" w:cs="Arial" w:eastAsia="Arial" w:hAnsi="Arial"/>
                <w:sz w:val="16"/>
                <w:szCs w:val="16"/>
                <w:color w:val="0000EE"/>
                <w:w w:val="92"/>
              </w:rPr>
            </w:pPr>
            <w:hyperlink w:anchor="page33">
              <w:r>
                <w:rPr>
                  <w:rFonts w:ascii="Arial" w:cs="Arial" w:eastAsia="Arial" w:hAnsi="Arial"/>
                  <w:sz w:val="16"/>
                  <w:szCs w:val="16"/>
                  <w:color w:val="0000EE"/>
                  <w:w w:val="92"/>
                </w:rPr>
                <w:t>Certification of the Principal Financial Officer Pursuant to Section 302 of the Sarbanes-Oxley Act of 2002</w:t>
              </w:r>
            </w:hyperlink>
          </w:p>
        </w:tc>
        <w:tc>
          <w:tcPr>
            <w:tcW w:w="3360" w:type="dxa"/>
            <w:vAlign w:val="bottom"/>
            <w:gridSpan w:val="2"/>
          </w:tcPr>
          <w:p>
            <w:pPr>
              <w:spacing w:after="0"/>
              <w:rPr>
                <w:sz w:val="24"/>
                <w:szCs w:val="24"/>
                <w:color w:val="auto"/>
              </w:rPr>
            </w:pPr>
          </w:p>
        </w:tc>
      </w:tr>
      <w:tr>
        <w:trPr>
          <w:trHeight w:val="315"/>
        </w:trPr>
        <w:tc>
          <w:tcPr>
            <w:tcW w:w="1140" w:type="dxa"/>
            <w:vAlign w:val="bottom"/>
          </w:tcPr>
          <w:p>
            <w:pPr>
              <w:spacing w:after="0"/>
              <w:rPr>
                <w:sz w:val="20"/>
                <w:szCs w:val="20"/>
                <w:color w:val="auto"/>
              </w:rPr>
            </w:pPr>
            <w:r>
              <w:rPr>
                <w:rFonts w:ascii="Arial" w:cs="Arial" w:eastAsia="Arial" w:hAnsi="Arial"/>
                <w:sz w:val="16"/>
                <w:szCs w:val="16"/>
                <w:color w:val="auto"/>
              </w:rPr>
              <w:t>32.1</w:t>
            </w:r>
          </w:p>
        </w:tc>
        <w:tc>
          <w:tcPr>
            <w:tcW w:w="7800" w:type="dxa"/>
            <w:vAlign w:val="bottom"/>
            <w:tcBorders>
              <w:bottom w:val="single" w:sz="8" w:color="0000EE"/>
            </w:tcBorders>
            <w:gridSpan w:val="5"/>
          </w:tcPr>
          <w:p>
            <w:pPr>
              <w:spacing w:after="0"/>
              <w:rPr>
                <w:rFonts w:ascii="Arial" w:cs="Arial" w:eastAsia="Arial" w:hAnsi="Arial"/>
                <w:sz w:val="16"/>
                <w:szCs w:val="16"/>
                <w:color w:val="0000EE"/>
                <w:w w:val="90"/>
              </w:rPr>
            </w:pPr>
            <w:hyperlink w:anchor="page34">
              <w:r>
                <w:rPr>
                  <w:rFonts w:ascii="Arial" w:cs="Arial" w:eastAsia="Arial" w:hAnsi="Arial"/>
                  <w:sz w:val="16"/>
                  <w:szCs w:val="16"/>
                  <w:color w:val="0000EE"/>
                  <w:w w:val="90"/>
                </w:rPr>
                <w:t>Certification Pursuant to 18 U.S.C. Section 1350, as Adopted Pursuant to Section 906 of the Sarbanes-Oxley Act of 2002</w:t>
              </w:r>
            </w:hyperlink>
          </w:p>
        </w:tc>
        <w:tc>
          <w:tcPr>
            <w:tcW w:w="2400" w:type="dxa"/>
            <w:vAlign w:val="bottom"/>
          </w:tcPr>
          <w:p>
            <w:pPr>
              <w:spacing w:after="0"/>
              <w:rPr>
                <w:sz w:val="24"/>
                <w:szCs w:val="24"/>
                <w:color w:val="auto"/>
              </w:rPr>
            </w:pPr>
          </w:p>
        </w:tc>
      </w:tr>
      <w:tr>
        <w:trPr>
          <w:trHeight w:val="315"/>
        </w:trPr>
        <w:tc>
          <w:tcPr>
            <w:tcW w:w="1140" w:type="dxa"/>
            <w:vAlign w:val="bottom"/>
          </w:tcPr>
          <w:p>
            <w:pPr>
              <w:spacing w:after="0"/>
              <w:rPr>
                <w:sz w:val="20"/>
                <w:szCs w:val="20"/>
                <w:color w:val="auto"/>
              </w:rPr>
            </w:pPr>
            <w:r>
              <w:rPr>
                <w:rFonts w:ascii="Arial" w:cs="Arial" w:eastAsia="Arial" w:hAnsi="Arial"/>
                <w:sz w:val="16"/>
                <w:szCs w:val="16"/>
                <w:color w:val="auto"/>
              </w:rPr>
              <w:t>32.2</w:t>
            </w:r>
          </w:p>
        </w:tc>
        <w:tc>
          <w:tcPr>
            <w:tcW w:w="7800" w:type="dxa"/>
            <w:vAlign w:val="bottom"/>
            <w:tcBorders>
              <w:bottom w:val="single" w:sz="8" w:color="0000EE"/>
            </w:tcBorders>
            <w:gridSpan w:val="5"/>
          </w:tcPr>
          <w:p>
            <w:pPr>
              <w:spacing w:after="0"/>
              <w:rPr>
                <w:rFonts w:ascii="Arial" w:cs="Arial" w:eastAsia="Arial" w:hAnsi="Arial"/>
                <w:sz w:val="16"/>
                <w:szCs w:val="16"/>
                <w:color w:val="0000EE"/>
                <w:w w:val="90"/>
              </w:rPr>
            </w:pPr>
            <w:hyperlink w:anchor="page35">
              <w:r>
                <w:rPr>
                  <w:rFonts w:ascii="Arial" w:cs="Arial" w:eastAsia="Arial" w:hAnsi="Arial"/>
                  <w:sz w:val="16"/>
                  <w:szCs w:val="16"/>
                  <w:color w:val="0000EE"/>
                  <w:w w:val="90"/>
                </w:rPr>
                <w:t>Certification Pursuant to 18 U.S.C. Section 1350, as Adopted Pursuant to Section 906 of the Sarbanes-Oxley Act of 2002</w:t>
              </w:r>
            </w:hyperlink>
          </w:p>
        </w:tc>
        <w:tc>
          <w:tcPr>
            <w:tcW w:w="2400" w:type="dxa"/>
            <w:vAlign w:val="bottom"/>
          </w:tcPr>
          <w:p>
            <w:pPr>
              <w:spacing w:after="0"/>
              <w:rPr>
                <w:sz w:val="24"/>
                <w:szCs w:val="24"/>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6"/>
                <w:szCs w:val="16"/>
                <w:color w:val="auto"/>
              </w:rPr>
              <w:t>101.1 INS</w:t>
            </w:r>
          </w:p>
        </w:tc>
        <w:tc>
          <w:tcPr>
            <w:tcW w:w="10200" w:type="dxa"/>
            <w:vAlign w:val="bottom"/>
            <w:gridSpan w:val="6"/>
          </w:tcPr>
          <w:p>
            <w:pPr>
              <w:spacing w:after="0"/>
              <w:rPr>
                <w:sz w:val="20"/>
                <w:szCs w:val="20"/>
                <w:color w:val="auto"/>
              </w:rPr>
            </w:pPr>
            <w:r>
              <w:rPr>
                <w:rFonts w:ascii="Arial" w:cs="Arial" w:eastAsia="Arial" w:hAnsi="Arial"/>
                <w:sz w:val="16"/>
                <w:szCs w:val="16"/>
                <w:color w:val="auto"/>
                <w:w w:val="92"/>
              </w:rPr>
              <w:t>XBRL Instance Document – The instant document does not appear in the Interactive Data File because its XBRL tags are embedded within the Inline XBRL</w:t>
            </w:r>
          </w:p>
        </w:tc>
      </w:tr>
      <w:tr>
        <w:trPr>
          <w:trHeight w:val="205"/>
        </w:trPr>
        <w:tc>
          <w:tcPr>
            <w:tcW w:w="1140" w:type="dxa"/>
            <w:vAlign w:val="bottom"/>
          </w:tcPr>
          <w:p>
            <w:pPr>
              <w:spacing w:after="0"/>
              <w:rPr>
                <w:sz w:val="17"/>
                <w:szCs w:val="17"/>
                <w:color w:val="auto"/>
              </w:rPr>
            </w:pPr>
          </w:p>
        </w:tc>
        <w:tc>
          <w:tcPr>
            <w:tcW w:w="10200" w:type="dxa"/>
            <w:vAlign w:val="bottom"/>
            <w:gridSpan w:val="6"/>
          </w:tcPr>
          <w:p>
            <w:pPr>
              <w:spacing w:after="0"/>
              <w:rPr>
                <w:sz w:val="20"/>
                <w:szCs w:val="20"/>
                <w:color w:val="auto"/>
              </w:rPr>
            </w:pPr>
            <w:r>
              <w:rPr>
                <w:rFonts w:ascii="Arial" w:cs="Arial" w:eastAsia="Arial" w:hAnsi="Arial"/>
                <w:sz w:val="16"/>
                <w:szCs w:val="16"/>
                <w:color w:val="auto"/>
              </w:rPr>
              <w:t>document.</w:t>
            </w:r>
          </w:p>
        </w:tc>
      </w:tr>
      <w:tr>
        <w:trPr>
          <w:trHeight w:val="321"/>
        </w:trPr>
        <w:tc>
          <w:tcPr>
            <w:tcW w:w="1140" w:type="dxa"/>
            <w:vAlign w:val="bottom"/>
          </w:tcPr>
          <w:p>
            <w:pPr>
              <w:spacing w:after="0"/>
              <w:rPr>
                <w:sz w:val="20"/>
                <w:szCs w:val="20"/>
                <w:color w:val="auto"/>
              </w:rPr>
            </w:pPr>
            <w:r>
              <w:rPr>
                <w:rFonts w:ascii="Arial" w:cs="Arial" w:eastAsia="Arial" w:hAnsi="Arial"/>
                <w:sz w:val="16"/>
                <w:szCs w:val="16"/>
                <w:color w:val="auto"/>
              </w:rPr>
              <w:t>101.1 SCH</w:t>
            </w:r>
          </w:p>
        </w:tc>
        <w:tc>
          <w:tcPr>
            <w:tcW w:w="10200" w:type="dxa"/>
            <w:vAlign w:val="bottom"/>
            <w:gridSpan w:val="6"/>
          </w:tcPr>
          <w:p>
            <w:pPr>
              <w:spacing w:after="0"/>
              <w:rPr>
                <w:sz w:val="20"/>
                <w:szCs w:val="20"/>
                <w:color w:val="auto"/>
              </w:rPr>
            </w:pPr>
            <w:r>
              <w:rPr>
                <w:rFonts w:ascii="Arial" w:cs="Arial" w:eastAsia="Arial" w:hAnsi="Arial"/>
                <w:sz w:val="16"/>
                <w:szCs w:val="16"/>
                <w:color w:val="auto"/>
              </w:rPr>
              <w:t>XBRL Taxonomy Extension Schema</w:t>
            </w:r>
          </w:p>
        </w:tc>
      </w:tr>
      <w:tr>
        <w:trPr>
          <w:trHeight w:val="335"/>
        </w:trPr>
        <w:tc>
          <w:tcPr>
            <w:tcW w:w="1140" w:type="dxa"/>
            <w:vAlign w:val="bottom"/>
          </w:tcPr>
          <w:p>
            <w:pPr>
              <w:spacing w:after="0"/>
              <w:rPr>
                <w:sz w:val="20"/>
                <w:szCs w:val="20"/>
                <w:color w:val="auto"/>
              </w:rPr>
            </w:pPr>
            <w:r>
              <w:rPr>
                <w:rFonts w:ascii="Arial" w:cs="Arial" w:eastAsia="Arial" w:hAnsi="Arial"/>
                <w:sz w:val="16"/>
                <w:szCs w:val="16"/>
                <w:color w:val="auto"/>
              </w:rPr>
              <w:t>101.1 CAL</w:t>
            </w:r>
          </w:p>
        </w:tc>
        <w:tc>
          <w:tcPr>
            <w:tcW w:w="10200" w:type="dxa"/>
            <w:vAlign w:val="bottom"/>
            <w:gridSpan w:val="6"/>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335"/>
        </w:trPr>
        <w:tc>
          <w:tcPr>
            <w:tcW w:w="1140" w:type="dxa"/>
            <w:vAlign w:val="bottom"/>
          </w:tcPr>
          <w:p>
            <w:pPr>
              <w:spacing w:after="0"/>
              <w:rPr>
                <w:sz w:val="20"/>
                <w:szCs w:val="20"/>
                <w:color w:val="auto"/>
              </w:rPr>
            </w:pPr>
            <w:r>
              <w:rPr>
                <w:rFonts w:ascii="Arial" w:cs="Arial" w:eastAsia="Arial" w:hAnsi="Arial"/>
                <w:sz w:val="16"/>
                <w:szCs w:val="16"/>
                <w:color w:val="auto"/>
              </w:rPr>
              <w:t>101.1 DEF</w:t>
            </w:r>
          </w:p>
        </w:tc>
        <w:tc>
          <w:tcPr>
            <w:tcW w:w="10200" w:type="dxa"/>
            <w:vAlign w:val="bottom"/>
            <w:gridSpan w:val="6"/>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335"/>
        </w:trPr>
        <w:tc>
          <w:tcPr>
            <w:tcW w:w="1140" w:type="dxa"/>
            <w:vAlign w:val="bottom"/>
          </w:tcPr>
          <w:p>
            <w:pPr>
              <w:spacing w:after="0"/>
              <w:rPr>
                <w:sz w:val="20"/>
                <w:szCs w:val="20"/>
                <w:color w:val="auto"/>
              </w:rPr>
            </w:pPr>
            <w:r>
              <w:rPr>
                <w:rFonts w:ascii="Arial" w:cs="Arial" w:eastAsia="Arial" w:hAnsi="Arial"/>
                <w:sz w:val="16"/>
                <w:szCs w:val="16"/>
                <w:color w:val="auto"/>
              </w:rPr>
              <w:t>101.1 LAB</w:t>
            </w:r>
          </w:p>
        </w:tc>
        <w:tc>
          <w:tcPr>
            <w:tcW w:w="10200" w:type="dxa"/>
            <w:vAlign w:val="bottom"/>
            <w:gridSpan w:val="6"/>
          </w:tcPr>
          <w:p>
            <w:pPr>
              <w:spacing w:after="0"/>
              <w:rPr>
                <w:sz w:val="20"/>
                <w:szCs w:val="20"/>
                <w:color w:val="auto"/>
              </w:rPr>
            </w:pPr>
            <w:r>
              <w:rPr>
                <w:rFonts w:ascii="Arial" w:cs="Arial" w:eastAsia="Arial" w:hAnsi="Arial"/>
                <w:sz w:val="16"/>
                <w:szCs w:val="16"/>
                <w:color w:val="auto"/>
              </w:rPr>
              <w:t>XBRL Taxonomy Extension Label Linkbase</w:t>
            </w:r>
          </w:p>
        </w:tc>
      </w:tr>
      <w:tr>
        <w:trPr>
          <w:trHeight w:val="352"/>
        </w:trPr>
        <w:tc>
          <w:tcPr>
            <w:tcW w:w="1140" w:type="dxa"/>
            <w:vAlign w:val="bottom"/>
          </w:tcPr>
          <w:p>
            <w:pPr>
              <w:spacing w:after="0"/>
              <w:rPr>
                <w:sz w:val="20"/>
                <w:szCs w:val="20"/>
                <w:color w:val="auto"/>
              </w:rPr>
            </w:pPr>
            <w:r>
              <w:rPr>
                <w:rFonts w:ascii="Arial" w:cs="Arial" w:eastAsia="Arial" w:hAnsi="Arial"/>
                <w:sz w:val="18"/>
                <w:szCs w:val="18"/>
                <w:color w:val="auto"/>
              </w:rPr>
              <w:t>101.1 PRE</w:t>
            </w:r>
          </w:p>
        </w:tc>
        <w:tc>
          <w:tcPr>
            <w:tcW w:w="10200" w:type="dxa"/>
            <w:vAlign w:val="bottom"/>
            <w:gridSpan w:val="6"/>
          </w:tcPr>
          <w:p>
            <w:pPr>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73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456"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600" w:type="dxa"/>
            <w:vAlign w:val="bottom"/>
          </w:tcPr>
          <w:p>
            <w:pPr>
              <w:spacing w:after="0"/>
              <w:rPr>
                <w:sz w:val="19"/>
                <w:szCs w:val="19"/>
                <w:color w:val="auto"/>
              </w:rPr>
            </w:pPr>
          </w:p>
        </w:tc>
        <w:tc>
          <w:tcPr>
            <w:tcW w:w="7820" w:type="dxa"/>
            <w:vAlign w:val="bottom"/>
            <w:gridSpan w:val="2"/>
          </w:tcPr>
          <w:p>
            <w:pPr>
              <w:ind w:left="2580"/>
              <w:spacing w:after="0"/>
              <w:rPr>
                <w:sz w:val="20"/>
                <w:szCs w:val="20"/>
                <w:color w:val="auto"/>
              </w:rPr>
            </w:pPr>
            <w:r>
              <w:rPr>
                <w:rFonts w:ascii="Arial" w:cs="Arial" w:eastAsia="Arial" w:hAnsi="Arial"/>
                <w:sz w:val="18"/>
                <w:szCs w:val="18"/>
                <w:color w:val="auto"/>
              </w:rPr>
              <w:t>HEALTHSTREAM, INC.</w:t>
            </w:r>
          </w:p>
        </w:tc>
      </w:tr>
      <w:tr>
        <w:trPr>
          <w:trHeight w:val="456"/>
        </w:trPr>
        <w:tc>
          <w:tcPr>
            <w:tcW w:w="3600" w:type="dxa"/>
            <w:vAlign w:val="bottom"/>
          </w:tcPr>
          <w:p>
            <w:pPr>
              <w:spacing w:after="0"/>
              <w:rPr>
                <w:sz w:val="20"/>
                <w:szCs w:val="20"/>
                <w:color w:val="auto"/>
              </w:rPr>
            </w:pPr>
            <w:r>
              <w:rPr>
                <w:rFonts w:ascii="Arial" w:cs="Arial" w:eastAsia="Arial" w:hAnsi="Arial"/>
                <w:sz w:val="18"/>
                <w:szCs w:val="18"/>
                <w:color w:val="auto"/>
              </w:rPr>
              <w:t>April 29, 2019</w:t>
            </w:r>
          </w:p>
        </w:tc>
        <w:tc>
          <w:tcPr>
            <w:tcW w:w="7820" w:type="dxa"/>
            <w:vAlign w:val="bottom"/>
            <w:gridSpan w:val="2"/>
          </w:tcPr>
          <w:p>
            <w:pPr>
              <w:ind w:left="2580"/>
              <w:spacing w:after="0"/>
              <w:rPr>
                <w:sz w:val="20"/>
                <w:szCs w:val="20"/>
                <w:color w:val="auto"/>
              </w:rPr>
            </w:pPr>
            <w:r>
              <w:rPr>
                <w:rFonts w:ascii="Arial" w:cs="Arial" w:eastAsia="Arial" w:hAnsi="Arial"/>
                <w:sz w:val="18"/>
                <w:szCs w:val="18"/>
                <w:color w:val="auto"/>
              </w:rPr>
              <w:t>By:  /s/ S</w:t>
            </w:r>
            <w:r>
              <w:rPr>
                <w:rFonts w:ascii="Arial" w:cs="Arial" w:eastAsia="Arial" w:hAnsi="Arial"/>
                <w:sz w:val="12"/>
                <w:szCs w:val="12"/>
                <w:color w:val="auto"/>
              </w:rPr>
              <w:t>COTT</w:t>
            </w:r>
            <w:r>
              <w:rPr>
                <w:rFonts w:ascii="Arial" w:cs="Arial" w:eastAsia="Arial" w:hAnsi="Arial"/>
                <w:sz w:val="18"/>
                <w:szCs w:val="18"/>
                <w:color w:val="auto"/>
              </w:rPr>
              <w:t xml:space="preserve"> A. R</w:t>
            </w:r>
            <w:r>
              <w:rPr>
                <w:rFonts w:ascii="Arial" w:cs="Arial" w:eastAsia="Arial" w:hAnsi="Arial"/>
                <w:sz w:val="12"/>
                <w:szCs w:val="12"/>
                <w:color w:val="auto"/>
              </w:rPr>
              <w:t>OBERTS</w:t>
            </w:r>
          </w:p>
        </w:tc>
      </w:tr>
      <w:tr>
        <w:trPr>
          <w:trHeight w:val="194"/>
        </w:trPr>
        <w:tc>
          <w:tcPr>
            <w:tcW w:w="36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84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Scott A. Roberts</w:t>
            </w:r>
          </w:p>
        </w:tc>
      </w:tr>
      <w:tr>
        <w:trPr>
          <w:trHeight w:val="227"/>
        </w:trPr>
        <w:tc>
          <w:tcPr>
            <w:tcW w:w="36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Interim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9" w:right="239" w:bottom="1440" w:gutter="0" w:footer="0" w:header="0"/>
        </w:sectPr>
      </w:pPr>
    </w:p>
    <w:bookmarkStart w:id="27" w:name="page28"/>
    <w:bookmarkEnd w:id="27"/>
    <w:p>
      <w:pPr>
        <w:ind w:left="10320"/>
        <w:spacing w:after="0"/>
        <w:rPr>
          <w:sz w:val="20"/>
          <w:szCs w:val="20"/>
          <w:color w:val="auto"/>
        </w:rPr>
      </w:pPr>
      <w:r>
        <w:rPr>
          <w:rFonts w:ascii="Arial" w:cs="Arial" w:eastAsia="Arial" w:hAnsi="Arial"/>
          <w:sz w:val="16"/>
          <w:szCs w:val="16"/>
          <w:color w:val="auto"/>
        </w:rPr>
        <w:t>EXHIBIT 10.18</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Board of Directors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Compensation Committee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2019 Executive and Corporate Management Cash Incentive Bonus Plan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0" w:lineRule="exact"/>
        <w:rPr>
          <w:sz w:val="20"/>
          <w:szCs w:val="20"/>
          <w:color w:val="auto"/>
        </w:rPr>
      </w:pPr>
    </w:p>
    <w:p>
      <w:pPr>
        <w:ind w:right="60" w:firstLine="878"/>
        <w:spacing w:after="0" w:line="291" w:lineRule="auto"/>
        <w:rPr>
          <w:sz w:val="20"/>
          <w:szCs w:val="20"/>
          <w:color w:val="auto"/>
        </w:rPr>
      </w:pPr>
      <w:r>
        <w:rPr>
          <w:rFonts w:ascii="Arial" w:cs="Arial" w:eastAsia="Arial" w:hAnsi="Arial"/>
          <w:sz w:val="15"/>
          <w:szCs w:val="15"/>
          <w:color w:val="auto"/>
        </w:rPr>
        <w:t>Pursuant to the HealthStream, Inc. 2016 Omnibus Incentive Plan, the Compensation Committee (the “Committee”) of the Board of Directors of HealthStream, Inc. (the “Company”) hereby establishes this 2019 Executive and Corporate Management Cash Incentive Bonus Plan (the “Plan”). The Plan is the cash-based, short-term incentive portion of HealthStream's incentive compensation structure for certain executive officers, as well as the vice presidents, associate vice presidents, and directors who are assigned to a corporate function, as opposed to a business unit specific function (such individuals referred to collectively as “Management”). The purpose of the Plan is to specify appropriate opportunities to earn a cash bonus with respect to the Company’s 2019 fiscal year in order to reward Management for the Company’s financial performance during fiscal year 2019 and to further align their interests with those of the shareholders of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Definitions:</w:t>
      </w:r>
    </w:p>
    <w:p>
      <w:pPr>
        <w:spacing w:after="0" w:line="206" w:lineRule="exact"/>
        <w:rPr>
          <w:sz w:val="20"/>
          <w:szCs w:val="20"/>
          <w:color w:val="auto"/>
        </w:rPr>
      </w:pPr>
    </w:p>
    <w:p>
      <w:pPr>
        <w:ind w:left="1300" w:hanging="423"/>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Actual Operating Income before bonuses </w:t>
      </w:r>
      <w:r>
        <w:rPr>
          <w:rFonts w:ascii="Arial" w:cs="Arial" w:eastAsia="Arial" w:hAnsi="Arial"/>
          <w:sz w:val="17"/>
          <w:szCs w:val="17"/>
          <w:color w:val="auto"/>
        </w:rPr>
        <w:t>– The Company’s Operating Income achieved in fiscal 2019, excluding bonuses.</w:t>
      </w:r>
    </w:p>
    <w:p>
      <w:pPr>
        <w:spacing w:after="0" w:line="205" w:lineRule="exact"/>
        <w:rPr>
          <w:rFonts w:ascii="Arial" w:cs="Arial" w:eastAsia="Arial" w:hAnsi="Arial"/>
          <w:sz w:val="17"/>
          <w:szCs w:val="17"/>
          <w:color w:val="auto"/>
        </w:rPr>
      </w:pPr>
    </w:p>
    <w:p>
      <w:pPr>
        <w:ind w:left="1300" w:hanging="423"/>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Annual Bonus </w:t>
      </w:r>
      <w:r>
        <w:rPr>
          <w:rFonts w:ascii="Arial" w:cs="Arial" w:eastAsia="Arial" w:hAnsi="Arial"/>
          <w:sz w:val="16"/>
          <w:szCs w:val="16"/>
          <w:color w:val="auto"/>
        </w:rPr>
        <w:t>– The annual bonus paid to Management after the Committee determines the applicable financial measure has been achieved.</w:t>
      </w:r>
    </w:p>
    <w:p>
      <w:pPr>
        <w:spacing w:after="0" w:line="217" w:lineRule="exact"/>
        <w:rPr>
          <w:rFonts w:ascii="Arial" w:cs="Arial" w:eastAsia="Arial" w:hAnsi="Arial"/>
          <w:sz w:val="16"/>
          <w:szCs w:val="16"/>
          <w:color w:val="auto"/>
        </w:rPr>
      </w:pPr>
    </w:p>
    <w:p>
      <w:pPr>
        <w:ind w:left="1300" w:hanging="423"/>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Incremental Operating Income </w:t>
      </w:r>
      <w:r>
        <w:rPr>
          <w:rFonts w:ascii="Arial" w:cs="Arial" w:eastAsia="Arial" w:hAnsi="Arial"/>
          <w:sz w:val="17"/>
          <w:szCs w:val="17"/>
          <w:color w:val="auto"/>
        </w:rPr>
        <w:t>- Actual Operating Income before bonuses less Target Operating Income.</w:t>
      </w:r>
    </w:p>
    <w:p>
      <w:pPr>
        <w:spacing w:after="0" w:line="205" w:lineRule="exact"/>
        <w:rPr>
          <w:rFonts w:ascii="Arial" w:cs="Arial" w:eastAsia="Arial" w:hAnsi="Arial"/>
          <w:sz w:val="17"/>
          <w:szCs w:val="17"/>
          <w:color w:val="auto"/>
        </w:rPr>
      </w:pPr>
    </w:p>
    <w:p>
      <w:pPr>
        <w:ind w:left="1300" w:hanging="423"/>
        <w:spacing w:after="0" w:line="270"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Operating Income </w:t>
      </w:r>
      <w:r>
        <w:rPr>
          <w:rFonts w:ascii="Arial" w:cs="Arial" w:eastAsia="Arial" w:hAnsi="Arial"/>
          <w:sz w:val="16"/>
          <w:szCs w:val="16"/>
          <w:color w:val="auto"/>
        </w:rPr>
        <w:t>– The Company’s operating income for the 2019 fiscal year calculated in accordance with generally accepted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principles under ASC 606 and consistent with the Company’s past practice and presented in the Company’s audited financial statements, provided the following are excluded from the calculation of Operating Income: (i) acquisition and divestiture expenses incurred within the calendar year to the extent such expenses are in excess of the amount originally allocated to such purpose in the Company’s 2019 budget; and (ii) operating income (loss) from acquisitions and divestitures consummated during the calendar year (the “Excluded Expenses”). The Committee has the negative discretion to include the Excluded Expenses in the calculation of Operating Income.</w:t>
      </w:r>
    </w:p>
    <w:p>
      <w:pPr>
        <w:spacing w:after="0" w:line="163" w:lineRule="exact"/>
        <w:rPr>
          <w:rFonts w:ascii="Arial" w:cs="Arial" w:eastAsia="Arial" w:hAnsi="Arial"/>
          <w:sz w:val="16"/>
          <w:szCs w:val="16"/>
          <w:color w:val="auto"/>
        </w:rPr>
      </w:pPr>
    </w:p>
    <w:p>
      <w:pPr>
        <w:ind w:left="1300" w:right="100" w:hanging="423"/>
        <w:spacing w:after="0" w:line="275"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Target Operating Income </w:t>
      </w:r>
      <w:r>
        <w:rPr>
          <w:rFonts w:ascii="Arial" w:cs="Arial" w:eastAsia="Arial" w:hAnsi="Arial"/>
          <w:sz w:val="17"/>
          <w:szCs w:val="17"/>
          <w:color w:val="auto"/>
        </w:rPr>
        <w:t>– Operating Income for the 2019 fiscal year in an amount established by the Committee by resolution within the first 90</w:t>
      </w:r>
      <w:r>
        <w:rPr>
          <w:rFonts w:ascii="Arial" w:cs="Arial" w:eastAsia="Arial" w:hAnsi="Arial"/>
          <w:sz w:val="17"/>
          <w:szCs w:val="17"/>
          <w:b w:val="1"/>
          <w:bCs w:val="1"/>
          <w:color w:val="auto"/>
        </w:rPr>
        <w:t xml:space="preserve"> </w:t>
      </w:r>
      <w:r>
        <w:rPr>
          <w:rFonts w:ascii="Arial" w:cs="Arial" w:eastAsia="Arial" w:hAnsi="Arial"/>
          <w:sz w:val="17"/>
          <w:szCs w:val="17"/>
          <w:color w:val="auto"/>
        </w:rPr>
        <w:t>days of the Company’s 2019 fiscal year.</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2019 Financial Measure and Plan Principles:</w:t>
      </w:r>
    </w:p>
    <w:p>
      <w:pPr>
        <w:spacing w:after="0" w:line="206" w:lineRule="exact"/>
        <w:rPr>
          <w:sz w:val="20"/>
          <w:szCs w:val="20"/>
          <w:color w:val="auto"/>
        </w:rPr>
      </w:pPr>
    </w:p>
    <w:p>
      <w:pPr>
        <w:ind w:left="860" w:hanging="425"/>
        <w:spacing w:after="0"/>
        <w:tabs>
          <w:tab w:leader="none" w:pos="86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The financial measure for 2019 is Operating Income </w:t>
      </w:r>
      <w:r>
        <w:rPr>
          <w:rFonts w:ascii="Arial" w:cs="Arial" w:eastAsia="Arial" w:hAnsi="Arial"/>
          <w:sz w:val="17"/>
          <w:szCs w:val="17"/>
          <w:color w:val="auto"/>
        </w:rPr>
        <w:t>- Operating Income will be the financial measure for 2019.</w:t>
      </w:r>
    </w:p>
    <w:p>
      <w:pPr>
        <w:spacing w:after="0" w:line="205" w:lineRule="exact"/>
        <w:rPr>
          <w:rFonts w:ascii="Arial" w:cs="Arial" w:eastAsia="Arial" w:hAnsi="Arial"/>
          <w:sz w:val="17"/>
          <w:szCs w:val="17"/>
          <w:color w:val="auto"/>
        </w:rPr>
      </w:pPr>
    </w:p>
    <w:p>
      <w:pPr>
        <w:ind w:left="860" w:hanging="425"/>
        <w:spacing w:after="0"/>
        <w:tabs>
          <w:tab w:leader="none" w:pos="86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 xml:space="preserve">The Annual Bonus is funded by Incremental Operating Income </w:t>
      </w:r>
      <w:r>
        <w:rPr>
          <w:rFonts w:ascii="Arial" w:cs="Arial" w:eastAsia="Arial" w:hAnsi="Arial"/>
          <w:sz w:val="15"/>
          <w:szCs w:val="15"/>
          <w:color w:val="auto"/>
        </w:rPr>
        <w:t>- The Annual Bonus will be earned from the amount of Incremental Operating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Plan</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Eligibility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Three groups are eligible for participation in the Plan:</w:t>
      </w:r>
    </w:p>
    <w:p>
      <w:pPr>
        <w:spacing w:after="0" w:line="202" w:lineRule="exact"/>
        <w:rPr>
          <w:sz w:val="20"/>
          <w:szCs w:val="20"/>
          <w:color w:val="auto"/>
        </w:rPr>
      </w:pPr>
    </w:p>
    <w:p>
      <w:pPr>
        <w:jc w:val="both"/>
        <w:ind w:left="1740" w:right="120" w:hanging="863"/>
        <w:spacing w:after="0" w:line="311" w:lineRule="auto"/>
        <w:tabs>
          <w:tab w:leader="none" w:pos="1740"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Executive Team </w:t>
      </w:r>
      <w:r>
        <w:rPr>
          <w:rFonts w:ascii="Arial" w:cs="Arial" w:eastAsia="Arial" w:hAnsi="Arial"/>
          <w:sz w:val="15"/>
          <w:szCs w:val="15"/>
          <w:color w:val="auto"/>
        </w:rPr>
        <w:t>– The maximum Annual Bonus that Executive Team members, other than the Chief Executive Officer of HealthStream and</w:t>
      </w:r>
      <w:r>
        <w:rPr>
          <w:rFonts w:ascii="Arial" w:cs="Arial" w:eastAsia="Arial" w:hAnsi="Arial"/>
          <w:sz w:val="15"/>
          <w:szCs w:val="15"/>
          <w:b w:val="1"/>
          <w:bCs w:val="1"/>
          <w:color w:val="auto"/>
        </w:rPr>
        <w:t xml:space="preserve"> </w:t>
      </w:r>
      <w:r>
        <w:rPr>
          <w:rFonts w:ascii="Arial" w:cs="Arial" w:eastAsia="Arial" w:hAnsi="Arial"/>
          <w:sz w:val="15"/>
          <w:szCs w:val="15"/>
          <w:color w:val="auto"/>
        </w:rPr>
        <w:t>the President &amp; Chief Operating Officer of HealthStream, shall be eligible to receive under the Plan shall be an amount equal to 30% of such member’s base salary; provided the CEO and the President &amp; COO shall be eligible to receive an amount equal to 40% of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314325</wp:posOffset>
            </wp:positionV>
            <wp:extent cx="729043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28" w:name="page29"/>
    <w:bookmarkEnd w:id="28"/>
    <w:p>
      <w:pPr>
        <w:ind w:left="1740"/>
        <w:spacing w:after="0" w:line="270" w:lineRule="auto"/>
        <w:rPr>
          <w:sz w:val="20"/>
          <w:szCs w:val="20"/>
          <w:color w:val="auto"/>
        </w:rPr>
      </w:pPr>
      <w:r>
        <w:rPr>
          <w:rFonts w:ascii="Arial" w:cs="Arial" w:eastAsia="Arial" w:hAnsi="Arial"/>
          <w:sz w:val="17"/>
          <w:szCs w:val="17"/>
          <w:color w:val="auto"/>
        </w:rPr>
        <w:t>base salary. Unless otherwise excluded below, the Executive Team eligible for participation includes the Chief Executive Officer, President &amp; Chief Operating Officer, and Senior Vice Presidents of the Company.</w:t>
      </w:r>
    </w:p>
    <w:p>
      <w:pPr>
        <w:spacing w:after="0" w:line="158" w:lineRule="exact"/>
        <w:rPr>
          <w:sz w:val="20"/>
          <w:szCs w:val="20"/>
          <w:color w:val="auto"/>
        </w:rPr>
      </w:pPr>
    </w:p>
    <w:p>
      <w:pPr>
        <w:ind w:left="1580" w:right="4460" w:hanging="703"/>
        <w:spacing w:after="0" w:line="300" w:lineRule="auto"/>
        <w:tabs>
          <w:tab w:leader="none" w:pos="1561" w:val="left"/>
        </w:tabs>
        <w:numPr>
          <w:ilvl w:val="0"/>
          <w:numId w:val="9"/>
        </w:numPr>
        <w:rPr>
          <w:rFonts w:ascii="Arial" w:cs="Arial" w:eastAsia="Arial" w:hAnsi="Arial"/>
          <w:sz w:val="15"/>
          <w:szCs w:val="15"/>
          <w:color w:val="auto"/>
        </w:rPr>
      </w:pPr>
      <w:r>
        <w:rPr>
          <w:rFonts w:ascii="Arial" w:cs="Arial" w:eastAsia="Arial" w:hAnsi="Arial"/>
          <w:sz w:val="15"/>
          <w:szCs w:val="15"/>
          <w:b w:val="1"/>
          <w:bCs w:val="1"/>
          <w:color w:val="auto"/>
        </w:rPr>
        <w:t xml:space="preserve">Leadership Team (Vice Presidents and Associate Vice Presidents) </w:t>
      </w:r>
      <w:r>
        <w:rPr>
          <w:rFonts w:ascii="Arial" w:cs="Arial" w:eastAsia="Arial" w:hAnsi="Arial"/>
          <w:sz w:val="15"/>
          <w:szCs w:val="15"/>
          <w:color w:val="auto"/>
        </w:rPr>
        <w:t>– The</w:t>
      </w:r>
      <w:r>
        <w:rPr>
          <w:rFonts w:ascii="Arial" w:cs="Arial" w:eastAsia="Arial" w:hAnsi="Arial"/>
          <w:sz w:val="15"/>
          <w:szCs w:val="15"/>
          <w:b w:val="1"/>
          <w:bCs w:val="1"/>
          <w:color w:val="auto"/>
        </w:rPr>
        <w:t xml:space="preserve"> </w:t>
      </w:r>
      <w:r>
        <w:rPr>
          <w:rFonts w:ascii="Arial" w:cs="Arial" w:eastAsia="Arial" w:hAnsi="Arial"/>
          <w:sz w:val="15"/>
          <w:szCs w:val="15"/>
          <w:color w:val="auto"/>
        </w:rPr>
        <w:t>maximum Annual Bonus that Vice Presidents and Associate Vice Presidents of the Business Unit shall be eligible to receive under the Plan shall be an amount equal to 16% of such Vice President or Associate Vice President’s base salary.</w:t>
      </w:r>
    </w:p>
    <w:p>
      <w:pPr>
        <w:spacing w:after="0" w:line="141" w:lineRule="exact"/>
        <w:rPr>
          <w:rFonts w:ascii="Arial" w:cs="Arial" w:eastAsia="Arial" w:hAnsi="Arial"/>
          <w:sz w:val="15"/>
          <w:szCs w:val="15"/>
          <w:color w:val="auto"/>
        </w:rPr>
      </w:pPr>
    </w:p>
    <w:p>
      <w:pPr>
        <w:ind w:left="1740" w:right="280" w:hanging="863"/>
        <w:spacing w:after="0" w:line="260" w:lineRule="auto"/>
        <w:tabs>
          <w:tab w:leader="none" w:pos="174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Directors </w:t>
      </w:r>
      <w:r>
        <w:rPr>
          <w:rFonts w:ascii="Arial" w:cs="Arial" w:eastAsia="Arial" w:hAnsi="Arial"/>
          <w:sz w:val="17"/>
          <w:szCs w:val="17"/>
          <w:color w:val="auto"/>
        </w:rPr>
        <w:t>- The maximum Annual Bonus that Directors of the Business Unit shall be eligible to receive under the Plan shall be an amount</w:t>
      </w:r>
      <w:r>
        <w:rPr>
          <w:rFonts w:ascii="Arial" w:cs="Arial" w:eastAsia="Arial" w:hAnsi="Arial"/>
          <w:sz w:val="17"/>
          <w:szCs w:val="17"/>
          <w:b w:val="1"/>
          <w:bCs w:val="1"/>
          <w:color w:val="auto"/>
        </w:rPr>
        <w:t xml:space="preserve"> </w:t>
      </w:r>
      <w:r>
        <w:rPr>
          <w:rFonts w:ascii="Arial" w:cs="Arial" w:eastAsia="Arial" w:hAnsi="Arial"/>
          <w:sz w:val="17"/>
          <w:szCs w:val="17"/>
          <w:color w:val="auto"/>
        </w:rPr>
        <w:t>equal to 4% of such Director’s base salary. For purposes of clarity, Directors do not include members of the Board of Directors, but are management-level employees of the Company.</w:t>
      </w:r>
    </w:p>
    <w:p>
      <w:pPr>
        <w:spacing w:after="0" w:line="167" w:lineRule="exact"/>
        <w:rPr>
          <w:rFonts w:ascii="Arial" w:cs="Arial" w:eastAsia="Arial" w:hAnsi="Arial"/>
          <w:sz w:val="17"/>
          <w:szCs w:val="17"/>
          <w:color w:val="auto"/>
        </w:rPr>
      </w:pPr>
    </w:p>
    <w:p>
      <w:pPr>
        <w:ind w:left="1560" w:hanging="683"/>
        <w:spacing w:after="0"/>
        <w:tabs>
          <w:tab w:leader="none" w:pos="156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Employment Requirements </w:t>
      </w:r>
      <w:r>
        <w:rPr>
          <w:rFonts w:ascii="Arial" w:cs="Arial" w:eastAsia="Arial" w:hAnsi="Arial"/>
          <w:sz w:val="17"/>
          <w:szCs w:val="17"/>
          <w:color w:val="auto"/>
        </w:rPr>
        <w:t>– Participants in the Plan who were employed with</w:t>
      </w:r>
    </w:p>
    <w:p>
      <w:pPr>
        <w:spacing w:after="0" w:line="23" w:lineRule="exact"/>
        <w:rPr>
          <w:sz w:val="20"/>
          <w:szCs w:val="20"/>
          <w:color w:val="auto"/>
        </w:rPr>
      </w:pPr>
    </w:p>
    <w:p>
      <w:pPr>
        <w:ind w:left="1760" w:right="160"/>
        <w:spacing w:after="0" w:line="272" w:lineRule="auto"/>
        <w:rPr>
          <w:sz w:val="20"/>
          <w:szCs w:val="20"/>
          <w:color w:val="auto"/>
        </w:rPr>
      </w:pPr>
      <w:r>
        <w:rPr>
          <w:rFonts w:ascii="Arial" w:cs="Arial" w:eastAsia="Arial" w:hAnsi="Arial"/>
          <w:sz w:val="16"/>
          <w:szCs w:val="16"/>
          <w:color w:val="auto"/>
        </w:rPr>
        <w:t>the Company through December 31, 2019 shall be eligible to receive bonus payments, if any, under the Plan regardless of whether such employees are employed on the date such payments are actually made. Notwithstanding the foregoing, in the case of death or disability, the participant’s pro rata share from January 1, 2019 through the date of participant’s death or disability shall be awarded.</w:t>
      </w:r>
    </w:p>
    <w:p>
      <w:pPr>
        <w:spacing w:after="0" w:line="159" w:lineRule="exact"/>
        <w:rPr>
          <w:sz w:val="20"/>
          <w:szCs w:val="20"/>
          <w:color w:val="auto"/>
        </w:rPr>
      </w:pPr>
    </w:p>
    <w:p>
      <w:pPr>
        <w:ind w:left="1740" w:right="80" w:hanging="863"/>
        <w:spacing w:after="0" w:line="256" w:lineRule="auto"/>
        <w:tabs>
          <w:tab w:leader="none" w:pos="174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Exclusions </w:t>
      </w:r>
      <w:r>
        <w:rPr>
          <w:rFonts w:ascii="Arial" w:cs="Arial" w:eastAsia="Arial" w:hAnsi="Arial"/>
          <w:sz w:val="17"/>
          <w:szCs w:val="17"/>
          <w:color w:val="auto"/>
        </w:rPr>
        <w:t>- Members of the Executive Team with a commission based incentive compensation plan shall not be eligible to participate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Plan. Additionally, members of the Executive Team who are eligible to participate in any one of the following shall not be eligible to participate in the Plan: (i) the 2019 Workforce Development Cash Bonus Incentive Plan, or (ii) the 2019 Provider Solutions Cash Bonus Incentive Plan,.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Payout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Payouts under the Plan shall be determined as follows:</w:t>
      </w:r>
    </w:p>
    <w:p>
      <w:pPr>
        <w:spacing w:after="0" w:line="206" w:lineRule="exact"/>
        <w:rPr>
          <w:sz w:val="20"/>
          <w:szCs w:val="20"/>
          <w:color w:val="auto"/>
        </w:rPr>
      </w:pPr>
    </w:p>
    <w:p>
      <w:pPr>
        <w:ind w:left="860" w:hanging="425"/>
        <w:spacing w:after="0" w:line="254" w:lineRule="auto"/>
        <w:tabs>
          <w:tab w:leader="none" w:pos="8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Incremental Operating Income will be determined by subtracting the Target Operating Income from Actual Operating Income before bonuses. The Incremental Operating Income will then be multiplied by 30% of base salary for each member of the Executive Team other than the Chief Executive Officer and the President &amp; COO, 40% of base salary for the CEO and the President &amp; COO, 16% of base salary for each member of the Leadership Team, and 4% of base salary for each Director.</w:t>
      </w:r>
    </w:p>
    <w:p>
      <w:pPr>
        <w:spacing w:after="0" w:line="176" w:lineRule="exact"/>
        <w:rPr>
          <w:rFonts w:ascii="Arial" w:cs="Arial" w:eastAsia="Arial" w:hAnsi="Arial"/>
          <w:sz w:val="17"/>
          <w:szCs w:val="17"/>
          <w:color w:val="auto"/>
        </w:rPr>
      </w:pPr>
    </w:p>
    <w:p>
      <w:pPr>
        <w:ind w:left="860" w:right="140" w:hanging="425"/>
        <w:spacing w:after="0" w:line="270" w:lineRule="auto"/>
        <w:tabs>
          <w:tab w:leader="none" w:pos="8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Annual Bonus payouts made to the Executive Team, Leadership Team, or Directors pursuant to the Plan shall be payable at such time as bonuses are paid generally to executive officers of the Company.</w:t>
      </w:r>
    </w:p>
    <w:p>
      <w:pPr>
        <w:sectPr>
          <w:pgSz w:w="11900" w:h="16838" w:orient="portrait"/>
          <w:cols w:equalWidth="0" w:num="1">
            <w:col w:w="11400"/>
          </w:cols>
          <w:pgMar w:left="240" w:top="363" w:right="259" w:bottom="1440" w:gutter="0" w:footer="0" w:header="0"/>
        </w:sectPr>
      </w:pPr>
    </w:p>
    <w:bookmarkStart w:id="29" w:name="page30"/>
    <w:bookmarkEnd w:id="29"/>
    <w:p>
      <w:pPr>
        <w:jc w:val="right"/>
        <w:spacing w:after="0"/>
        <w:rPr>
          <w:sz w:val="20"/>
          <w:szCs w:val="20"/>
          <w:color w:val="auto"/>
        </w:rPr>
      </w:pPr>
      <w:r>
        <w:rPr>
          <w:rFonts w:ascii="Arial" w:cs="Arial" w:eastAsia="Arial" w:hAnsi="Arial"/>
          <w:sz w:val="17"/>
          <w:szCs w:val="17"/>
          <w:color w:val="auto"/>
        </w:rPr>
        <w:t>EXHIBIT 10.19</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Board of Directors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Compensation Committee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2019 Provider Solutions Cash Incentive Bonus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Business Segment President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92" w:lineRule="exact"/>
        <w:rPr>
          <w:sz w:val="20"/>
          <w:szCs w:val="20"/>
          <w:color w:val="auto"/>
        </w:rPr>
      </w:pPr>
    </w:p>
    <w:p>
      <w:pPr>
        <w:ind w:right="80" w:firstLine="878"/>
        <w:spacing w:after="0" w:line="291" w:lineRule="auto"/>
        <w:rPr>
          <w:sz w:val="20"/>
          <w:szCs w:val="20"/>
          <w:color w:val="auto"/>
        </w:rPr>
      </w:pPr>
      <w:r>
        <w:rPr>
          <w:rFonts w:ascii="Arial" w:cs="Arial" w:eastAsia="Arial" w:hAnsi="Arial"/>
          <w:sz w:val="15"/>
          <w:szCs w:val="15"/>
          <w:color w:val="auto"/>
        </w:rPr>
        <w:t>Pursuant to the HealthStream, Inc. 2016 Omnibus Incentive Plan, the Compensation Committee (the “Committee”) of the Board of Directors of HealthStream, Inc. (the “Company”) hereby establishes this 2019 Provider Solutions Cash Incentive Bonus Plan for the Business Segment President (the “Plan”). The Plan is a cash-based, short-term incentive portion of the Company’s Provider Solutions segment (the “Business Unit”) incentive compensation structure for the president (“President”) of the Business Unit. The purpose of the Plan is to specify appropriate opportunities to earn a cash bonus with respect to the (i) Business Unit’s 2019 fiscal year performance and/or (ii) the Company’s overall 2019 fiscal year performance, each in order to reward the President for the Business Unit’s and/or the Company’s financial performance during fiscal year 2019 and to further align his interest with those of the shareholders of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Definitions:</w:t>
      </w:r>
    </w:p>
    <w:p>
      <w:pPr>
        <w:spacing w:after="0" w:line="200" w:lineRule="exact"/>
        <w:rPr>
          <w:sz w:val="20"/>
          <w:szCs w:val="20"/>
          <w:color w:val="auto"/>
        </w:rPr>
      </w:pPr>
    </w:p>
    <w:p>
      <w:pPr>
        <w:spacing w:after="0" w:line="207" w:lineRule="exact"/>
        <w:rPr>
          <w:sz w:val="20"/>
          <w:szCs w:val="20"/>
          <w:color w:val="auto"/>
        </w:rPr>
      </w:pPr>
    </w:p>
    <w:p>
      <w:pPr>
        <w:ind w:left="1300" w:right="600" w:hanging="423"/>
        <w:spacing w:after="0" w:line="275"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Provider Solutions Actual Operating Income before bonuses </w:t>
      </w:r>
      <w:r>
        <w:rPr>
          <w:rFonts w:ascii="Arial" w:cs="Arial" w:eastAsia="Arial" w:hAnsi="Arial"/>
          <w:sz w:val="17"/>
          <w:szCs w:val="17"/>
          <w:color w:val="auto"/>
        </w:rPr>
        <w:t>– The Business Unit’s Operating Income achieved in fiscal 2019, excluding</w:t>
      </w:r>
      <w:r>
        <w:rPr>
          <w:rFonts w:ascii="Arial" w:cs="Arial" w:eastAsia="Arial" w:hAnsi="Arial"/>
          <w:sz w:val="17"/>
          <w:szCs w:val="17"/>
          <w:b w:val="1"/>
          <w:bCs w:val="1"/>
          <w:color w:val="auto"/>
        </w:rPr>
        <w:t xml:space="preserve"> </w:t>
      </w:r>
      <w:r>
        <w:rPr>
          <w:rFonts w:ascii="Arial" w:cs="Arial" w:eastAsia="Arial" w:hAnsi="Arial"/>
          <w:sz w:val="17"/>
          <w:szCs w:val="17"/>
          <w:color w:val="auto"/>
        </w:rPr>
        <w:t>bonuses.</w:t>
      </w:r>
    </w:p>
    <w:p>
      <w:pPr>
        <w:spacing w:after="0" w:line="154" w:lineRule="exact"/>
        <w:rPr>
          <w:rFonts w:ascii="Arial" w:cs="Arial" w:eastAsia="Arial" w:hAnsi="Arial"/>
          <w:sz w:val="17"/>
          <w:szCs w:val="17"/>
          <w:color w:val="auto"/>
        </w:rPr>
      </w:pPr>
    </w:p>
    <w:p>
      <w:pPr>
        <w:ind w:left="1300" w:hanging="423"/>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Enterprise Actual Operating Income before bonuses </w:t>
      </w:r>
      <w:r>
        <w:rPr>
          <w:rFonts w:ascii="Arial" w:cs="Arial" w:eastAsia="Arial" w:hAnsi="Arial"/>
          <w:sz w:val="16"/>
          <w:szCs w:val="16"/>
          <w:color w:val="auto"/>
        </w:rPr>
        <w:t>– The Company’s Operating Income achieved in fiscal 2019, excluding bonuses.</w:t>
      </w:r>
    </w:p>
    <w:p>
      <w:pPr>
        <w:spacing w:after="0" w:line="217" w:lineRule="exact"/>
        <w:rPr>
          <w:rFonts w:ascii="Arial" w:cs="Arial" w:eastAsia="Arial" w:hAnsi="Arial"/>
          <w:sz w:val="16"/>
          <w:szCs w:val="16"/>
          <w:color w:val="auto"/>
        </w:rPr>
      </w:pPr>
    </w:p>
    <w:p>
      <w:pPr>
        <w:ind w:left="1300" w:hanging="423"/>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Annual Bonus </w:t>
      </w:r>
      <w:r>
        <w:rPr>
          <w:rFonts w:ascii="Arial" w:cs="Arial" w:eastAsia="Arial" w:hAnsi="Arial"/>
          <w:sz w:val="16"/>
          <w:szCs w:val="16"/>
          <w:color w:val="auto"/>
        </w:rPr>
        <w:t>– The annual bonus paid to President after the Committee determines the applicable financial measure has been achieved.</w:t>
      </w:r>
    </w:p>
    <w:p>
      <w:pPr>
        <w:spacing w:after="0" w:line="217" w:lineRule="exact"/>
        <w:rPr>
          <w:rFonts w:ascii="Arial" w:cs="Arial" w:eastAsia="Arial" w:hAnsi="Arial"/>
          <w:sz w:val="16"/>
          <w:szCs w:val="16"/>
          <w:color w:val="auto"/>
        </w:rPr>
      </w:pPr>
    </w:p>
    <w:p>
      <w:pPr>
        <w:ind w:left="1300" w:right="140" w:hanging="423"/>
        <w:spacing w:after="0" w:line="275"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Provider Solutions Incremental Operating Income </w:t>
      </w:r>
      <w:r>
        <w:rPr>
          <w:rFonts w:ascii="Arial" w:cs="Arial" w:eastAsia="Arial" w:hAnsi="Arial"/>
          <w:sz w:val="17"/>
          <w:szCs w:val="17"/>
          <w:color w:val="auto"/>
        </w:rPr>
        <w:t>– Provider Solutions Actual Operating Income before bonuses less Provider Solutions Target</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Income.</w:t>
      </w:r>
    </w:p>
    <w:p>
      <w:pPr>
        <w:spacing w:after="0" w:line="154" w:lineRule="exact"/>
        <w:rPr>
          <w:rFonts w:ascii="Arial" w:cs="Arial" w:eastAsia="Arial" w:hAnsi="Arial"/>
          <w:sz w:val="17"/>
          <w:szCs w:val="17"/>
          <w:color w:val="auto"/>
        </w:rPr>
      </w:pPr>
    </w:p>
    <w:p>
      <w:pPr>
        <w:ind w:left="1300" w:hanging="423"/>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Enterprise Incremental Operating Income </w:t>
      </w:r>
      <w:r>
        <w:rPr>
          <w:rFonts w:ascii="Arial" w:cs="Arial" w:eastAsia="Arial" w:hAnsi="Arial"/>
          <w:sz w:val="16"/>
          <w:szCs w:val="16"/>
          <w:color w:val="auto"/>
        </w:rPr>
        <w:t>– Enterprise Actual Operating Income before bonuses less Enterprise Target Operating Income.</w:t>
      </w:r>
    </w:p>
    <w:p>
      <w:pPr>
        <w:spacing w:after="0" w:line="217" w:lineRule="exact"/>
        <w:rPr>
          <w:rFonts w:ascii="Arial" w:cs="Arial" w:eastAsia="Arial" w:hAnsi="Arial"/>
          <w:sz w:val="16"/>
          <w:szCs w:val="16"/>
          <w:color w:val="auto"/>
        </w:rPr>
      </w:pPr>
    </w:p>
    <w:p>
      <w:pPr>
        <w:ind w:left="1300" w:right="200" w:hanging="423"/>
        <w:spacing w:after="0" w:line="292" w:lineRule="auto"/>
        <w:tabs>
          <w:tab w:leader="none" w:pos="1300" w:val="left"/>
        </w:tabs>
        <w:numPr>
          <w:ilvl w:val="0"/>
          <w:numId w:val="12"/>
        </w:numPr>
        <w:rPr>
          <w:rFonts w:ascii="Arial" w:cs="Arial" w:eastAsia="Arial" w:hAnsi="Arial"/>
          <w:sz w:val="15"/>
          <w:szCs w:val="15"/>
          <w:color w:val="auto"/>
        </w:rPr>
      </w:pPr>
      <w:r>
        <w:rPr>
          <w:rFonts w:ascii="Arial" w:cs="Arial" w:eastAsia="Arial" w:hAnsi="Arial"/>
          <w:sz w:val="15"/>
          <w:szCs w:val="15"/>
          <w:b w:val="1"/>
          <w:bCs w:val="1"/>
          <w:color w:val="auto"/>
        </w:rPr>
        <w:t xml:space="preserve">Provider Solutions Operating Income </w:t>
      </w:r>
      <w:r>
        <w:rPr>
          <w:rFonts w:ascii="Arial" w:cs="Arial" w:eastAsia="Arial" w:hAnsi="Arial"/>
          <w:sz w:val="15"/>
          <w:szCs w:val="15"/>
          <w:color w:val="auto"/>
        </w:rPr>
        <w:t>– The Business Unit’s Operating Income for the 2019 fiscal year calculated in accordance with generally</w:t>
      </w:r>
      <w:r>
        <w:rPr>
          <w:rFonts w:ascii="Arial" w:cs="Arial" w:eastAsia="Arial" w:hAnsi="Arial"/>
          <w:sz w:val="15"/>
          <w:szCs w:val="15"/>
          <w:b w:val="1"/>
          <w:bCs w:val="1"/>
          <w:color w:val="auto"/>
        </w:rPr>
        <w:t xml:space="preserve"> </w:t>
      </w:r>
      <w:r>
        <w:rPr>
          <w:rFonts w:ascii="Arial" w:cs="Arial" w:eastAsia="Arial" w:hAnsi="Arial"/>
          <w:sz w:val="15"/>
          <w:szCs w:val="15"/>
          <w:color w:val="auto"/>
        </w:rPr>
        <w:t>accepted accounting principles under ASC 606 and consistent with the Company’s past practice and presented in the Company’s audited financial statements, provided the following expenses are excluded from the calculation of Provider Solutions Operating Income: for acquisitions and divestitures within or directly impacting the Business Unit, acquisition and divestiture expenses for transactions within the calendar year and operating income (loss) from acquisitions and divestitures consummated during the calendar year (the “Excluded Expenses”). The Committee has the negative discretion to include the Excluded Expenses in the calculation of Provider Solutions Operating Income.</w:t>
      </w:r>
    </w:p>
    <w:p>
      <w:pPr>
        <w:spacing w:after="0" w:line="145" w:lineRule="exact"/>
        <w:rPr>
          <w:rFonts w:ascii="Arial" w:cs="Arial" w:eastAsia="Arial" w:hAnsi="Arial"/>
          <w:sz w:val="15"/>
          <w:szCs w:val="15"/>
          <w:color w:val="auto"/>
        </w:rPr>
      </w:pPr>
    </w:p>
    <w:p>
      <w:pPr>
        <w:ind w:left="1300" w:hanging="423"/>
        <w:spacing w:after="0" w:line="270"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Enterprise Operating Income </w:t>
      </w:r>
      <w:r>
        <w:rPr>
          <w:rFonts w:ascii="Arial" w:cs="Arial" w:eastAsia="Arial" w:hAnsi="Arial"/>
          <w:sz w:val="16"/>
          <w:szCs w:val="16"/>
          <w:color w:val="auto"/>
        </w:rPr>
        <w:t>- The Company’s Operating Income for the 2019 fiscal year calculated in accordance with generally accepted</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principles under ASC 606 and consistent with the Company’s past practice and presented in the Company’s audited financial statements, provided the following are excluded from the calculation of Operating Income: (i) acquisition and divestiture expenses incurred within the calendar year to the extent such expenses are in excess of the amount originally allocated to such purpose in the Company’s 2019 budget; and (ii) operating income (loss) from acquisitions and divestitures consummated during the calendar year (the “Excluded Expenses”). The Committee has the negative discretion to include the Excluded Expenses in the calculation of Enterprise Operating Income.</w:t>
      </w:r>
    </w:p>
    <w:p>
      <w:pPr>
        <w:spacing w:after="0" w:line="163" w:lineRule="exact"/>
        <w:rPr>
          <w:rFonts w:ascii="Arial" w:cs="Arial" w:eastAsia="Arial" w:hAnsi="Arial"/>
          <w:sz w:val="16"/>
          <w:szCs w:val="16"/>
          <w:color w:val="auto"/>
        </w:rPr>
      </w:pPr>
    </w:p>
    <w:p>
      <w:pPr>
        <w:ind w:left="1300" w:right="380" w:hanging="423"/>
        <w:spacing w:after="0" w:line="275"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Provider Solutions Target Operating Income </w:t>
      </w:r>
      <w:r>
        <w:rPr>
          <w:rFonts w:ascii="Arial" w:cs="Arial" w:eastAsia="Arial" w:hAnsi="Arial"/>
          <w:sz w:val="17"/>
          <w:szCs w:val="17"/>
          <w:color w:val="auto"/>
        </w:rPr>
        <w:t>– Provider Solutions Operating Income for the 2019 fiscal year in an amount established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by resolution within the first 90 days of the Company’s 2019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634365</wp:posOffset>
            </wp:positionV>
            <wp:extent cx="729043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30" w:name="page31"/>
    <w:bookmarkEnd w:id="30"/>
    <w:p>
      <w:pPr>
        <w:ind w:left="1300" w:right="400" w:hanging="423"/>
        <w:spacing w:after="0" w:line="275"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Enterprise Target Operating Income </w:t>
      </w:r>
      <w:r>
        <w:rPr>
          <w:rFonts w:ascii="Arial" w:cs="Arial" w:eastAsia="Arial" w:hAnsi="Arial"/>
          <w:sz w:val="17"/>
          <w:szCs w:val="17"/>
          <w:color w:val="auto"/>
        </w:rPr>
        <w:t>– Enterprise Operating Income for the 2019 fiscal year in an amount established by the Committee by</w:t>
      </w:r>
      <w:r>
        <w:rPr>
          <w:rFonts w:ascii="Arial" w:cs="Arial" w:eastAsia="Arial" w:hAnsi="Arial"/>
          <w:sz w:val="17"/>
          <w:szCs w:val="17"/>
          <w:b w:val="1"/>
          <w:bCs w:val="1"/>
          <w:color w:val="auto"/>
        </w:rPr>
        <w:t xml:space="preserve"> </w:t>
      </w:r>
      <w:r>
        <w:rPr>
          <w:rFonts w:ascii="Arial" w:cs="Arial" w:eastAsia="Arial" w:hAnsi="Arial"/>
          <w:sz w:val="17"/>
          <w:szCs w:val="17"/>
          <w:color w:val="auto"/>
        </w:rPr>
        <w:t>resolution within the first 90 days of the Company’s 2019 fiscal year.</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2019 Financial Measure and Plan Principles:</w:t>
      </w:r>
    </w:p>
    <w:p>
      <w:pPr>
        <w:spacing w:after="0" w:line="206" w:lineRule="exact"/>
        <w:rPr>
          <w:sz w:val="20"/>
          <w:szCs w:val="20"/>
          <w:color w:val="auto"/>
        </w:rPr>
      </w:pPr>
    </w:p>
    <w:p>
      <w:pPr>
        <w:ind w:left="860" w:right="400" w:hanging="425"/>
        <w:spacing w:after="0" w:line="275" w:lineRule="auto"/>
        <w:tabs>
          <w:tab w:leader="none" w:pos="8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The financial measures for 2019 are Provider Solutions and/or Enterprise Operating Income </w:t>
      </w:r>
      <w:r>
        <w:rPr>
          <w:rFonts w:ascii="Arial" w:cs="Arial" w:eastAsia="Arial" w:hAnsi="Arial"/>
          <w:sz w:val="17"/>
          <w:szCs w:val="17"/>
          <w:color w:val="auto"/>
        </w:rPr>
        <w:t>– Provider Solutions and/or Enterprise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Income will be the financial measure for 2019.</w:t>
      </w:r>
    </w:p>
    <w:p>
      <w:pPr>
        <w:spacing w:after="0" w:line="154" w:lineRule="exact"/>
        <w:rPr>
          <w:rFonts w:ascii="Arial" w:cs="Arial" w:eastAsia="Arial" w:hAnsi="Arial"/>
          <w:sz w:val="17"/>
          <w:szCs w:val="17"/>
          <w:color w:val="auto"/>
        </w:rPr>
      </w:pPr>
    </w:p>
    <w:p>
      <w:pPr>
        <w:ind w:left="860" w:right="120" w:hanging="425"/>
        <w:spacing w:after="0" w:line="275" w:lineRule="auto"/>
        <w:tabs>
          <w:tab w:leader="none" w:pos="8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The Annual Bonus is funded by Provider Solutions and/or Enterprise Incremental Operating Income </w:t>
      </w:r>
      <w:r>
        <w:rPr>
          <w:rFonts w:ascii="Arial" w:cs="Arial" w:eastAsia="Arial" w:hAnsi="Arial"/>
          <w:sz w:val="17"/>
          <w:szCs w:val="17"/>
          <w:color w:val="auto"/>
        </w:rPr>
        <w:t>– The Annual Bonus will be earned from an</w:t>
      </w:r>
      <w:r>
        <w:rPr>
          <w:rFonts w:ascii="Arial" w:cs="Arial" w:eastAsia="Arial" w:hAnsi="Arial"/>
          <w:sz w:val="17"/>
          <w:szCs w:val="17"/>
          <w:b w:val="1"/>
          <w:bCs w:val="1"/>
          <w:color w:val="auto"/>
        </w:rPr>
        <w:t xml:space="preserve"> </w:t>
      </w:r>
      <w:r>
        <w:rPr>
          <w:rFonts w:ascii="Arial" w:cs="Arial" w:eastAsia="Arial" w:hAnsi="Arial"/>
          <w:sz w:val="17"/>
          <w:szCs w:val="17"/>
          <w:color w:val="auto"/>
        </w:rPr>
        <w:t>amount of Provider Solutions and/or Enterprise Incremental Operating Income.</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Plan</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Eligibility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Two groups are eligible for participation in the Plan:</w:t>
      </w:r>
    </w:p>
    <w:p>
      <w:pPr>
        <w:spacing w:after="0" w:line="202" w:lineRule="exact"/>
        <w:rPr>
          <w:sz w:val="20"/>
          <w:szCs w:val="20"/>
          <w:color w:val="auto"/>
        </w:rPr>
      </w:pPr>
    </w:p>
    <w:p>
      <w:pPr>
        <w:ind w:left="1300" w:right="140" w:hanging="423"/>
        <w:spacing w:after="0" w:line="277"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President </w:t>
      </w:r>
      <w:r>
        <w:rPr>
          <w:rFonts w:ascii="Arial" w:cs="Arial" w:eastAsia="Arial" w:hAnsi="Arial"/>
          <w:sz w:val="16"/>
          <w:szCs w:val="16"/>
          <w:color w:val="auto"/>
        </w:rPr>
        <w:t>– The maximum Annual Bonus the President shall be eligible to receive under the Plan shall be an amount equal to 40 percent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President’s base salary, with that 40% being comprised as follows: 32% from Provider Solutions Incremental Operating Income and 8% from Enterprise Incremental Income.. Therefore, 80% of the President’s Annual Bonus is based on achieving and exceeding Provider Solutions Target Operating Income and the other 20% is based on achieving and exceeding Enterprise Target Operating Income.</w:t>
      </w:r>
    </w:p>
    <w:p>
      <w:pPr>
        <w:spacing w:after="0" w:line="154" w:lineRule="exact"/>
        <w:rPr>
          <w:rFonts w:ascii="Arial" w:cs="Arial" w:eastAsia="Arial" w:hAnsi="Arial"/>
          <w:sz w:val="16"/>
          <w:szCs w:val="16"/>
          <w:color w:val="auto"/>
        </w:rPr>
      </w:pPr>
    </w:p>
    <w:p>
      <w:pPr>
        <w:ind w:left="1300" w:hanging="423"/>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Employment Requirements </w:t>
      </w:r>
      <w:r>
        <w:rPr>
          <w:rFonts w:ascii="Arial" w:cs="Arial" w:eastAsia="Arial" w:hAnsi="Arial"/>
          <w:sz w:val="17"/>
          <w:szCs w:val="17"/>
          <w:color w:val="auto"/>
        </w:rPr>
        <w:t>– Participants in the Plan who were employed with</w:t>
      </w:r>
    </w:p>
    <w:p>
      <w:pPr>
        <w:spacing w:after="0" w:line="23" w:lineRule="exact"/>
        <w:rPr>
          <w:rFonts w:ascii="Arial" w:cs="Arial" w:eastAsia="Arial" w:hAnsi="Arial"/>
          <w:sz w:val="17"/>
          <w:szCs w:val="17"/>
          <w:color w:val="auto"/>
        </w:rPr>
      </w:pPr>
    </w:p>
    <w:p>
      <w:pPr>
        <w:ind w:left="1320" w:right="20"/>
        <w:spacing w:after="0" w:line="249" w:lineRule="auto"/>
        <w:rPr>
          <w:rFonts w:ascii="Arial" w:cs="Arial" w:eastAsia="Arial" w:hAnsi="Arial"/>
          <w:sz w:val="17"/>
          <w:szCs w:val="17"/>
          <w:color w:val="auto"/>
        </w:rPr>
      </w:pPr>
      <w:r>
        <w:rPr>
          <w:rFonts w:ascii="Arial" w:cs="Arial" w:eastAsia="Arial" w:hAnsi="Arial"/>
          <w:sz w:val="17"/>
          <w:szCs w:val="17"/>
          <w:color w:val="auto"/>
        </w:rPr>
        <w:t>the Company through December 31, 2019 shall be eligible to receive bonus payments, if any, under the Plan regardless of whether such employees are employed on the date such payments are actually made. Notwithstanding the foregoing, in the case of death or disability, the participant’s pro rata share from January 1, 2019 through the date of participant’s death or disability shall be awarded.</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Payout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Payouts under the Plan shall be determined as follows:</w:t>
      </w:r>
    </w:p>
    <w:p>
      <w:pPr>
        <w:spacing w:after="0" w:line="206" w:lineRule="exact"/>
        <w:rPr>
          <w:sz w:val="20"/>
          <w:szCs w:val="20"/>
          <w:color w:val="auto"/>
        </w:rPr>
      </w:pPr>
    </w:p>
    <w:p>
      <w:pPr>
        <w:ind w:left="860" w:right="580" w:hanging="425"/>
        <w:spacing w:after="0" w:line="338" w:lineRule="auto"/>
        <w:tabs>
          <w:tab w:leader="none" w:pos="8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Provider Solutions Incremental Operating Income will be determined by subtracting the Provider Solutions Target Operating Income from Actual Operating Income before bonuses. The Provider Solutions Incremental Operating Income will then be multiplied by 32% for the President.</w:t>
      </w:r>
    </w:p>
    <w:p>
      <w:pPr>
        <w:spacing w:after="0" w:line="116" w:lineRule="exact"/>
        <w:rPr>
          <w:rFonts w:ascii="Arial" w:cs="Arial" w:eastAsia="Arial" w:hAnsi="Arial"/>
          <w:sz w:val="15"/>
          <w:szCs w:val="15"/>
          <w:color w:val="auto"/>
        </w:rPr>
      </w:pPr>
    </w:p>
    <w:p>
      <w:pPr>
        <w:ind w:left="860" w:right="260" w:hanging="425"/>
        <w:spacing w:after="0" w:line="270" w:lineRule="auto"/>
        <w:tabs>
          <w:tab w:leader="none" w:pos="8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Enterprise Incremental Operating Income will be determined by subtracting the Enterprise Target Operating Income from Enterprise Actual Operating Income before bonuses. The Enterprise Incremental Operating Income will then be multiplied by 8% for the President.</w:t>
      </w:r>
    </w:p>
    <w:p>
      <w:pPr>
        <w:spacing w:after="0" w:line="162" w:lineRule="exact"/>
        <w:rPr>
          <w:rFonts w:ascii="Arial" w:cs="Arial" w:eastAsia="Arial" w:hAnsi="Arial"/>
          <w:sz w:val="17"/>
          <w:szCs w:val="17"/>
          <w:color w:val="auto"/>
        </w:rPr>
      </w:pPr>
    </w:p>
    <w:p>
      <w:pPr>
        <w:ind w:left="860" w:hanging="425"/>
        <w:spacing w:after="0" w:line="270" w:lineRule="auto"/>
        <w:tabs>
          <w:tab w:leader="none" w:pos="8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such Annual Bonus made to the President pursuant to the Plan shall be payable at such time as bonuses are paid generally to executive officers of the Company.</w:t>
      </w:r>
    </w:p>
    <w:p>
      <w:pPr>
        <w:sectPr>
          <w:pgSz w:w="11900" w:h="16838" w:orient="portrait"/>
          <w:cols w:equalWidth="0" w:num="1">
            <w:col w:w="11300"/>
          </w:cols>
          <w:pgMar w:left="240" w:top="559" w:right="359" w:bottom="1440" w:gutter="0" w:footer="0" w:header="0"/>
        </w:sectPr>
      </w:pPr>
    </w:p>
    <w:bookmarkStart w:id="31" w:name="page32"/>
    <w:bookmarkEnd w:id="31"/>
    <w:p>
      <w:pPr>
        <w:jc w:val="right"/>
        <w:ind w:right="100"/>
        <w:spacing w:after="0"/>
        <w:rPr>
          <w:sz w:val="20"/>
          <w:szCs w:val="20"/>
          <w:color w:val="auto"/>
        </w:rPr>
      </w:pPr>
      <w:r>
        <w:rPr>
          <w:rFonts w:ascii="Arial" w:cs="Arial" w:eastAsia="Arial" w:hAnsi="Arial"/>
          <w:sz w:val="17"/>
          <w:szCs w:val="17"/>
          <w:color w:val="auto"/>
        </w:rPr>
        <w:t>EXHIBIT 31.1</w:t>
      </w:r>
    </w:p>
    <w:p>
      <w:pPr>
        <w:spacing w:after="0" w:line="21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Robert A. Frist, Jr., certify that:</w:t>
      </w:r>
    </w:p>
    <w:p>
      <w:pPr>
        <w:spacing w:after="0" w:line="219" w:lineRule="exact"/>
        <w:rPr>
          <w:sz w:val="20"/>
          <w:szCs w:val="20"/>
          <w:color w:val="auto"/>
        </w:rPr>
      </w:pPr>
    </w:p>
    <w:p>
      <w:pPr>
        <w:ind w:left="180" w:hanging="173"/>
        <w:spacing w:after="0"/>
        <w:tabs>
          <w:tab w:leader="none" w:pos="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HealthStream, Inc.;</w:t>
      </w:r>
    </w:p>
    <w:p>
      <w:pPr>
        <w:spacing w:after="0" w:line="219" w:lineRule="exact"/>
        <w:rPr>
          <w:rFonts w:ascii="Arial" w:cs="Arial" w:eastAsia="Arial" w:hAnsi="Arial"/>
          <w:sz w:val="17"/>
          <w:szCs w:val="17"/>
          <w:color w:val="auto"/>
        </w:rPr>
      </w:pPr>
    </w:p>
    <w:p>
      <w:pPr>
        <w:ind w:right="100" w:firstLine="7"/>
        <w:spacing w:after="0" w:line="302" w:lineRule="auto"/>
        <w:tabs>
          <w:tab w:leader="none" w:pos="169"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6"/>
          <w:szCs w:val="16"/>
          <w:color w:val="auto"/>
        </w:rPr>
      </w:pPr>
    </w:p>
    <w:p>
      <w:pPr>
        <w:ind w:right="100" w:firstLine="7"/>
        <w:spacing w:after="0" w:line="270" w:lineRule="auto"/>
        <w:tabs>
          <w:tab w:leader="none" w:pos="169"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7"/>
          <w:szCs w:val="17"/>
          <w:color w:val="auto"/>
        </w:rPr>
      </w:pPr>
    </w:p>
    <w:p>
      <w:pPr>
        <w:ind w:left="180" w:hanging="173"/>
        <w:spacing w:after="0"/>
        <w:tabs>
          <w:tab w:leader="none" w:pos="1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216" w:lineRule="exact"/>
        <w:rPr>
          <w:rFonts w:ascii="Arial" w:cs="Arial" w:eastAsia="Arial" w:hAnsi="Arial"/>
          <w:sz w:val="15"/>
          <w:szCs w:val="15"/>
          <w:color w:val="auto"/>
        </w:rPr>
      </w:pPr>
    </w:p>
    <w:p>
      <w:pPr>
        <w:jc w:val="both"/>
        <w:ind w:left="580" w:right="100" w:hanging="3"/>
        <w:spacing w:after="0" w:line="258" w:lineRule="auto"/>
        <w:tabs>
          <w:tab w:leader="none" w:pos="767"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7"/>
          <w:szCs w:val="17"/>
          <w:color w:val="auto"/>
        </w:rPr>
      </w:pPr>
    </w:p>
    <w:p>
      <w:pPr>
        <w:jc w:val="both"/>
        <w:ind w:left="580" w:right="100" w:hanging="3"/>
        <w:spacing w:after="0" w:line="258" w:lineRule="auto"/>
        <w:tabs>
          <w:tab w:leader="none" w:pos="7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7"/>
          <w:szCs w:val="17"/>
          <w:color w:val="auto"/>
        </w:rPr>
      </w:pPr>
    </w:p>
    <w:p>
      <w:pPr>
        <w:ind w:left="580" w:right="100" w:hanging="3"/>
        <w:spacing w:after="0" w:line="270" w:lineRule="auto"/>
        <w:tabs>
          <w:tab w:leader="none" w:pos="763"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7"/>
          <w:szCs w:val="17"/>
          <w:color w:val="auto"/>
        </w:rPr>
      </w:pPr>
    </w:p>
    <w:p>
      <w:pPr>
        <w:jc w:val="both"/>
        <w:ind w:left="580" w:right="100" w:hanging="3"/>
        <w:spacing w:after="0" w:line="258" w:lineRule="auto"/>
        <w:tabs>
          <w:tab w:leader="none" w:pos="768"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7"/>
          <w:szCs w:val="17"/>
          <w:color w:val="auto"/>
        </w:rPr>
      </w:pPr>
    </w:p>
    <w:p>
      <w:pPr>
        <w:ind w:right="100" w:firstLine="7"/>
        <w:spacing w:after="0" w:line="270" w:lineRule="auto"/>
        <w:tabs>
          <w:tab w:leader="none" w:pos="191"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7"/>
          <w:szCs w:val="17"/>
          <w:color w:val="auto"/>
        </w:rPr>
      </w:pPr>
    </w:p>
    <w:p>
      <w:pPr>
        <w:ind w:left="580" w:right="100" w:hanging="3"/>
        <w:spacing w:after="0" w:line="270" w:lineRule="auto"/>
        <w:tabs>
          <w:tab w:leader="none" w:pos="77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7"/>
          <w:szCs w:val="17"/>
          <w:color w:val="auto"/>
        </w:rPr>
      </w:pPr>
    </w:p>
    <w:p>
      <w:pPr>
        <w:ind w:left="580" w:right="100" w:hanging="3"/>
        <w:spacing w:after="0" w:line="270" w:lineRule="auto"/>
        <w:tabs>
          <w:tab w:leader="none" w:pos="789" w:val="left"/>
        </w:tabs>
        <w:numPr>
          <w:ilvl w:val="1"/>
          <w:numId w:val="1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60" w:type="dxa"/>
            <w:vAlign w:val="bottom"/>
          </w:tcPr>
          <w:p>
            <w:pPr>
              <w:spacing w:after="0"/>
              <w:rPr>
                <w:sz w:val="20"/>
                <w:szCs w:val="20"/>
                <w:color w:val="auto"/>
              </w:rPr>
            </w:pPr>
            <w:r>
              <w:rPr>
                <w:rFonts w:ascii="Arial" w:cs="Arial" w:eastAsia="Arial" w:hAnsi="Arial"/>
                <w:sz w:val="17"/>
                <w:szCs w:val="17"/>
                <w:color w:val="auto"/>
              </w:rPr>
              <w:t>Date: April 29,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w:t>
            </w:r>
            <w:r>
              <w:rPr>
                <w:rFonts w:ascii="Arial" w:cs="Arial" w:eastAsia="Arial" w:hAnsi="Arial"/>
                <w:sz w:val="12"/>
                <w:szCs w:val="12"/>
                <w:color w:val="auto"/>
              </w:rPr>
              <w:t>OBERT</w:t>
            </w:r>
            <w:r>
              <w:rPr>
                <w:rFonts w:ascii="Arial" w:cs="Arial" w:eastAsia="Arial" w:hAnsi="Arial"/>
                <w:sz w:val="17"/>
                <w:szCs w:val="17"/>
                <w:color w:val="auto"/>
              </w:rPr>
              <w:t xml:space="preserve"> A. F</w:t>
            </w:r>
            <w:r>
              <w:rPr>
                <w:rFonts w:ascii="Arial" w:cs="Arial" w:eastAsia="Arial" w:hAnsi="Arial"/>
                <w:sz w:val="12"/>
                <w:szCs w:val="12"/>
                <w:color w:val="auto"/>
              </w:rPr>
              <w:t>RIST</w:t>
            </w:r>
            <w:r>
              <w:rPr>
                <w:rFonts w:ascii="Arial" w:cs="Arial" w:eastAsia="Arial" w:hAnsi="Arial"/>
                <w:sz w:val="17"/>
                <w:szCs w:val="17"/>
                <w:color w:val="auto"/>
              </w:rPr>
              <w:t>, J</w:t>
            </w:r>
            <w:r>
              <w:rPr>
                <w:rFonts w:ascii="Arial" w:cs="Arial" w:eastAsia="Arial" w:hAnsi="Arial"/>
                <w:sz w:val="12"/>
                <w:szCs w:val="12"/>
                <w:color w:val="auto"/>
              </w:rPr>
              <w:t>R</w:t>
            </w:r>
            <w:r>
              <w:rPr>
                <w:rFonts w:ascii="Arial" w:cs="Arial" w:eastAsia="Arial" w:hAnsi="Arial"/>
                <w:sz w:val="17"/>
                <w:szCs w:val="17"/>
                <w:color w:val="auto"/>
              </w:rPr>
              <w:t>.</w:t>
            </w:r>
          </w:p>
        </w:tc>
      </w:tr>
      <w:tr>
        <w:trPr>
          <w:trHeight w:val="178"/>
        </w:trPr>
        <w:tc>
          <w:tcPr>
            <w:tcW w:w="6960" w:type="dxa"/>
            <w:vAlign w:val="bottom"/>
          </w:tcPr>
          <w:p>
            <w:pPr>
              <w:spacing w:after="0"/>
              <w:rPr>
                <w:sz w:val="15"/>
                <w:szCs w:val="15"/>
                <w:color w:val="auto"/>
              </w:rPr>
            </w:pPr>
          </w:p>
        </w:tc>
        <w:tc>
          <w:tcPr>
            <w:tcW w:w="4560" w:type="dxa"/>
            <w:vAlign w:val="bottom"/>
          </w:tcPr>
          <w:p>
            <w:pPr>
              <w:spacing w:after="0" w:line="178" w:lineRule="exact"/>
              <w:rPr>
                <w:sz w:val="20"/>
                <w:szCs w:val="20"/>
                <w:color w:val="auto"/>
              </w:rPr>
            </w:pPr>
            <w:r>
              <w:rPr>
                <w:rFonts w:ascii="Arial" w:cs="Arial" w:eastAsia="Arial" w:hAnsi="Arial"/>
                <w:sz w:val="17"/>
                <w:szCs w:val="17"/>
                <w:color w:val="auto"/>
              </w:rPr>
              <w:t>Robert A. Frist, Jr.</w:t>
            </w:r>
          </w:p>
        </w:tc>
      </w:tr>
      <w:tr>
        <w:trPr>
          <w:trHeight w:val="215"/>
        </w:trPr>
        <w:tc>
          <w:tcPr>
            <w:tcW w:w="69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ectPr>
          <w:pgSz w:w="11900" w:h="16838" w:orient="portrait"/>
          <w:cols w:equalWidth="0" w:num="1">
            <w:col w:w="11520"/>
          </w:cols>
          <w:pgMar w:left="240" w:top="349" w:right="139" w:bottom="1440" w:gutter="0" w:footer="0" w:header="0"/>
        </w:sectPr>
      </w:pPr>
    </w:p>
    <w:bookmarkStart w:id="32" w:name="page33"/>
    <w:bookmarkEnd w:id="32"/>
    <w:p>
      <w:pPr>
        <w:jc w:val="right"/>
        <w:ind w:right="100"/>
        <w:spacing w:after="0"/>
        <w:rPr>
          <w:sz w:val="20"/>
          <w:szCs w:val="20"/>
          <w:color w:val="auto"/>
        </w:rPr>
      </w:pPr>
      <w:r>
        <w:rPr>
          <w:rFonts w:ascii="Arial" w:cs="Arial" w:eastAsia="Arial" w:hAnsi="Arial"/>
          <w:sz w:val="17"/>
          <w:szCs w:val="17"/>
          <w:color w:val="auto"/>
        </w:rPr>
        <w:t>EXHIBIT 31.2</w:t>
      </w:r>
    </w:p>
    <w:p>
      <w:pPr>
        <w:spacing w:after="0" w:line="32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Scott A. Roberts, certify that:</w:t>
      </w:r>
    </w:p>
    <w:p>
      <w:pPr>
        <w:spacing w:after="0" w:line="219" w:lineRule="exact"/>
        <w:rPr>
          <w:sz w:val="20"/>
          <w:szCs w:val="20"/>
          <w:color w:val="auto"/>
        </w:rPr>
      </w:pPr>
    </w:p>
    <w:p>
      <w:pPr>
        <w:ind w:left="180" w:hanging="173"/>
        <w:spacing w:after="0"/>
        <w:tabs>
          <w:tab w:leader="none" w:pos="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HealthStream, Inc.;</w:t>
      </w:r>
    </w:p>
    <w:p>
      <w:pPr>
        <w:spacing w:after="0" w:line="219" w:lineRule="exact"/>
        <w:rPr>
          <w:rFonts w:ascii="Arial" w:cs="Arial" w:eastAsia="Arial" w:hAnsi="Arial"/>
          <w:sz w:val="17"/>
          <w:szCs w:val="17"/>
          <w:color w:val="auto"/>
        </w:rPr>
      </w:pPr>
    </w:p>
    <w:p>
      <w:pPr>
        <w:ind w:right="100" w:firstLine="7"/>
        <w:spacing w:after="0" w:line="302" w:lineRule="auto"/>
        <w:tabs>
          <w:tab w:leader="none" w:pos="169"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6"/>
          <w:szCs w:val="16"/>
          <w:color w:val="auto"/>
        </w:rPr>
      </w:pPr>
    </w:p>
    <w:p>
      <w:pPr>
        <w:ind w:right="100" w:firstLine="7"/>
        <w:spacing w:after="0" w:line="270" w:lineRule="auto"/>
        <w:tabs>
          <w:tab w:leader="none" w:pos="169"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7"/>
          <w:szCs w:val="17"/>
          <w:color w:val="auto"/>
        </w:rPr>
      </w:pPr>
    </w:p>
    <w:p>
      <w:pPr>
        <w:ind w:left="180" w:hanging="173"/>
        <w:spacing w:after="0"/>
        <w:tabs>
          <w:tab w:leader="none" w:pos="1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216" w:lineRule="exact"/>
        <w:rPr>
          <w:rFonts w:ascii="Arial" w:cs="Arial" w:eastAsia="Arial" w:hAnsi="Arial"/>
          <w:sz w:val="15"/>
          <w:szCs w:val="15"/>
          <w:color w:val="auto"/>
        </w:rPr>
      </w:pPr>
    </w:p>
    <w:p>
      <w:pPr>
        <w:jc w:val="both"/>
        <w:ind w:left="580" w:right="100" w:hanging="3"/>
        <w:spacing w:after="0" w:line="258" w:lineRule="auto"/>
        <w:tabs>
          <w:tab w:leader="none" w:pos="767"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7"/>
          <w:szCs w:val="17"/>
          <w:color w:val="auto"/>
        </w:rPr>
      </w:pPr>
    </w:p>
    <w:p>
      <w:pPr>
        <w:jc w:val="both"/>
        <w:ind w:left="580" w:right="100" w:hanging="3"/>
        <w:spacing w:after="0" w:line="258" w:lineRule="auto"/>
        <w:tabs>
          <w:tab w:leader="none" w:pos="7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7"/>
          <w:szCs w:val="17"/>
          <w:color w:val="auto"/>
        </w:rPr>
      </w:pPr>
    </w:p>
    <w:p>
      <w:pPr>
        <w:ind w:left="580" w:right="100" w:hanging="3"/>
        <w:spacing w:after="0" w:line="270" w:lineRule="auto"/>
        <w:tabs>
          <w:tab w:leader="none" w:pos="763"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7"/>
          <w:szCs w:val="17"/>
          <w:color w:val="auto"/>
        </w:rPr>
      </w:pPr>
    </w:p>
    <w:p>
      <w:pPr>
        <w:jc w:val="both"/>
        <w:ind w:left="580" w:right="100" w:hanging="3"/>
        <w:spacing w:after="0" w:line="258" w:lineRule="auto"/>
        <w:tabs>
          <w:tab w:leader="none" w:pos="768"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7"/>
          <w:szCs w:val="17"/>
          <w:color w:val="auto"/>
        </w:rPr>
      </w:pPr>
    </w:p>
    <w:p>
      <w:pPr>
        <w:ind w:right="100" w:firstLine="7"/>
        <w:spacing w:after="0" w:line="270" w:lineRule="auto"/>
        <w:tabs>
          <w:tab w:leader="none" w:pos="191"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7"/>
          <w:szCs w:val="17"/>
          <w:color w:val="auto"/>
        </w:rPr>
      </w:pPr>
    </w:p>
    <w:p>
      <w:pPr>
        <w:ind w:left="580" w:right="100" w:hanging="3"/>
        <w:spacing w:after="0" w:line="270" w:lineRule="auto"/>
        <w:tabs>
          <w:tab w:leader="none" w:pos="77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7"/>
          <w:szCs w:val="17"/>
          <w:color w:val="auto"/>
        </w:rPr>
      </w:pPr>
    </w:p>
    <w:p>
      <w:pPr>
        <w:ind w:left="580" w:right="100" w:hanging="3"/>
        <w:spacing w:after="0" w:line="270" w:lineRule="auto"/>
        <w:tabs>
          <w:tab w:leader="none" w:pos="789" w:val="left"/>
        </w:tabs>
        <w:numPr>
          <w:ilvl w:val="1"/>
          <w:numId w:val="1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80" w:type="dxa"/>
            <w:vAlign w:val="bottom"/>
          </w:tcPr>
          <w:p>
            <w:pPr>
              <w:spacing w:after="0"/>
              <w:rPr>
                <w:sz w:val="20"/>
                <w:szCs w:val="20"/>
                <w:color w:val="auto"/>
              </w:rPr>
            </w:pPr>
            <w:r>
              <w:rPr>
                <w:rFonts w:ascii="Arial" w:cs="Arial" w:eastAsia="Arial" w:hAnsi="Arial"/>
                <w:sz w:val="17"/>
                <w:szCs w:val="17"/>
                <w:color w:val="auto"/>
              </w:rPr>
              <w:t>Date: April 29, 2019</w:t>
            </w:r>
          </w:p>
        </w:tc>
        <w:tc>
          <w:tcPr>
            <w:tcW w:w="4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w:t>
            </w:r>
            <w:r>
              <w:rPr>
                <w:rFonts w:ascii="Arial" w:cs="Arial" w:eastAsia="Arial" w:hAnsi="Arial"/>
                <w:sz w:val="12"/>
                <w:szCs w:val="12"/>
                <w:color w:val="auto"/>
              </w:rPr>
              <w:t>COTT</w:t>
            </w:r>
            <w:r>
              <w:rPr>
                <w:rFonts w:ascii="Arial" w:cs="Arial" w:eastAsia="Arial" w:hAnsi="Arial"/>
                <w:sz w:val="17"/>
                <w:szCs w:val="17"/>
                <w:color w:val="auto"/>
              </w:rPr>
              <w:t xml:space="preserve"> A. R</w:t>
            </w:r>
            <w:r>
              <w:rPr>
                <w:rFonts w:ascii="Arial" w:cs="Arial" w:eastAsia="Arial" w:hAnsi="Arial"/>
                <w:sz w:val="12"/>
                <w:szCs w:val="12"/>
                <w:color w:val="auto"/>
              </w:rPr>
              <w:t>OBERTS</w:t>
            </w:r>
          </w:p>
        </w:tc>
      </w:tr>
      <w:tr>
        <w:trPr>
          <w:trHeight w:val="178"/>
        </w:trPr>
        <w:tc>
          <w:tcPr>
            <w:tcW w:w="7080" w:type="dxa"/>
            <w:vAlign w:val="bottom"/>
          </w:tcPr>
          <w:p>
            <w:pPr>
              <w:spacing w:after="0"/>
              <w:rPr>
                <w:sz w:val="15"/>
                <w:szCs w:val="15"/>
                <w:color w:val="auto"/>
              </w:rPr>
            </w:pPr>
          </w:p>
        </w:tc>
        <w:tc>
          <w:tcPr>
            <w:tcW w:w="4440" w:type="dxa"/>
            <w:vAlign w:val="bottom"/>
          </w:tcPr>
          <w:p>
            <w:pPr>
              <w:spacing w:after="0" w:line="178" w:lineRule="exact"/>
              <w:rPr>
                <w:sz w:val="20"/>
                <w:szCs w:val="20"/>
                <w:color w:val="auto"/>
              </w:rPr>
            </w:pPr>
            <w:r>
              <w:rPr>
                <w:rFonts w:ascii="Arial" w:cs="Arial" w:eastAsia="Arial" w:hAnsi="Arial"/>
                <w:sz w:val="17"/>
                <w:szCs w:val="17"/>
                <w:color w:val="auto"/>
              </w:rPr>
              <w:t>Scott A. Roberts</w:t>
            </w:r>
          </w:p>
        </w:tc>
      </w:tr>
      <w:tr>
        <w:trPr>
          <w:trHeight w:val="215"/>
        </w:trPr>
        <w:tc>
          <w:tcPr>
            <w:tcW w:w="70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7"/>
                <w:szCs w:val="17"/>
                <w:color w:val="auto"/>
              </w:rPr>
              <w:t>Interim Chief Financial Officer</w:t>
            </w:r>
          </w:p>
        </w:tc>
      </w:tr>
    </w:tbl>
    <w:p>
      <w:pPr>
        <w:sectPr>
          <w:pgSz w:w="11900" w:h="16838" w:orient="portrait"/>
          <w:cols w:equalWidth="0" w:num="1">
            <w:col w:w="11520"/>
          </w:cols>
          <w:pgMar w:left="240" w:top="349" w:right="139" w:bottom="1440" w:gutter="0" w:footer="0" w:header="0"/>
        </w:sectPr>
      </w:pPr>
    </w:p>
    <w:bookmarkStart w:id="33" w:name="page34"/>
    <w:bookmarkEnd w:id="33"/>
    <w:p>
      <w:pPr>
        <w:jc w:val="right"/>
        <w:spacing w:after="0"/>
        <w:rPr>
          <w:sz w:val="20"/>
          <w:szCs w:val="20"/>
          <w:color w:val="auto"/>
        </w:rPr>
      </w:pPr>
      <w:r>
        <w:rPr>
          <w:rFonts w:ascii="Arial" w:cs="Arial" w:eastAsia="Arial" w:hAnsi="Arial"/>
          <w:sz w:val="17"/>
          <w:szCs w:val="17"/>
          <w:color w:val="auto"/>
        </w:rPr>
        <w:t>EXHIBIT 32.1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connection with the Quarterly Report of HealthStream, Inc. (the “Company”) on Form 10-Q for the period ending March 31, 2019,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186" w:lineRule="exact"/>
        <w:rPr>
          <w:sz w:val="20"/>
          <w:szCs w:val="20"/>
          <w:color w:val="auto"/>
        </w:rPr>
      </w:pPr>
    </w:p>
    <w:p>
      <w:pPr>
        <w:ind w:left="1740" w:hanging="863"/>
        <w:spacing w:after="0"/>
        <w:tabs>
          <w:tab w:leader="none" w:pos="1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9" w:lineRule="exact"/>
        <w:rPr>
          <w:rFonts w:ascii="Arial" w:cs="Arial" w:eastAsia="Arial" w:hAnsi="Arial"/>
          <w:sz w:val="17"/>
          <w:szCs w:val="17"/>
          <w:color w:val="auto"/>
        </w:rPr>
      </w:pPr>
    </w:p>
    <w:p>
      <w:pPr>
        <w:ind w:left="1740" w:right="580" w:hanging="863"/>
        <w:spacing w:after="0" w:line="270" w:lineRule="auto"/>
        <w:tabs>
          <w:tab w:leader="none" w:pos="1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/s/ R</w:t>
      </w:r>
      <w:r>
        <w:rPr>
          <w:rFonts w:ascii="Arial" w:cs="Arial" w:eastAsia="Arial" w:hAnsi="Arial"/>
          <w:sz w:val="12"/>
          <w:szCs w:val="12"/>
          <w:color w:val="auto"/>
        </w:rPr>
        <w:t>OBERT</w:t>
      </w:r>
      <w:r>
        <w:rPr>
          <w:rFonts w:ascii="Arial" w:cs="Arial" w:eastAsia="Arial" w:hAnsi="Arial"/>
          <w:sz w:val="17"/>
          <w:szCs w:val="17"/>
          <w:color w:val="auto"/>
        </w:rPr>
        <w:t xml:space="preserve"> A. F</w:t>
      </w:r>
      <w:r>
        <w:rPr>
          <w:rFonts w:ascii="Arial" w:cs="Arial" w:eastAsia="Arial" w:hAnsi="Arial"/>
          <w:sz w:val="12"/>
          <w:szCs w:val="12"/>
          <w:color w:val="auto"/>
        </w:rPr>
        <w:t>RIST</w:t>
      </w:r>
      <w:r>
        <w:rPr>
          <w:rFonts w:ascii="Arial" w:cs="Arial" w:eastAsia="Arial" w:hAnsi="Arial"/>
          <w:sz w:val="17"/>
          <w:szCs w:val="17"/>
          <w:color w:val="auto"/>
        </w:rPr>
        <w:t>, J</w:t>
      </w:r>
      <w:r>
        <w:rPr>
          <w:rFonts w:ascii="Arial" w:cs="Arial" w:eastAsia="Arial" w:hAnsi="Arial"/>
          <w:sz w:val="12"/>
          <w:szCs w:val="12"/>
          <w:color w:val="auto"/>
        </w:rPr>
        <w:t>R</w:t>
      </w:r>
      <w:r>
        <w:rPr>
          <w:rFonts w:ascii="Arial" w:cs="Arial" w:eastAsia="Arial" w:hAnsi="Arial"/>
          <w:sz w:val="17"/>
          <w:szCs w:val="17"/>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wp:posOffset>
            </wp:positionV>
            <wp:extent cx="25323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3238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April 29, 2019</w:t>
      </w:r>
    </w:p>
    <w:p>
      <w:pPr>
        <w:sectPr>
          <w:pgSz w:w="11900" w:h="16838" w:orient="portrait"/>
          <w:cols w:equalWidth="0" w:num="1">
            <w:col w:w="11420"/>
          </w:cols>
          <w:pgMar w:left="240" w:top="349"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7"/>
          <w:szCs w:val="17"/>
          <w:color w:val="auto"/>
        </w:rPr>
        <w:t>EXHIBIT 32.2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connection with the Quarterly Report of HealthStream, Inc. (the “Company”) on Form 10-Q for the period ending March 31, 2019, as filed with the Securities and Exchange Commission on the date hereof (the “Report”), Scott A. Roberts, Interim Chief Financial Officer of the Company, certifies, pursuant to 18 U.S.C. Section 1350, as adopted pursuant to Section 906 of the Sarbanes-Oxley Act of 2002, that:</w:t>
      </w:r>
    </w:p>
    <w:p>
      <w:pPr>
        <w:spacing w:after="0" w:line="186" w:lineRule="exact"/>
        <w:rPr>
          <w:sz w:val="20"/>
          <w:szCs w:val="20"/>
          <w:color w:val="auto"/>
        </w:rPr>
      </w:pPr>
    </w:p>
    <w:p>
      <w:pPr>
        <w:ind w:left="1740" w:hanging="863"/>
        <w:spacing w:after="0"/>
        <w:tabs>
          <w:tab w:leader="none" w:pos="1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9" w:lineRule="exact"/>
        <w:rPr>
          <w:rFonts w:ascii="Arial" w:cs="Arial" w:eastAsia="Arial" w:hAnsi="Arial"/>
          <w:sz w:val="17"/>
          <w:szCs w:val="17"/>
          <w:color w:val="auto"/>
        </w:rPr>
      </w:pPr>
    </w:p>
    <w:p>
      <w:pPr>
        <w:ind w:left="1740" w:right="580" w:hanging="863"/>
        <w:spacing w:after="0" w:line="270" w:lineRule="auto"/>
        <w:tabs>
          <w:tab w:leader="none" w:pos="1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/s/ S</w:t>
      </w:r>
      <w:r>
        <w:rPr>
          <w:rFonts w:ascii="Arial" w:cs="Arial" w:eastAsia="Arial" w:hAnsi="Arial"/>
          <w:sz w:val="12"/>
          <w:szCs w:val="12"/>
          <w:color w:val="auto"/>
        </w:rPr>
        <w:t>COTT</w:t>
      </w:r>
      <w:r>
        <w:rPr>
          <w:rFonts w:ascii="Arial" w:cs="Arial" w:eastAsia="Arial" w:hAnsi="Arial"/>
          <w:sz w:val="17"/>
          <w:szCs w:val="17"/>
          <w:color w:val="auto"/>
        </w:rPr>
        <w:t xml:space="preserve"> A. R</w:t>
      </w:r>
      <w:r>
        <w:rPr>
          <w:rFonts w:ascii="Arial" w:cs="Arial" w:eastAsia="Arial" w:hAnsi="Arial"/>
          <w:sz w:val="12"/>
          <w:szCs w:val="12"/>
          <w:color w:val="auto"/>
        </w:rPr>
        <w:t>OBERTS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Scott A.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wp:posOffset>
            </wp:positionV>
            <wp:extent cx="25323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3238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April 29, 2019</w:t>
      </w:r>
    </w:p>
    <w:sectPr>
      <w:pgSz w:w="11900" w:h="16838" w:orient="portrait"/>
      <w:cols w:equalWidth="0" w:num="1">
        <w:col w:w="11420"/>
      </w:cols>
      <w:pgMar w:left="240" w:top="3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2019-12-28T13:27:53Z</dcterms:created>
  <dcterms:modified xsi:type="dcterms:W3CDTF">2019-12-28T13:27:53Z</dcterms:modified>
</cp:coreProperties>
</file>