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5" w:lineRule="exact"/>
        <w:rPr>
          <w:sz w:val="24"/>
          <w:szCs w:val="24"/>
          <w:color w:val="auto"/>
        </w:rPr>
      </w:pPr>
    </w:p>
    <w:p>
      <w:pPr>
        <w:ind w:left="3380" w:right="1800" w:hanging="3372"/>
        <w:spacing w:after="0" w:line="462" w:lineRule="auto"/>
        <w:tabs>
          <w:tab w:leader="none" w:pos="66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000-27701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HEALTHSTREAM,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4320" w:type="dxa"/>
            <w:vAlign w:val="bottom"/>
          </w:tcPr>
          <w:p>
            <w:pPr>
              <w:jc w:val="center"/>
              <w:ind w:right="1430"/>
              <w:spacing w:after="0"/>
              <w:rPr>
                <w:sz w:val="20"/>
                <w:szCs w:val="20"/>
                <w:color w:val="auto"/>
              </w:rPr>
            </w:pPr>
            <w:r>
              <w:rPr>
                <w:rFonts w:ascii="Arial" w:cs="Arial" w:eastAsia="Arial" w:hAnsi="Arial"/>
                <w:sz w:val="18"/>
                <w:szCs w:val="18"/>
                <w:b w:val="1"/>
                <w:bCs w:val="1"/>
                <w:color w:val="auto"/>
                <w:w w:val="81"/>
              </w:rPr>
              <w:t>Tennessee</w:t>
            </w:r>
          </w:p>
        </w:tc>
        <w:tc>
          <w:tcPr>
            <w:tcW w:w="4100" w:type="dxa"/>
            <w:vAlign w:val="bottom"/>
          </w:tcPr>
          <w:p>
            <w:pPr>
              <w:jc w:val="right"/>
              <w:ind w:right="770"/>
              <w:spacing w:after="0"/>
              <w:rPr>
                <w:sz w:val="20"/>
                <w:szCs w:val="20"/>
                <w:color w:val="auto"/>
              </w:rPr>
            </w:pPr>
            <w:r>
              <w:rPr>
                <w:rFonts w:ascii="Arial" w:cs="Arial" w:eastAsia="Arial" w:hAnsi="Arial"/>
                <w:sz w:val="18"/>
                <w:szCs w:val="18"/>
                <w:b w:val="1"/>
                <w:bCs w:val="1"/>
                <w:color w:val="auto"/>
              </w:rPr>
              <w:t>62-1443555</w:t>
            </w:r>
          </w:p>
        </w:tc>
      </w:tr>
      <w:tr>
        <w:trPr>
          <w:trHeight w:val="216"/>
        </w:trPr>
        <w:tc>
          <w:tcPr>
            <w:tcW w:w="4320" w:type="dxa"/>
            <w:vAlign w:val="bottom"/>
          </w:tcPr>
          <w:p>
            <w:pPr>
              <w:jc w:val="center"/>
              <w:ind w:right="1430"/>
              <w:spacing w:after="0"/>
              <w:rPr>
                <w:sz w:val="20"/>
                <w:szCs w:val="20"/>
                <w:color w:val="auto"/>
              </w:rPr>
            </w:pPr>
            <w:r>
              <w:rPr>
                <w:rFonts w:ascii="Arial" w:cs="Arial" w:eastAsia="Arial" w:hAnsi="Arial"/>
                <w:sz w:val="18"/>
                <w:szCs w:val="18"/>
                <w:i w:val="1"/>
                <w:iCs w:val="1"/>
                <w:color w:val="auto"/>
                <w:w w:val="94"/>
              </w:rPr>
              <w:t>(State or other jurisdiction of</w:t>
            </w:r>
          </w:p>
        </w:tc>
        <w:tc>
          <w:tcPr>
            <w:tcW w:w="4100" w:type="dxa"/>
            <w:vAlign w:val="bottom"/>
          </w:tcPr>
          <w:p>
            <w:pPr>
              <w:jc w:val="center"/>
              <w:ind w:left="14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3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4"/>
              </w:rPr>
              <w:t>incorporation or organization)</w:t>
            </w:r>
          </w:p>
        </w:tc>
        <w:tc>
          <w:tcPr>
            <w:tcW w:w="4100" w:type="dxa"/>
            <w:vAlign w:val="bottom"/>
          </w:tcPr>
          <w:p>
            <w:pPr>
              <w:spacing w:after="0"/>
              <w:rPr>
                <w:sz w:val="20"/>
                <w:szCs w:val="20"/>
                <w:color w:val="auto"/>
              </w:rPr>
            </w:pPr>
          </w:p>
        </w:tc>
      </w:tr>
      <w:tr>
        <w:trPr>
          <w:trHeight w:val="414"/>
        </w:trPr>
        <w:tc>
          <w:tcPr>
            <w:tcW w:w="432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500 11th Avenue North, Suite 1000</w:t>
            </w:r>
          </w:p>
        </w:tc>
        <w:tc>
          <w:tcPr>
            <w:tcW w:w="4100" w:type="dxa"/>
            <w:vAlign w:val="bottom"/>
          </w:tcPr>
          <w:p>
            <w:pPr>
              <w:jc w:val="right"/>
              <w:ind w:right="970"/>
              <w:spacing w:after="0"/>
              <w:rPr>
                <w:sz w:val="20"/>
                <w:szCs w:val="20"/>
                <w:color w:val="auto"/>
              </w:rPr>
            </w:pPr>
            <w:r>
              <w:rPr>
                <w:rFonts w:ascii="Arial" w:cs="Arial" w:eastAsia="Arial" w:hAnsi="Arial"/>
                <w:sz w:val="18"/>
                <w:szCs w:val="18"/>
                <w:b w:val="1"/>
                <w:bCs w:val="1"/>
                <w:color w:val="auto"/>
              </w:rPr>
              <w:t>37203</w:t>
            </w:r>
          </w:p>
        </w:tc>
      </w:tr>
      <w:tr>
        <w:trPr>
          <w:trHeight w:val="220"/>
        </w:trPr>
        <w:tc>
          <w:tcPr>
            <w:tcW w:w="4320" w:type="dxa"/>
            <w:vAlign w:val="bottom"/>
          </w:tcPr>
          <w:p>
            <w:pPr>
              <w:jc w:val="center"/>
              <w:ind w:right="1430"/>
              <w:spacing w:after="0"/>
              <w:rPr>
                <w:sz w:val="20"/>
                <w:szCs w:val="20"/>
                <w:color w:val="auto"/>
              </w:rPr>
            </w:pPr>
            <w:r>
              <w:rPr>
                <w:rFonts w:ascii="Arial" w:cs="Arial" w:eastAsia="Arial" w:hAnsi="Arial"/>
                <w:sz w:val="18"/>
                <w:szCs w:val="18"/>
                <w:b w:val="1"/>
                <w:bCs w:val="1"/>
                <w:color w:val="auto"/>
                <w:w w:val="85"/>
              </w:rPr>
              <w:t>Nashville, Tennessee</w:t>
            </w:r>
          </w:p>
        </w:tc>
        <w:tc>
          <w:tcPr>
            <w:tcW w:w="4100" w:type="dxa"/>
            <w:vAlign w:val="bottom"/>
          </w:tcPr>
          <w:p>
            <w:pPr>
              <w:jc w:val="center"/>
              <w:ind w:left="143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320" w:type="dxa"/>
            <w:vAlign w:val="bottom"/>
          </w:tcPr>
          <w:p>
            <w:pPr>
              <w:jc w:val="center"/>
              <w:ind w:right="14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1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4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HSTM</w:t>
            </w:r>
          </w:p>
        </w:tc>
        <w:tc>
          <w:tcPr>
            <w:tcW w:w="980" w:type="dxa"/>
            <w:vAlign w:val="bottom"/>
            <w:vMerge w:val="restart"/>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Common Stock (Par Value $0.00)</w:t>
            </w:r>
          </w:p>
        </w:tc>
        <w:tc>
          <w:tcPr>
            <w:tcW w:w="9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9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of 15(d) of the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ind w:left="1140"/>
        <w:spacing w:after="0" w:line="242" w:lineRule="exact"/>
        <w:tabs>
          <w:tab w:leader="none" w:pos="3360" w:val="left"/>
          <w:tab w:leader="none" w:pos="5600" w:val="left"/>
          <w:tab w:leader="none" w:pos="7840" w:val="left"/>
        </w:tabs>
        <w:rPr>
          <w:sz w:val="20"/>
          <w:szCs w:val="20"/>
          <w:color w:val="auto"/>
        </w:rPr>
      </w:pPr>
      <w:r>
        <w:rPr>
          <w:rFonts w:ascii="Arial" w:cs="Arial" w:eastAsia="Arial" w:hAnsi="Arial"/>
          <w:sz w:val="18"/>
          <w:szCs w:val="18"/>
          <w:color w:val="auto"/>
        </w:rPr>
        <w:t xml:space="preserve">Large accelerated filer </w:t>
      </w:r>
      <w:r>
        <w:rPr>
          <w:rFonts w:ascii="Arial Unicode MS" w:cs="Arial Unicode MS" w:eastAsia="Arial Unicode MS" w:hAnsi="Arial Unicode MS"/>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Unicode MS" w:cs="Arial Unicode MS" w:eastAsia="Arial Unicode MS" w:hAnsi="Arial Unicode MS"/>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Arial Unicode MS" w:cs="Arial Unicode MS" w:eastAsia="Arial Unicode MS" w:hAnsi="Arial Unicode MS"/>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ind w:left="1140"/>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22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8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8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83"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Arial" w:cs="Arial" w:eastAsia="Arial" w:hAnsi="Arial"/>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ectPr>
          <w:pgSz w:w="11900" w:h="16838" w:orient="portrait"/>
          <w:cols w:equalWidth="0" w:num="1">
            <w:col w:w="11240"/>
          </w:cols>
          <w:pgMar w:left="320" w:top="476" w:right="33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Common Stock issued and outstanding and held by non-affiliates of the Registrant, based upon the closing sales price for the Common Stock on the Nasdaq Global Select Market on June 30, 2022 was $523.4 million. All executive officers and directors of the registrant have been deemed, solely for the purpose of the foregoing calculation, to be “affiliates” of the 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20, 2023, there were 30,582,194 shares of the Registrant’s common stock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Portions of the Registrant’s definitive Proxy Statement for its 2023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00" w:type="dxa"/>
            <w:vAlign w:val="bottom"/>
            <w:gridSpan w:val="6"/>
          </w:tcPr>
          <w:p>
            <w:pPr>
              <w:spacing w:after="0"/>
              <w:rPr>
                <w:sz w:val="20"/>
                <w:szCs w:val="20"/>
                <w:color w:val="auto"/>
              </w:rPr>
            </w:pPr>
            <w:r>
              <w:rPr>
                <w:rFonts w:ascii="Arial" w:cs="Arial" w:eastAsia="Arial" w:hAnsi="Arial"/>
                <w:sz w:val="18"/>
                <w:szCs w:val="18"/>
                <w:color w:val="0000EE"/>
                <w:w w:val="90"/>
              </w:rPr>
              <w:t>Table of Contents</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0"/>
          </w:tcPr>
          <w:p>
            <w:pPr>
              <w:jc w:val="center"/>
              <w:ind w:right="3500"/>
              <w:spacing w:after="0"/>
              <w:rPr>
                <w:sz w:val="20"/>
                <w:szCs w:val="20"/>
                <w:color w:val="auto"/>
              </w:rPr>
            </w:pPr>
            <w:r>
              <w:rPr>
                <w:rFonts w:ascii="Arial" w:cs="Arial" w:eastAsia="Arial" w:hAnsi="Arial"/>
                <w:sz w:val="18"/>
                <w:szCs w:val="18"/>
                <w:b w:val="1"/>
                <w:bCs w:val="1"/>
                <w:color w:val="auto"/>
              </w:rPr>
              <w:t>HEALTHSTREAM,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0"/>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80" w:type="dxa"/>
            <w:vAlign w:val="bottom"/>
            <w:gridSpan w:val="11"/>
          </w:tcPr>
          <w:p>
            <w:pPr>
              <w:jc w:val="center"/>
              <w:ind w:right="3480"/>
              <w:spacing w:after="0"/>
              <w:rPr>
                <w:sz w:val="20"/>
                <w:szCs w:val="20"/>
                <w:color w:val="auto"/>
              </w:rPr>
            </w:pPr>
            <w:r>
              <w:rPr>
                <w:rFonts w:ascii="Arial" w:cs="Arial" w:eastAsia="Arial" w:hAnsi="Arial"/>
                <w:sz w:val="18"/>
                <w:szCs w:val="18"/>
                <w:b w:val="1"/>
                <w:bCs w:val="1"/>
                <w:color w:val="auto"/>
                <w:w w:val="99"/>
              </w:rPr>
              <w:t>ANNUAL REPORT ON FORM 10-K</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00" w:type="dxa"/>
            <w:vAlign w:val="bottom"/>
            <w:gridSpan w:val="6"/>
            <w:vMerge w:val="restart"/>
          </w:tcPr>
          <w:p>
            <w:pPr>
              <w:spacing w:after="0"/>
              <w:rPr>
                <w:sz w:val="20"/>
                <w:szCs w:val="20"/>
                <w:color w:val="auto"/>
              </w:rPr>
            </w:pPr>
            <w:r>
              <w:rPr>
                <w:rFonts w:ascii="Arial" w:cs="Arial" w:eastAsia="Arial" w:hAnsi="Arial"/>
                <w:sz w:val="18"/>
                <w:szCs w:val="18"/>
                <w:color w:val="0000EE"/>
              </w:rPr>
              <w:t>PART I</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30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4"/>
              </w:rPr>
              <w:t>Item 1.</w:t>
            </w:r>
          </w:p>
        </w:tc>
        <w:tc>
          <w:tcPr>
            <w:tcW w:w="760" w:type="dxa"/>
            <w:vAlign w:val="bottom"/>
            <w:gridSpan w:val="5"/>
          </w:tcPr>
          <w:p>
            <w:pPr>
              <w:spacing w:after="0"/>
              <w:rPr>
                <w:sz w:val="17"/>
                <w:szCs w:val="17"/>
                <w:color w:val="auto"/>
              </w:rPr>
            </w:pPr>
          </w:p>
        </w:tc>
        <w:tc>
          <w:tcPr>
            <w:tcW w:w="700" w:type="dxa"/>
            <w:vAlign w:val="bottom"/>
          </w:tcPr>
          <w:p>
            <w:pPr>
              <w:spacing w:after="0" w:line="196" w:lineRule="exact"/>
              <w:rPr>
                <w:sz w:val="20"/>
                <w:szCs w:val="20"/>
                <w:color w:val="auto"/>
              </w:rPr>
            </w:pPr>
            <w:r>
              <w:rPr>
                <w:rFonts w:ascii="Arial" w:cs="Arial" w:eastAsia="Arial" w:hAnsi="Arial"/>
                <w:sz w:val="18"/>
                <w:szCs w:val="18"/>
                <w:color w:val="0000EE"/>
                <w:w w:val="84"/>
              </w:rPr>
              <w:t>Business.</w:t>
            </w:r>
          </w:p>
        </w:tc>
        <w:tc>
          <w:tcPr>
            <w:tcW w:w="8560" w:type="dxa"/>
            <w:vAlign w:val="bottom"/>
            <w:gridSpan w:val="21"/>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Unresolved Staff Comments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25</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Properties</w:t>
            </w:r>
          </w:p>
        </w:tc>
        <w:tc>
          <w:tcPr>
            <w:tcW w:w="1300" w:type="dxa"/>
            <w:vAlign w:val="bottom"/>
            <w:tcBorders>
              <w:top w:val="single" w:sz="8" w:color="0000EE"/>
            </w:tcBorders>
            <w:gridSpan w:val="8"/>
          </w:tcPr>
          <w:p>
            <w:pPr>
              <w:spacing w:after="0"/>
              <w:rPr>
                <w:sz w:val="17"/>
                <w:szCs w:val="17"/>
                <w:color w:val="auto"/>
              </w:rPr>
            </w:pPr>
          </w:p>
        </w:tc>
        <w:tc>
          <w:tcPr>
            <w:tcW w:w="722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25</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792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25</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Mine Safety Disclosures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25</w:t>
            </w:r>
          </w:p>
        </w:tc>
        <w:tc>
          <w:tcPr>
            <w:tcW w:w="0" w:type="dxa"/>
            <w:vAlign w:val="bottom"/>
          </w:tcPr>
          <w:p>
            <w:pPr>
              <w:spacing w:after="0"/>
              <w:rPr>
                <w:sz w:val="1"/>
                <w:szCs w:val="1"/>
                <w:color w:val="auto"/>
              </w:rPr>
            </w:pPr>
          </w:p>
        </w:tc>
      </w:tr>
      <w:tr>
        <w:trPr>
          <w:trHeight w:val="412"/>
        </w:trPr>
        <w:tc>
          <w:tcPr>
            <w:tcW w:w="1300" w:type="dxa"/>
            <w:vAlign w:val="bottom"/>
            <w:gridSpan w:val="6"/>
          </w:tcPr>
          <w:p>
            <w:pPr>
              <w:spacing w:after="0"/>
              <w:rPr>
                <w:sz w:val="20"/>
                <w:szCs w:val="20"/>
                <w:color w:val="auto"/>
              </w:rPr>
            </w:pPr>
            <w:r>
              <w:rPr>
                <w:rFonts w:ascii="Arial" w:cs="Arial" w:eastAsia="Arial" w:hAnsi="Arial"/>
                <w:sz w:val="18"/>
                <w:szCs w:val="18"/>
                <w:color w:val="0000EE"/>
              </w:rPr>
              <w:t>PART II</w:t>
            </w: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700" w:type="dxa"/>
            <w:vAlign w:val="bottom"/>
            <w:gridSpan w:val="4"/>
          </w:tcPr>
          <w:p>
            <w:pPr>
              <w:spacing w:after="0"/>
              <w:rPr>
                <w:sz w:val="17"/>
                <w:szCs w:val="17"/>
                <w:color w:val="auto"/>
              </w:rPr>
            </w:pPr>
          </w:p>
        </w:tc>
        <w:tc>
          <w:tcPr>
            <w:tcW w:w="80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26</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7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5"/>
              </w:rPr>
              <w:t>Reserved</w:t>
            </w:r>
          </w:p>
        </w:tc>
        <w:tc>
          <w:tcPr>
            <w:tcW w:w="8560" w:type="dxa"/>
            <w:vAlign w:val="bottom"/>
            <w:gridSpan w:val="21"/>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28</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28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38</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38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39</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278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64</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748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64</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794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65</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9C.</w:t>
            </w: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65</w:t>
            </w:r>
          </w:p>
        </w:tc>
        <w:tc>
          <w:tcPr>
            <w:tcW w:w="0" w:type="dxa"/>
            <w:vAlign w:val="bottom"/>
          </w:tcPr>
          <w:p>
            <w:pPr>
              <w:spacing w:after="0"/>
              <w:rPr>
                <w:sz w:val="1"/>
                <w:szCs w:val="1"/>
                <w:color w:val="auto"/>
              </w:rPr>
            </w:pPr>
          </w:p>
        </w:tc>
      </w:tr>
      <w:tr>
        <w:trPr>
          <w:trHeight w:val="412"/>
        </w:trPr>
        <w:tc>
          <w:tcPr>
            <w:tcW w:w="1300" w:type="dxa"/>
            <w:vAlign w:val="bottom"/>
            <w:gridSpan w:val="6"/>
          </w:tcPr>
          <w:p>
            <w:pPr>
              <w:spacing w:after="0"/>
              <w:rPr>
                <w:sz w:val="20"/>
                <w:szCs w:val="20"/>
                <w:color w:val="auto"/>
              </w:rPr>
            </w:pPr>
            <w:r>
              <w:rPr>
                <w:rFonts w:ascii="Arial" w:cs="Arial" w:eastAsia="Arial" w:hAnsi="Arial"/>
                <w:sz w:val="18"/>
                <w:szCs w:val="18"/>
                <w:color w:val="0000EE"/>
              </w:rPr>
              <w:t>PART III</w:t>
            </w: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8"/>
              </w:rPr>
              <w:t>Item 10.</w:t>
            </w:r>
          </w:p>
        </w:tc>
        <w:tc>
          <w:tcPr>
            <w:tcW w:w="640" w:type="dxa"/>
            <w:vAlign w:val="bottom"/>
            <w:gridSpan w:val="3"/>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51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66</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Executive Compensation</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66</w:t>
            </w:r>
          </w:p>
        </w:tc>
        <w:tc>
          <w:tcPr>
            <w:tcW w:w="0" w:type="dxa"/>
            <w:vAlign w:val="bottom"/>
          </w:tcPr>
          <w:p>
            <w:pPr>
              <w:spacing w:after="0"/>
              <w:rPr>
                <w:sz w:val="1"/>
                <w:szCs w:val="1"/>
                <w:color w:val="auto"/>
              </w:rPr>
            </w:pPr>
          </w:p>
        </w:tc>
      </w:tr>
      <w:tr>
        <w:trPr>
          <w:trHeight w:val="20"/>
        </w:trPr>
        <w:tc>
          <w:tcPr>
            <w:tcW w:w="68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19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66</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38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66</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66</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PART IV</w:t>
            </w:r>
          </w:p>
        </w:tc>
        <w:tc>
          <w:tcPr>
            <w:tcW w:w="620" w:type="dxa"/>
            <w:vAlign w:val="bottom"/>
            <w:gridSpan w:val="2"/>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Exhibits, Financial Statement Schedules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67</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Form 10-K Summary</w:t>
            </w:r>
          </w:p>
        </w:tc>
        <w:tc>
          <w:tcPr>
            <w:tcW w:w="1340" w:type="dxa"/>
            <w:vAlign w:val="bottom"/>
            <w:tcBorders>
              <w:top w:val="single" w:sz="8" w:color="0000EE"/>
            </w:tcBorders>
            <w:gridSpan w:val="5"/>
          </w:tcPr>
          <w:p>
            <w:pPr>
              <w:spacing w:after="0"/>
              <w:rPr>
                <w:sz w:val="17"/>
                <w:szCs w:val="17"/>
                <w:color w:val="auto"/>
              </w:rPr>
            </w:pPr>
          </w:p>
        </w:tc>
        <w:tc>
          <w:tcPr>
            <w:tcW w:w="636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68</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gridSpan w:val="22"/>
          </w:tcPr>
          <w:p>
            <w:pPr>
              <w:spacing w:after="0" w:line="196" w:lineRule="exact"/>
              <w:rPr>
                <w:sz w:val="20"/>
                <w:szCs w:val="20"/>
                <w:color w:val="auto"/>
              </w:rPr>
            </w:pPr>
            <w:r>
              <w:rPr>
                <w:rFonts w:ascii="Arial" w:cs="Arial" w:eastAsia="Arial" w:hAnsi="Arial"/>
                <w:sz w:val="18"/>
                <w:szCs w:val="18"/>
                <w:color w:val="0000EE"/>
              </w:rPr>
              <w:t>Signatures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69</w:t>
            </w:r>
          </w:p>
        </w:tc>
        <w:tc>
          <w:tcPr>
            <w:tcW w:w="0" w:type="dxa"/>
            <w:vAlign w:val="bottom"/>
          </w:tcPr>
          <w:p>
            <w:pPr>
              <w:spacing w:after="0"/>
              <w:rPr>
                <w:sz w:val="1"/>
                <w:szCs w:val="1"/>
                <w:color w:val="auto"/>
              </w:rPr>
            </w:pPr>
          </w:p>
        </w:tc>
      </w:tr>
      <w:tr>
        <w:trPr>
          <w:trHeight w:val="595"/>
        </w:trPr>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Section 21E of the Securities Exchange Act of 1934, and the Private Securities Litigation Reform Act of 1995. Such forward-looking statements include, among others, those statements including the words “expects,” “anticipates,” “intends,” “believes,” “may,” “will,” “should,” “continue,” and similar language or the negative of such terms or other 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 Factors in Item 1A of this Annual Report on Form 10-K and elsewhere in this document. In addition, factors that we are not currently aware of, or that we currently deem immaterial,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to reflect future events or circumstances after the date of this document.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HealthStream’s focus is and has always been on improving the quality of healthcare through the development of the dedicated professionals who deliver care. Like healthcare itself, our mission remains constant, but how we accomplish that mission continues to evolve and improve over time. Originally, we pioneered the use of online learning to hospitals, which began with courses specifically tailored to educate healthcare professionals and meet hospitals' required regulatory needs, and we remain a leading innovator in those areas today. Since our inception, the scope of HealthStream’s Software-as-a-Service (SaaS) solutions has expanded well beyond our governance, risk, and compliance (GRC) offerings to include a diverse ecosystem of applications that optimize and support the healthcare workforce. Today, we are characterized by our single platform strategy, which is designed to create interoperability among the various applications in our ecosystem through our proprietary hStream technology platform. We believe that our single platform strategy, as represented by hStream, is the best way to realize our mission of improving the quality of care by developing the people who deliver care, and the best way to create value for our shareholders in the process.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For healthcare organizations—our primary customers—HealthStream’s solutions help to effectively onboard, retain, engage, educate, manage, and develop workforce talent; meet rigorous GRC requirements; optimize staff scheduling and capacity management; and automate the management of medical staff credentialing, privileging, and enrollment.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healthcare professionals—our primary end users—HealthStream’s solutions help them to professionally develop their knowledge and skills, manage and fulfill their required continuing education and certifications, manage their schedules, including swapping and filling shifts, engage with peers, provide personalized competency development, and optimize their career pathways.</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both healthcare organizations and healthcare professionals, HealthStream’s solutions are generally accessed through SaaS application suites that are increasingly enhanced through our hStream technology platform. Our learning, credentialing, and scheduling application suites are designed to help solve the most critical problems facing the healthcare workforce today. They accomplish this by utilizing a combination of established and cutting-edge technologies, such as initiative and workflow management capabilities; proprietary taxonomy engines; dynamic engagement models; artificial intelligence (AI) driven clinical assessments; virtual reality (VR), augmented reality (AR), and physical based simulations; healthcare-specific benchmarks; and automated license monitoring and validation.</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HealthStream’s success in offering the largest, most diverse ecosystem of workforce solutions in healthcare has made it a thought leader and barometer of innovation for the industry. From its roots in originating online learning for healthcare organizations to the Company's more recent release of "Jane," the first AI-driven clinical assessment application, HealthStream continues to believe that the key to quality patient care lies in the people who deliver care. To that end, we are solely dedicated to providing solutions for the healthcare workforce.</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was incorporated in 1990. It began providing its SaaS-based workforce solutions in 1999, its provider solutions in 2012, and launched the hStream technology platform in 2018. As of January 2023, as discussed in greater detail below, the Company’s operations have been streamlined around a consolidated, enterprise approach such that, beginning January 1, 2023, the Company will cease having two reportable business segments (Workforce Solutions and Provider Solutions) and we will begin reporting on a one segment basis. HealthStream is headquartered in Nashville, Tennessee and had 1,135 full-time and 19 part-time employees as of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According to the Centers for Medicare &amp; Medicaid Services (CMS), spending in the healthcare industry reached nearly $4.3 trillion in 2021, or 18.3% of the U.S. gross domestic product. Hospital care expenditures in 2021 accounted for approximately 31% of the $4.3 trillion industry. The reduced growth in national healthcare expenditures in 2021 was driven primarily by a decline in federal government spending tied to COVID-19 pandemic relief funding and a decline in federal public health activity, among other factors. These declines more than offset the impact of greater use of healthcare goods and services and increased insurance coverage in 2021. According to the Bureau of Labor Statistics, as of January 2023, approximately 21.1 million professionals are employed in the healthcare segment of the domestic economy, with approximately 5.3 million employed in acute-care hospitals and, according to CMS, approximately 5.9 million employed in healthcare organizations throughout the continuum of care, the primary target markets for our products. (Organizations in the continuum of care employ approximately 2.2 million employees in ambulatory centers, approximately 2.8 million employees in post-acute care facilities, and over 0.9 million employees in health &amp; human services facilities.)</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All of the approximately 5.3 million hospital-based healthcare professionals that work in the nation’s approximately 5,300 inpatient hospitals that are registered with Medicare are required by federal and state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of 1996 (HIPAA).</w:t>
      </w:r>
    </w:p>
    <w:p>
      <w:pPr>
        <w:sectPr>
          <w:pgSz w:w="11900" w:h="16875" w:orient="portrait"/>
          <w:cols w:equalWidth="0" w:num="1">
            <w:col w:w="11240"/>
          </w:cols>
          <w:pgMar w:left="320" w:top="125" w:right="3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 hospitals, staffing issues and personnel shortages have contributed to the need for more effective and efficient workflows, including scheduling and capacity management as well as credentialing and privileging. Staffing shortages have also increased the need for facility-based workforce development as well as additional assessment and competency-based training. An ongoing nursing shortage, for example, is resulting in skill gaps and rising costs. From 2020 to 2030, more than 276,800 new Registered Nurse (RN) jobs are projected to be added to the workforce, surging from approximately 3.8 million registered nurses currently employed in the U.S., according to the U.S. Bureau of Labor Statistics. We believe that offering training and education and other engagement solutions for hospital personnel is increasingly being utilized as a retention and recruitment incentive.</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Many healthcare professionals use continuing education to keep abreast of clinical and other industry developments as well as to meet licensing and certification requirements. Continuing education is required for nurses, emergency medical services personnel, first responder personnel, radiologic personnel, and physicians, among many other healthcare professionals.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healthcare education and training industry is highly fragmented, varies significantly in delivery methods (i.e., online products, live events, written materials, and technology-enabled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can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an automated method for tracking training completion. The effectiveness of these traditional methods, both from a business and compliance standpoint, is difficult to track and measure.</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Provider data management has become more complex and arduous for healthcare organizations. Spurred by The Joint Commission Medical Staff standards and other regulatory requirements, credentialing and privileging has been transformed from a periodic review to a continuous, evidence-driven analysis of professional competency and provider performance. This transformation requires ongoing, automatic monitoring of licenses, sanctions, and exclusions, as well as expanding the scope of review at initial credentialing and re-credentialing. In addition, provider enrollment processes have compounded in difficulty. For example, a single provider may need to enroll annually with some 30 to 40 payers, with each payer application often taking two to four hours to complete.</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hospital industry continues to operate under ongoing pressure to reduce costs as a result of actual and potential reductions in government reimbursement rates and increased focus on cost containment consistent with participation of patients in managed care programs, among other factors. In addition, many hospitals, as well as pharmaceutical and medical device companies, may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w:t>
      </w:r>
      <w:r>
        <w:rPr>
          <w:rFonts w:ascii="Arial" w:cs="Arial" w:eastAsia="Arial" w:hAnsi="Arial"/>
          <w:sz w:val="18"/>
          <w:szCs w:val="18"/>
          <w:color w:val="auto"/>
        </w:rPr>
        <w:t>’</w:t>
      </w:r>
      <w:r>
        <w:rPr>
          <w:rFonts w:ascii="Arial" w:cs="Arial" w:eastAsia="Arial" w:hAnsi="Arial"/>
          <w:sz w:val="18"/>
          <w:szCs w:val="18"/>
          <w:b w:val="1"/>
          <w:bCs w:val="1"/>
          <w:color w:val="auto"/>
        </w:rPr>
        <w:t>S SOLUTIONS</w:t>
      </w:r>
    </w:p>
    <w:p>
      <w:pPr>
        <w:spacing w:after="0" w:line="243"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During the year ended December 31, 2022, HealthStream’s products, services, and operations were organized and managed under two business segments— Workforce Solutions and Provider Solutions—that collectively helped healthcare organizations meet their ongoing clinical development, talent management, training, education, assessment, competency management, safety and compliance, scheduling, and provider credentialing, privileging and enrollment needs. HealthStream’s solutions are provided to a wide range of customers within the healthcare industry across the continuum of care.</w:t>
      </w:r>
    </w:p>
    <w:p>
      <w:pPr>
        <w:spacing w:after="0" w:line="17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As indicated in the Company’s Annual Report on Form 10-K for the year ended December 31, 2021, filed on February 28, 2022, and in subsequent Quarterly Reports on Form 10-Q, the Company has been in the process of orienting its solutions in relation to a single technology platform, the hStream technology platform. In January 2023, the Company reached an inflection point in this process, such that the Company's business is now organized and managed around a consolidated, enterprise approach, including with regard to technology, operations, accounting, internal reporting (including the nature of information reviewed by our key decision makers), organizational structure, compensation, performance assessment, and resource allocation. We refer to this approach as our single platform strategy, or our One HealthStream approach. Having reached this inflection point, as of January 2023, the Company has determined that Workforce Solutions and Provider Solutions were no longer separate operating segments or separate reportable segments such that the Company will no longer present two reportable segments for periods beginning on and after January 1, 2023. However, for purposes of reporting historic 2022 and prior results, the two segment paradigm of Workforce Solutions and Provider Solutions remains applicable.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of January 2023, while the type and purpose of the Company’s solutions remain consistently and constantly focused on healthcare providers, the Company now manages itself and its solutions on a consolidated, enterprise basis consistent with our One HealthStream approach. The results of this shift make it necessary and appropriate to begin reporting on or after January 1, 2023, in terms of one business segment. For 2023 and future results, a one segment reporting approach will be applicable, such that the Company intends to present historical financial information on a single segment basis beginning with the Quarterly Report on Form 10-Q to be filed for the three months ending March 31, 2023.</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HealthStream Workforce Solutions </w:t>
      </w:r>
      <w:r>
        <w:rPr>
          <w:rFonts w:ascii="Arial" w:cs="Arial" w:eastAsia="Arial" w:hAnsi="Arial"/>
          <w:sz w:val="16"/>
          <w:szCs w:val="16"/>
          <w:color w:val="auto"/>
        </w:rPr>
        <w:t>— Our workforce solutions, which are comprised primarily of SaaS, subscription-based products, are used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organizations to meet a broad range of their clinical development, talent management, training, certification, engagement, scheduling, competency assessment, performance appraisal, and additional needs. Our numerous content libraries allow customers to subscribe to a wide array of courseware, which includes content from leading healthcare and nursing associations, medical and healthcare publishers, and other content providers. Additionally, medical device companies and other industry partners offer online training support through HealthStream’s platform for their products.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HealthStream’s SaaS-based learning application has long been one of the most widely adopted workforce development applications in healthcare. To facilitate innovation and growth of our ecosystem, the hStream technology platform was launched in 2018 and is becoming the platform that enables activity across HealthStream's diverse ecosystem of solutions. At December 31, 2022, HealthStream had contracts with customers for approximately 5.54 million subscriptions to hStream, compared to 5.04 million subscriptions as of December 31, 2021. The transition to the hStream technology platform has supported our strategic advancement toward a single, unified platform strategy and approach intended to benefit both customers and partners.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Pricing for hStream and HealthStream’s workforce applications is primarily subscription-based, with fees based on the number of subscriptions, solutions provided, and other factors. We offer implementation, training, and account management services to facilitate adoption of our subscription-based solutions. Fees for implementation services are based on the time and efforts of the personnel involved. Training fees vary based on the size, scope, and complexity of the project. Our platform and subscription-based solutions are hosted on a combination of private-cloud infrastructure and public-cloud infrastructure, leveraging Amazon Web Services and Azure, which allows authorized personnel access to our services through the Internet, thereby eliminating the need for onsite local implementations of installed workforce development products.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Applications on our Platform </w:t>
      </w:r>
      <w:r>
        <w:rPr>
          <w:rFonts w:ascii="Arial" w:cs="Arial" w:eastAsia="Arial" w:hAnsi="Arial"/>
          <w:sz w:val="18"/>
          <w:szCs w:val="18"/>
          <w:color w:val="auto"/>
        </w:rPr>
        <w:t>— HealthStream offers an array of other applications on our platform, each serving a unique function for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Each application on our platform has its own value. Examples of individual applications that are offered on our platform include applications for learning, performance appraisal, competency management, disclosure management, clinical assessment and development, simulation-based education, quality management, scheduling, and industry training.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as of January 2023 Workforce Solutions no longer exists as a separate reportable segment because HealthStream is now organized and operated on a consolidated, enterprise basis consistent with its One HealthStream approach.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HealthStream Provider Solutions </w:t>
      </w:r>
      <w:r>
        <w:rPr>
          <w:rFonts w:ascii="Arial" w:cs="Arial" w:eastAsia="Arial" w:hAnsi="Arial"/>
          <w:sz w:val="18"/>
          <w:szCs w:val="18"/>
          <w:color w:val="auto"/>
        </w:rPr>
        <w:t>– Our provider solutions are offered through our business segment that is branded in the marketplace as VerityStream.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VerityStream delivers enterprise-class solutions to transform the healthcare provider experience for healthcare organizations and providers. We currently serve hospitals and outpatient facilities, including ambulatory surgery centers, urgent care facilities, clinics, medical groups, and other healthcare organizations.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2018, we launched our SaaS-based provider credentialing, privileging, and enrollment solution branded as CredentialStream. As a SaaS-solution, CredentialStream includes an intuitive, modern user experience that delivers a continual stream of platform enhancements, evidence-based content, and curated data. A subscription to this application provides healthcare organizations with tools to support the provider lifecycle from recruiting, application submission, verification of licensure and other credentials, privileging, appointments by credentialing committees, enrollment, network management, onboarding, and performance evaluation of providers. As of December 31, 2022, more than 605 healthcare organizations had contracted for the CredentialStream application. CredentialStream is sold with a subscription to hStream.</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legacy products include EchoCredentialing and MSOW, comprehensive platforms that manage medical staff credentialing, enrollment, and privileging processes for hospitals; EchoOneApp, a provider enrollment platform for medical groups; and CredentialMyDoc, a credentialing and enrollment SaaS solution for medical groups and surgery centers. As of January 2023, we are discontinuing use of the VerityStream brand and contracting structure consistent with our single platform approach and operations as part of our One HealthStream approach.</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as of January 2023 Provider Solutions no longer exists as a separate reportable segment because HealthStream is now organized and operated on a consolidated, enterprise basis consistent with its One HealthStream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overall growth strategy, we evaluate opportunities for mergers and acquisitions, and since the beginning of 2021, we have completed four acquisitions. In January 2021, we acquired ComplyALIGN, and in December 2021, we acquired substantially all of the assets of Rievent. In May 2022, we acquired the remaining ownership interest (representing approximately 82% of the outstanding equity interests) of CloudCME, and in December 2022, we acquired substantially all of the assets of Electronic Education Documentation System (d/b/a "eeds"). For additional information regarding acquisitions, please see Note 8 of the Consolidated Financial Statements and “Management’s Discussion and Analysis of Financial Condition and Results of Operations” in Part II, Item 7 of this Form 10-K.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our solutions to customers across a broad range of entities within the healthcare industry, including private, not-for-profit, and government entities, as well as pharmaceutical and medical device companies. We derive a substantial portion of our revenues from a relatively small number of customers that are healthcare providers. However, during the year ended December 31, 2022, no single customer accounted for 10% or more of our annual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our products and services primarily through our direct sales teams, who are located throughout the United States and, to a lesser extent, in Canada, Australia, and New Zealand. As of December 31, 2022, our Workforce Solutions sales personnel consisted of 190 employees who carried sales quotas, and our Provider Solutions sales personnel consisted of 37 employees who carried sales quotas. As of January 2023, our sales force has been consolidated and is no longer divided in terms of Workforce Solutions and Provider Solutions.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a variety of marketing programs to promote our products and services, including product catalogs, user groups, trade shows, social media, internet promotion and demonstrations, telemarketing campaigns, public relations, distribution of product-specific literature, direct mail, advertising, and in partnership with third parties. We have marketing teams that are responsible for these initiatives and for working with and supporting our product management and sales teams. At December 31, 2022, our marketing personnel consisted of 41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our ability to establish and maintain long-term customer relationships, obtain recurring sales, and develop and maintain new and existing products are dependent on the strength of our operations, customer service, product development and maintenance, training, and other support teams. As of December 31, 2022, our Workforce Solutions operations team consisted of 544 employees and our Provider Solutions operations team consisted of 248 employees. Our operations teams for each of these segments are primarily associated with technical support, customer implementation and training, product management, software development and quality assurance, and other functions. As of 2023, our operations and technology operations have been consolidated and are no longer divided in terms of Workforce Solutions and Provider Solutions.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services are designed to be reliable, secure, and scalable. Our software is a combination of proprietary and commercially available software and operating systems. Our software solutions support hosting and management of content, publication of our websites, execution of courseware, registration and tracking of users, tracking and reporting of physician credentialing and provider enrollment information,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software applications, servers, and network infrastructure that deliver our services are hosted by a combination of third party data center providers and cloud-based infrastructure. We maintain fully redundant disaster recovery data centers that are located in geographically separate locations. Our technology equipment is maintained in secure, limited access environments, supported by redundant power, environmental conditioning, and network connectivity, and we follow industry best practices for backup and disaster recovery. Company personnel monitor all servers, networks, and systems on a continuous basis, and we employ enterprise firewall systems and data abstraction to protect our databases, customer information, and courseware library from unauthorized access.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competing healthcare education delivery methods in the industry, we also have direct competitors. A number of companies offer competitive learning, scheduling, and credentialing solutions, some of which are focused on multiple industries and some of which are focused on the healthcare industry. We compete with companies such as Cornerstone OnDemand, Symplr, Ultimate Kronos Group, Oracle, SAP, Infor, and Workday, which provide their services to multiple industries, including healthcare. We also compete with companies that are dedicated to, or have operating units focused on healthcare, such as Relias Learning, Verisys, MD-Staff, AMN Healthcare, as well as with an array of smaller companies.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hStream technology platform and the interoperability it has begun to enable provides us a competitive advantage by facilitating education, training, assessment, engagement, scheduling, credentialing, privileging, validation, and development for healthcare professionals through a wide assortment of content, functionality, and applications. We also believe that our hStream platform technology is beginning to accelerate the scope and quality of our products, capability to connect medical staff credentialing with provider enrollment, and innovative new predictive analytics, all of which we believe provide us with a competitive advantage. We believe that the principal competitive factors affecting the marketing of our solutions to the healthcare industry include:</w:t>
      </w:r>
    </w:p>
    <w:p>
      <w:pPr>
        <w:spacing w:after="0" w:line="192" w:lineRule="exact"/>
        <w:rPr>
          <w:sz w:val="20"/>
          <w:szCs w:val="20"/>
          <w:color w:val="auto"/>
        </w:rPr>
      </w:pPr>
    </w:p>
    <w:p>
      <w:pPr>
        <w:jc w:val="both"/>
        <w:ind w:left="1140" w:hanging="484"/>
        <w:spacing w:after="0" w:line="286"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hStream technology platform, which combines SaaS-based capabilities and certain Platform-as-a-Service (PaaS) capabilities to help capture, track, manage, and report on activities, such as learning, performance, scheduling, credentialing, and privileging across various modalities, and provides interoperability with external systems such as HRIS and other systems utilized by our customers;</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140" w:right="20" w:hanging="484"/>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scope and variety of Internet-based solutions available, including, without limitation, learning and education, clinical, GRC, resuscitation, revenue cycle, talent management, scheduling, credentialing, and privileging solutions;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singular focus on the healthcare industry and our deep healthcare expertise;</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scope and quality of professional services offered, including implementation, benchmarking, and training;</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pricing, which supports a return on investment to customers;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mobility, security, uniqueness, and value of underlying data sets and embedded content;</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sales and marketing efforts; and</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reputation.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capabilities provide us with the ability to improve the quality of healthcare by developing the people who deliver care.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OF THE INTERNET AND THE HEALTHCARE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Internet and the Privacy and Security of Personal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various legal requirements related to the internet and the privacy and security of personal information, which legal requirements may change rapidly. The following are areas of law in this regard that are significant to our business:</w:t>
      </w:r>
    </w:p>
    <w:p>
      <w:pPr>
        <w:spacing w:after="0" w:line="170" w:lineRule="exact"/>
        <w:rPr>
          <w:sz w:val="20"/>
          <w:szCs w:val="20"/>
          <w:color w:val="auto"/>
        </w:rPr>
      </w:pPr>
    </w:p>
    <w:p>
      <w:pPr>
        <w:jc w:val="both"/>
        <w:ind w:left="1140" w:hanging="484"/>
        <w:spacing w:after="0" w:line="285"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Privacy and Security Laws. </w:t>
      </w:r>
      <w:r>
        <w:rPr>
          <w:rFonts w:ascii="Arial" w:cs="Arial" w:eastAsia="Arial" w:hAnsi="Arial"/>
          <w:sz w:val="16"/>
          <w:szCs w:val="16"/>
          <w:color w:val="auto"/>
        </w:rPr>
        <w:t>Federal, state, and foreign privacy and security laws and regulations restricting the collection, use, retention,</w:t>
      </w:r>
      <w:r>
        <w:rPr>
          <w:rFonts w:ascii="Arial" w:cs="Arial" w:eastAsia="Arial" w:hAnsi="Arial"/>
          <w:sz w:val="16"/>
          <w:szCs w:val="16"/>
          <w:i w:val="1"/>
          <w:iCs w:val="1"/>
          <w:color w:val="auto"/>
        </w:rPr>
        <w:t xml:space="preserve"> </w:t>
      </w:r>
      <w:r>
        <w:rPr>
          <w:rFonts w:ascii="Arial" w:cs="Arial" w:eastAsia="Arial" w:hAnsi="Arial"/>
          <w:sz w:val="16"/>
          <w:szCs w:val="16"/>
          <w:color w:val="auto"/>
        </w:rPr>
        <w:t>deletion, security, and disclosure of personal information limit our ability to collect information or use and disclose the information in our databases or that we derive from other sources to generate revenues. These laws and regulations are rapidly evolving and could have an adverse effect on our operations. For example, throughout 2023 comprehensive privacy laws in Colorado, Connecticut, Utah and Virginia will go into effect, in addition to the California Privacy Rights Act, which, significantly expanded and amended existing California privacy law. Additional states are considering, and may in the future enact, their own privacy legislation. Moreover, we have expanded our business in recent years into new markets and jurisdictions (including foreign jurisdictions), which may subject our business to additional privacy and data protections laws and regulations, such as the Family Education Rights and Privacy Act, the Canadian Personal Information Protection and Electronic Documents Act, and the European Union’s General Data Protection Regulation. There are significant differences among these various privacy laws, which introduces complexity in our compliance efforts and additional costs and expenses, and many data privacy legal requirements in foreign jurisdictions are more stringent than those in the U.S. It may be costly to implement measures (such as certain security requirements, contracting terms, assessments, and registrations with authorities) that are designed to comply with new legal requirements, changes to existing legal requirements, or legal requirements in jurisdictions into which we have recently expanded or are planning to expand. The obligations and requirements applicable to companies under these laws and regulations are subject to uncertainty in how they may be interpreted by government authorities and regulators. We may be audited or subject to an investigation by a federal, state, or foreign regulator regarding our compliance with privacy and security laws and regulations. If the Company is determined by a regulator or court to fail to comply with such laws and regulations, the Company may become subject to penalties and the Company’s business could be negatively impacted.</w:t>
      </w:r>
    </w:p>
    <w:p>
      <w:pPr>
        <w:spacing w:after="0" w:line="389" w:lineRule="exact"/>
        <w:rPr>
          <w:rFonts w:ascii="Arial" w:cs="Arial" w:eastAsia="Arial" w:hAnsi="Arial"/>
          <w:sz w:val="16"/>
          <w:szCs w:val="16"/>
          <w:color w:val="auto"/>
        </w:rPr>
      </w:pPr>
    </w:p>
    <w:p>
      <w:pPr>
        <w:jc w:val="both"/>
        <w:ind w:left="1140" w:right="20" w:hanging="484"/>
        <w:spacing w:after="0" w:line="263"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content and materials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Internet. These include laws relating to obscenity, indecency, libel, and defamation. We could be liable if content created, stored, or delivered by us is determined to be in violation of these regulations.</w:t>
      </w:r>
    </w:p>
    <w:p>
      <w:pPr>
        <w:spacing w:after="0" w:line="183" w:lineRule="exact"/>
        <w:rPr>
          <w:rFonts w:ascii="Arial" w:cs="Arial" w:eastAsia="Arial" w:hAnsi="Arial"/>
          <w:sz w:val="18"/>
          <w:szCs w:val="18"/>
          <w:color w:val="auto"/>
        </w:rPr>
      </w:pPr>
    </w:p>
    <w:p>
      <w:pPr>
        <w:jc w:val="both"/>
        <w:ind w:left="1140" w:hanging="484"/>
        <w:spacing w:after="0" w:line="270"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Information Security Accountability Regulation. </w:t>
      </w:r>
      <w:r>
        <w:rPr>
          <w:rFonts w:ascii="Arial" w:cs="Arial" w:eastAsia="Arial" w:hAnsi="Arial"/>
          <w:sz w:val="17"/>
          <w:szCs w:val="17"/>
          <w:color w:val="auto"/>
        </w:rPr>
        <w:t>As a business associate of certain of our customers, we are required to report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breaches of protected health information to our customers, who must in turn notify affected individuals, the U.S. Department of Health and Human Services (HHS) and/or other governmental agencies, and, in certain situations, the media. In addition, we are subject to certain foreign and state laws that relate to data security or the reporting of security breaches. For example, California law requires notification of security breaches involving personal information and medical information. We may incur costs to comply with these notification requirements. Because there is limited guidance related to many of these laws, it is difficult to estimate the cost of our compliance. Further, Congress has considered legislation that would require companies to engage independent third parties to audit the companies’ computer information security. If the Company experiences a breach of security or if one of the Company’s customers is required to report a breach of security by the Company, the Company’s reputation and business could be negatively impacted.</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1140" w:hanging="484"/>
        <w:spacing w:after="0" w:line="25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Sales and Use Tax. </w:t>
      </w:r>
      <w:r>
        <w:rPr>
          <w:rFonts w:ascii="Arial" w:cs="Arial" w:eastAsia="Arial" w:hAnsi="Arial"/>
          <w:sz w:val="18"/>
          <w:szCs w:val="18"/>
          <w:color w:val="auto"/>
        </w:rPr>
        <w:t>We collect sales, use, or other taxes on taxable transactions in states and foreign jurisdictions in which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have a significant level of sales activity, or otherwise determine that such collection is appropriate. While HealthStream believes that this approach is appropriate, other states or foreign jurisdictions may seek to impose tax collection obligations on companies like us that engage in online commerce. If they do, these obligations could limit the growth of electronic commerce in general and adversely impact our business.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Laws and regulations directly applicable to content regulation, e-commerce, Internet communications, and the privacy and security of personal information are becoming more prevalent and/or broader in scope.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i w:val="1"/>
          <w:iCs w:val="1"/>
          <w:color w:val="auto"/>
        </w:rPr>
        <w:t xml:space="preserve">Occupational Safety and Health Administration. </w:t>
      </w:r>
      <w:r>
        <w:rPr>
          <w:rFonts w:ascii="Arial" w:cs="Arial" w:eastAsia="Arial" w:hAnsi="Arial"/>
          <w:sz w:val="16"/>
          <w:szCs w:val="16"/>
          <w:color w:val="auto"/>
        </w:rPr>
        <w:t>OSHA regulations require certain employers to provide training to certain employees to minimize the risk</w:t>
      </w:r>
      <w:r>
        <w:rPr>
          <w:rFonts w:ascii="Arial" w:cs="Arial" w:eastAsia="Arial" w:hAnsi="Arial"/>
          <w:sz w:val="16"/>
          <w:szCs w:val="16"/>
          <w:i w:val="1"/>
          <w:iCs w:val="1"/>
          <w:color w:val="auto"/>
        </w:rPr>
        <w:t xml:space="preserve"> </w:t>
      </w:r>
      <w:r>
        <w:rPr>
          <w:rFonts w:ascii="Arial" w:cs="Arial" w:eastAsia="Arial" w:hAnsi="Arial"/>
          <w:sz w:val="16"/>
          <w:szCs w:val="16"/>
          <w:color w:val="auto"/>
        </w:rPr>
        <w:t>of injury from various potential workplace hazards. Employers in the healthcare industry may be required to provide training with respect to various topics, including, but not limited to, blood borne pathogens exposure control, laboratory safety, and tuberculosis infection control. OSHA regulations further require employers to keep records of their employees’ completion of training with respect to these workplace hazards, as applicable.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The Joint Commission. </w:t>
      </w:r>
      <w:r>
        <w:rPr>
          <w:rFonts w:ascii="Arial" w:cs="Arial" w:eastAsia="Arial" w:hAnsi="Arial"/>
          <w:sz w:val="18"/>
          <w:szCs w:val="18"/>
          <w:color w:val="auto"/>
        </w:rPr>
        <w:t>The Joint Commission accreditation and certification standards require employers in the healthcare industry to provide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workplace safety and patient interaction 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Health Insurance Portability and Accountability Act of 1996. </w:t>
      </w:r>
      <w:r>
        <w:rPr>
          <w:rFonts w:ascii="Arial" w:cs="Arial" w:eastAsia="Arial" w:hAnsi="Arial"/>
          <w:sz w:val="17"/>
          <w:szCs w:val="17"/>
          <w:color w:val="auto"/>
        </w:rPr>
        <w:t>HIPAA and its implementing regulations restrict how certain organizations (known as</w:t>
      </w:r>
      <w:r>
        <w:rPr>
          <w:rFonts w:ascii="Arial" w:cs="Arial" w:eastAsia="Arial" w:hAnsi="Arial"/>
          <w:sz w:val="17"/>
          <w:szCs w:val="17"/>
          <w:i w:val="1"/>
          <w:iCs w:val="1"/>
          <w:color w:val="auto"/>
        </w:rPr>
        <w:t xml:space="preserve"> </w:t>
      </w:r>
      <w:r>
        <w:rPr>
          <w:rFonts w:ascii="Arial" w:cs="Arial" w:eastAsia="Arial" w:hAnsi="Arial"/>
          <w:sz w:val="17"/>
          <w:szCs w:val="17"/>
          <w:color w:val="auto"/>
        </w:rPr>
        <w:t>covered entities), including most healthcare providers and health plans, use and disclose certain protected health information. HIPAA regulations also require these organizations to provide reasonable and appropriate safeguards to protect the privacy, integrity, and confidentiality of protected health information, whether in paper, oral, or electronic form. Covered entities are required to establish, maintain, and provide training with regard to their policies and procedures for protecting the integrity and confidentiality of protected health information and must document training on these topics to support their compliance. Certain HIPAA privacy and security requirements apply to entities (known as business associates) that handle protected health information on behalf of covered entities or other business associates. Covered entities, business associates, and their subcontractors may be directly subject to criminal and civil sanctions for violations of HIPAA privacy and security standards.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The American Nurses Credentialing Center (ANCC). </w:t>
      </w:r>
      <w:r>
        <w:rPr>
          <w:rFonts w:ascii="Arial" w:cs="Arial" w:eastAsia="Arial" w:hAnsi="Arial"/>
          <w:sz w:val="18"/>
          <w:szCs w:val="18"/>
          <w:color w:val="auto"/>
        </w:rPr>
        <w:t>ANCC, a subsidiary of the American Nurses Association (ANA), provides individuals and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throughout the nursing profession with resources intended to assist with achieving practice excellence. ANCC’s credentialing programs certify nurses in specialty practice areas; recognize healthcare organizations for promoting safe, positive work environments through the Magnet Recognition Program® and the Pathway to Excellence® Program; and accredit providers of continuing nursing education. ANCC maintains twenty-two certification exams to validate nurses’ skills, knowledge, and abilities. The ANCC Magnet Recognition Program recognizes healthcare organizations that provide the best in nursing care and professionalism in nursing practice. The program also provides a vehicle for disseminating best practices and strategies among nursing systems. The ANCC Magnet Recognition Program is a highly regarded standard for nursing excellence. The Pathway to Excellence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generally authorize a state’s board of nursing to establish CNE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nurses to maintain valid licensure. CNE requirements vary widely from state to state, with reporting generally on a bi-annual basis. In some states, the CNE requirement only applies to re-licensure of advance practice nurses, while in other states, additional CNEs may be required of this category of nurses. Board certifications (e.g., Certified Nurse Operating Room (CNOR) – certification of perioperative nursing) also require CNE hours/credits, with certain percentages required in specific categories based on the certification type. Failure to obtain the requisite and type of CNE could result in non-renewal of the license or certification. The ANCC Commission on Accreditation is responsible for accrediting or approving organizations to award ANCC nursing continuing professional development (NCPD) credit (contact hours) to activities for a national audience of nurses. State boards of nursing approve individual CNE activities or CE providers that offer CNE activities primarily for nurses within the state. ANCC NCPD credit for online activities is accepted by all state boards of nursing within the United States and each of its territories. Our HealthStream CNE Provider Unit is accredited as a provider of NCPD by ANCC. We are also approved by the California Board of Registered Nursing and the Florida Board of Nursing.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Continuing Medical Education (CME). </w:t>
      </w:r>
      <w:r>
        <w:rPr>
          <w:rFonts w:ascii="Arial" w:cs="Arial" w:eastAsia="Arial" w:hAnsi="Arial"/>
          <w:sz w:val="17"/>
          <w:szCs w:val="17"/>
          <w:color w:val="auto"/>
        </w:rPr>
        <w:t>State licensing boards, professional organizations, and employers require physicians to certify that they have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accumulated a minimum number of CME hours to maintain their licenses. Generally, each state’s medical practice laws authorize the state’s board of medicine to establish and track CME requirements. Medical licensing boards in most U.S. states and territories currently have CME requirements.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 (AMA) classifies CME activities as either Category 1, which includes formal CME activities, or Category 2, which includes self-designated credit for informal activities that meet certain requirements. Most boards of medical examiners nationwide that require CME participation specify </w:t>
      </w:r>
      <w:r>
        <w:rPr>
          <w:rFonts w:ascii="Arial" w:cs="Arial" w:eastAsia="Arial" w:hAnsi="Arial"/>
          <w:sz w:val="17"/>
          <w:szCs w:val="17"/>
          <w:i w:val="1"/>
          <w:iCs w:val="1"/>
          <w:color w:val="auto"/>
        </w:rPr>
        <w:t>AMA</w:t>
      </w:r>
      <w:r>
        <w:rPr>
          <w:rFonts w:ascii="Arial" w:cs="Arial" w:eastAsia="Arial" w:hAnsi="Arial"/>
          <w:sz w:val="17"/>
          <w:szCs w:val="17"/>
          <w:color w:val="auto"/>
        </w:rPr>
        <w:t xml:space="preserve"> </w:t>
      </w:r>
      <w:r>
        <w:rPr>
          <w:rFonts w:ascii="Arial" w:cs="Arial" w:eastAsia="Arial" w:hAnsi="Arial"/>
          <w:sz w:val="17"/>
          <w:szCs w:val="17"/>
          <w:i w:val="1"/>
          <w:iCs w:val="1"/>
          <w:color w:val="auto"/>
        </w:rPr>
        <w:t>PRA Category 1 Credit</w:t>
      </w:r>
      <w:r>
        <w:rPr>
          <w:rFonts w:ascii="Arial" w:cs="Arial" w:eastAsia="Arial" w:hAnsi="Arial"/>
          <w:sz w:val="17"/>
          <w:szCs w:val="17"/>
          <w:color w:val="auto"/>
        </w:rPr>
        <w:t>™. Only institutions and organizations accredited to provide CME can designate an activity for</w:t>
      </w:r>
      <w:r>
        <w:rPr>
          <w:rFonts w:ascii="Arial" w:cs="Arial" w:eastAsia="Arial" w:hAnsi="Arial"/>
          <w:sz w:val="17"/>
          <w:szCs w:val="17"/>
          <w:i w:val="1"/>
          <w:iCs w:val="1"/>
          <w:color w:val="auto"/>
        </w:rPr>
        <w:t xml:space="preserve"> AMA PRA Category 1 Credit</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Accreditation Council for Continuing Medical Education (ACCME) is responsible for awarding accreditation status to state medical societies, medical schools, and other institutions and organizations that provide CME activities, typically for a national audience of physicians. State medical societies, operating under the aegis of the ACCME, accredit institutions and organizations that provide CME activities primarily for physicians within the state or bordering states. We are recognized as an accredited provider of CME for physicians by the ACCME.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Centers for Medicare &amp; Medicaid Services (CMS). </w:t>
      </w:r>
      <w:r>
        <w:rPr>
          <w:rFonts w:ascii="Arial" w:cs="Arial" w:eastAsia="Arial" w:hAnsi="Arial"/>
          <w:sz w:val="18"/>
          <w:szCs w:val="18"/>
          <w:color w:val="auto"/>
        </w:rPr>
        <w:t>The CMS national quality strategy is focused on ensuring that all persons receive equitable, high-quality, and value based care, with an emphasis on shaping a health care system that incorporates quality and safety as a foundational component to delivering value as part of the overall care journey by: embedding quality into the care journey; advancing health equity; promoting safety; embracing the digital age; ensuring resilience to adapt to future challenges and emergencies; incentivizing innovation and technology; and increasing alignment across CMS, its partners, and stakeholders. Value-based purchasing (VBP), which links payment more directly to the quality of care provided, is a strategy that aims to transform the current payment system by rewarding providers for delivering high quality, efficient clinical care. Through a number of public reporting programs, demonstration projects, pilot programs, and other initiatives, some voluntary and some mandatory, CMS has launched VBP initiatives in various settings, including hospitals, physician offices, nursing homes, home health services, and dialysis facilities. Through its “Meaningful Measures” initiative, CMS identifies priorities for quality measurement and improvement. The framework is intended to improve patient outcomes while also reducing burdens on providers.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Promoting Interoperability Programs. </w:t>
      </w:r>
      <w:r>
        <w:rPr>
          <w:rFonts w:ascii="Arial" w:cs="Arial" w:eastAsia="Arial" w:hAnsi="Arial"/>
          <w:sz w:val="17"/>
          <w:szCs w:val="17"/>
          <w:color w:val="auto"/>
        </w:rPr>
        <w:t>The CMS Promoting Interoperability Programs encourage eligible professionals, eligible hospitals, and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access hospitals to adopt electronic health record (EHR) technology by imposing payment reductions for failure to demonstrate meaningful use of certified EHR technology. Providers that meaningfully use an EHR system may reap benefits such as reduction in errors, availability of records and data, reminders and alerts, clinical decision support, and e-prescribing/refill automation. Further, the 21st Century Cures Act and implementing regulations promote interoperability and the exchange of patient health information through a number of requirements including a ban on information blocking by healthcare providers, health IT developers, and certain other entities. Information blocking is generally defined as engaging in activities that are likely to interfere with the access, exchange, or use of electronic health information, subject to limited exceptions.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technician (EMT) personnel may be required to attain a minimum number of continuing education hours per year, all or a portion of which can be fulfilled online. These requirements vary by state and depend on the professional classification of the individual. HealthStream is an organization accredited by the Commission on Accreditation for Prehospital Continuing Education (CAPCE) and the Florida Department of Health's Division of Medical Quality Assurance.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Educational Program Sponsorship and Support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Payments Sunshine Act (Sunshine Act) requires manufacturers of drugs, biological devices, and medical devices covered by Medicare, Medicaid, or the Children’s Health Insurance Program to report annually to CMS payments and other transfers of value given by such manufacturers to physicians, certain other healthcare professionals, and teaching hospitals, including educational programs for physicians, with limited exceptions. CMS regulations require manufacturers to report the recipient’s name, business address, and national provider identifier as well as other information about the payment or transfer of value including the amount, date, form, and nature of what is offered. CMS publishes the information on its Open Payments website. Manufacturers that do not meet the reporting obligations are subject to significant monetary penalties.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follow all standards/criteria/guidelines set-forth by ACCME, ANCC, and other continuing education organizations regarding the regulation of educational program sponsorship and support. This includes full compliance with the </w:t>
      </w:r>
      <w:r>
        <w:rPr>
          <w:rFonts w:ascii="Arial" w:cs="Arial" w:eastAsia="Arial" w:hAnsi="Arial"/>
          <w:sz w:val="18"/>
          <w:szCs w:val="18"/>
          <w:i w:val="1"/>
          <w:iCs w:val="1"/>
          <w:color w:val="auto"/>
        </w:rPr>
        <w:t>Standards for Integrity and Independence in Accredited 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Education</w:t>
      </w:r>
      <w:r>
        <w:rPr>
          <w:rFonts w:ascii="Arial" w:cs="Arial" w:eastAsia="Arial" w:hAnsi="Arial"/>
          <w:sz w:val="18"/>
          <w:szCs w:val="18"/>
          <w:color w:val="auto"/>
        </w:rPr>
        <w:t>, to ensure that our CME and CNE activities are evidence-based, designed to improve patient care and/or community health, and are free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influence.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(FDA) and the Federal Trade Commission (FTC)</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Therefore, any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we may present with our services, even if we lack independent editorial control over it,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subject to a number of federal, state, and local environmental laws, rules, and regulations. In addition, we could be affected by climate change to the extent that climate change results in severe weather conditions or other disruptions impacting the communities in which we have office locations and/or where we have network infrastructure or adversely impacts general economic conditions. Moreover, legal requirements regulating greenhouse gas emissions and energy inputs or otherwise associated with the transition to a lower carbon economy could increase in the future, which could increase our costs associated with compliance and otherwise disrupt and adversely affect our operations.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current time, our compliance with environmental legal requirements, including legal requirements relating to climate change, does not have a material effect on our capital expenditures, financial results, or operations, and we did not incur material capital expenditures with respect to environmental matters during the year ended December 31, 2022. However, it is possible that future environmental-related developments may impact us, including as a result of climate change and/or legal requirements associated with the transition to a lower carbon economy in a manner that we are currently unable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protect our proprietary rights, we rely generally on copyright, trademark, patent, and trade secret laws; confidentiality agreements, contracts,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“HEALTHSTREAM”, “HEALTHSTREAM LEARNING CENTER”, "JANE", “HEALTHSTREAM EPORTFOLIO”, and “COMPLYQ”. We also have obtained registration of the “HEALTHSTREAM” mark in certain other countries. Additionally, we hold a number of patents related to the solutions we provide. Applications for several trademarks and patents are currently pending. However, there can be no assurance that we will be successful in obtaining registration of trademarks and patents for which we have applied.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content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 party intellectual property rights and that they have the right to provide their content and have obtained all third party consents necessary to do so. Our publishers, authors, and other third parties also agree to indemnify us against certain liability we might sustain due to the content they provide.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third party asserts a claim that we or our third party partners have infringed its patents or other intellectual property right, we may incur costs to defend against that claims, and we may be required to redesign or discontinue products that we currently offer or enter into royalty or licensing agreements, which may result in negative publicity, harm to our reputation, or an adverse effect on our results of operations. In addition, we license technologies from third parties for incorporation into our services.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are unable to safeguard our proprietary rights adequately, our competitors could offer similar services, potentially significantly harming our competitive position and decreasing our revenues.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inbound licenses for certain intellectual property that is used internally, and in some cases, utilized in HealthStream’s products or services. While it may be necessary in the future to seek or renew licenses relating to various aspects of our products and services, we believe, based upon past experience and industry practice, such licenses generally can be obtained on commercially reasonable terms. We believe our operations and products and services are not materially dependent on any single license or other agreement with any third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files reports with the SEC, including annual reports on Form 10-K, quarterly reports on Form 10-Q, and other reports from time to time. The SEC maintains an Internet site at http://www.sec.gov that contains the reports, proxy, and other filings made by us electronically. Our website address is www.healthstream.com. Please note that our website address is provided as an inactive textual reference only. We make available, free of charge through our website, our annual report on Form 10-K, quarterly reports on Form 10-Q, current reports on Form 8-K, all amendments to those reports, and other filings made by us with the SEC, as soon as reasonably practicable after such material is electronically filed with or furnished to the SEC. The information provided on our website is not part of this report and is not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1,135 full-time and 19 part-time employees.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developments arising from the COVID-19 pandemic, the Company adopted a hybrid work policy that allows employees to work remotely if they so choose. As of December 31, 2022, approximately 50% of employees worked within a commutable distance from one of the Company's offices, while the remaining 50% did not.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HealthStream’s culture is both exemplified and driven by our Constitution, which is a living document and the lens through which we endeavor to view and shape our actions. Our Constitution is comprised of the Company’s vision statement, values, and business principles. Upon being hired at HealthStream, each employee completes a course on our Constitution, which we view to be an important step in engagement, development, and training of our employees. Our Constitution is available on our website on the Investor Relations page. This and other information on our website is not a part of this Annual Report on Form 10-K and is not incorporated by reference herein.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HealthStream is committed to recruiting, maintaining, and growing a diverse, equitable, and inclusive workforce that helps us live our Constitutional values as we strive to achieve positive results for our shareholders, employees, customers, and community.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labor market for personnel, including technical personnel, continues to be competitive. For additional information regarding risks related to the current competitive labor market, see Item 1A. Risk Factors — “We operate in a challenging market for talent and may fail to attract and retain qualified personnel, including key management personnel.”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current information regarding the executive officers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gridSpan w:val="3"/>
          </w:tcPr>
          <w:p>
            <w:pPr>
              <w:ind w:left="560"/>
              <w:spacing w:after="0"/>
              <w:rPr>
                <w:sz w:val="20"/>
                <w:szCs w:val="20"/>
                <w:color w:val="auto"/>
              </w:rPr>
            </w:pPr>
            <w:r>
              <w:rPr>
                <w:rFonts w:ascii="Arial" w:cs="Arial" w:eastAsia="Arial" w:hAnsi="Arial"/>
                <w:sz w:val="18"/>
                <w:szCs w:val="18"/>
                <w:b w:val="1"/>
                <w:bCs w:val="1"/>
                <w:color w:val="auto"/>
              </w:rPr>
              <w:t>Age</w:t>
            </w:r>
          </w:p>
        </w:tc>
        <w:tc>
          <w:tcPr>
            <w:tcW w:w="7820" w:type="dxa"/>
            <w:vAlign w:val="bottom"/>
            <w:gridSpan w:val="3"/>
          </w:tcPr>
          <w:p>
            <w:pPr>
              <w:ind w:left="300"/>
              <w:spacing w:after="0"/>
              <w:rPr>
                <w:sz w:val="20"/>
                <w:szCs w:val="20"/>
                <w:color w:val="auto"/>
              </w:rPr>
            </w:pPr>
            <w:r>
              <w:rPr>
                <w:rFonts w:ascii="Arial" w:cs="Arial" w:eastAsia="Arial" w:hAnsi="Arial"/>
                <w:sz w:val="18"/>
                <w:szCs w:val="18"/>
                <w:b w:val="1"/>
                <w:bCs w:val="1"/>
                <w:color w:val="auto"/>
              </w:rPr>
              <w:t>Position</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J. Edward Pearson</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7820" w:type="dxa"/>
            <w:vAlign w:val="bottom"/>
            <w:gridSpan w:val="3"/>
          </w:tcPr>
          <w:p>
            <w:pPr>
              <w:ind w:left="30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 Collier</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Executive Vice President, Corporate Strategy and Development</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Michael Sousa</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782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Enterprise Applications</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A. Roberts</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Jeffrey D. Cunningham</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7820" w:type="dxa"/>
            <w:vAlign w:val="bottom"/>
            <w:gridSpan w:val="3"/>
          </w:tcPr>
          <w:p>
            <w:pPr>
              <w:ind w:left="300"/>
              <w:spacing w:after="0"/>
              <w:rPr>
                <w:sz w:val="20"/>
                <w:szCs w:val="20"/>
                <w:color w:val="auto"/>
              </w:rPr>
            </w:pPr>
            <w:r>
              <w:rPr>
                <w:rFonts w:ascii="Arial" w:cs="Arial" w:eastAsia="Arial" w:hAnsi="Arial"/>
                <w:sz w:val="18"/>
                <w:szCs w:val="18"/>
                <w:color w:val="auto"/>
              </w:rPr>
              <w:t>Senior Vice President and Chief Technology Officer</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Trisha L. Coady</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Senior Vice President, Workforce Development Solutions</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M. Scott McQuigg</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7820" w:type="dxa"/>
            <w:vAlign w:val="bottom"/>
            <w:gridSpan w:val="3"/>
          </w:tcPr>
          <w:p>
            <w:pPr>
              <w:ind w:left="300"/>
              <w:spacing w:after="0"/>
              <w:rPr>
                <w:sz w:val="20"/>
                <w:szCs w:val="20"/>
                <w:color w:val="auto"/>
              </w:rPr>
            </w:pPr>
            <w:r>
              <w:rPr>
                <w:rFonts w:ascii="Arial" w:cs="Arial" w:eastAsia="Arial" w:hAnsi="Arial"/>
                <w:sz w:val="18"/>
                <w:szCs w:val="18"/>
                <w:color w:val="auto"/>
              </w:rPr>
              <w:t>Senior Vice President, Digital &amp; Network Development</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O’Hara</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Senior Vice President, Platform Solutions</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Scott Fenstermacher</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0"/>
                <w:szCs w:val="20"/>
                <w:color w:val="auto"/>
              </w:rPr>
            </w:pPr>
          </w:p>
        </w:tc>
        <w:tc>
          <w:tcPr>
            <w:tcW w:w="7820" w:type="dxa"/>
            <w:vAlign w:val="bottom"/>
            <w:gridSpan w:val="3"/>
          </w:tcPr>
          <w:p>
            <w:pPr>
              <w:ind w:left="300"/>
              <w:spacing w:after="0"/>
              <w:rPr>
                <w:sz w:val="20"/>
                <w:szCs w:val="20"/>
                <w:color w:val="auto"/>
              </w:rPr>
            </w:pPr>
            <w:r>
              <w:rPr>
                <w:rFonts w:ascii="Arial" w:cs="Arial" w:eastAsia="Arial" w:hAnsi="Arial"/>
                <w:sz w:val="18"/>
                <w:szCs w:val="18"/>
                <w:color w:val="auto"/>
              </w:rPr>
              <w:t>Senior Vice President, Sales</w:t>
            </w:r>
          </w:p>
        </w:tc>
      </w:tr>
    </w:tbl>
    <w:p>
      <w:pPr>
        <w:spacing w:after="0" w:line="187"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Robert A. Frist, Jr., one of our co-founders, has served as our chief executive officer and chairman of the board of directors since 1990 and served as our president since 2001. On May 15, 2018, following the appointment of Mr. Pearson as the president of the Company, Mr. Frist no longer served in such position. Mr. Frist is the company’s chief operating decision maker. He graduated with a Bachelor of Science in Business with concentrations in Finance, Economics, and Marketing from Trinity University.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 Edward Pearson joined the Company in June 2006 as senior vice president and was promoted to chief operating officer in 2011 and to president on May 15, 2018. He earned a Bachelor of Business Administration in Accounting from Middle Tennessee State University.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Michael M. Collier joined the Company in August 2011 as vice president and general counsel, began serving as the vice president of business development and general counsel shortly thereafter, was promoted to senior vice president in July 2017, and was promoted to executive vice president, corporate strategy and development in April 2022. From August 2011 through the end of 2022, Mr. Collier also served as the Company’s Corporate Secretary. He graduated with bachelors and masters degrees in Philosophy and Religion from University of Tennessee-Knoxville and earned a Juris Doctorate (J.D.) from University of California, Berkeley – School of Law.</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Michael Sousa joined the Company in October 2004 and served as senior vice president of sales from January 2010 to June 2014. In June 2014, he was promoted to senior vice president of business development. In February 2015, he was named president of HealthStream’s Provider Solutions business segment, while continuing to serve as a senior vice president of the Company. As of February 2023, he was promoted to executive vice president, Enterprise Applications. He earned a Bachelor of Science degree from Boston College and a Master of Business Administration from Boston University.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Scott A. Roberts joined the Company in January 2002 and served as vice president of accounting and finance beginning in January 2015, following service in multiple positions to which he was promoted. Thereafter, Mr. Roberts was appointed as interim chief financial officer in February 2019 and was appointed as chief financial officer and senior vice president of the Company in September 2019. He earned a Bachelor of Business Administration degree from Middle Tennessee State University.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Jeffrey D. Cunningham joined the Company in July 2017 as senior vice president and chief technology officer. Prior to joining the Company, he founded and served as chief technology officer and chief strategy officer for Informatics Corporation of America for twelve years. He earned a Bachelor of Science in Computer Science from University of North Texas.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Trisha L. Coady joined the Company in January 2014 and served as associate vice president and subsequently vice president and general manager of clinical development solutions from June 2015 to November 2018. In November 2018, she was promoted to senior vice president and general manager of clinical solutions. Ms. Coady currently serves as senior vice president of workforce development solutions. She earned a Bachelor of Science in Nursing degree from Université de Moncton.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 Scott McQuigg joined the Company in January 2019 as senior vice president of hStream solutions and then served as general manager of scheduling solutions. Mr. McQuigg currently serves as senior vice president of digital &amp; network development. Prior to joining the Company, he co-founded and served as chief executive officer for GoNoodle for thirteen years. Before this role, he co-founded and served as chief executive officer of HealthLeaders.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Kevin O’Hara joined the Company in January 2021 as senior vice president and general manager of platform solutions and currently serves as senior vice president of platform solutions. Prior to joining the Company, he served as chief product officer for Caresyntax for one year and as chief executive officer for Syus, a predecessor entity, for eight years. He earned a Bachelor of Arts in Public Policy Studies and a J.D. from Vanderbilt University.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Scott Fenstermacher joined the Company in 2012 and served as vice president of sales beginning in 2017 and was promoted to senior vice president of sales in January 2021. He graduated from University of Pittsburgh with a Bachelor of Arts and a Bachelor of Science.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the risks and uncertainties described below are the material risks facing the Company as of the date of this Annual Report on Form 10-K. Our business, reputation, financial condition, results of operations, and/or prospects could be materially and adversely affected by the occurrence of any of the following risks and uncertainties. The considerations and risks that follow are organized within relevant headings but may be relevant to other headings as well. Additional risks or uncertainties not presently known to us, or that we currently deem immaterial, also may adversely affect our business, reputation, financial condition, results of operations, and prospects. Therefore, the risk factors below should not be considered a complete list of potential risks we may face. The trading price of our common stock could also decline due to the occurrence of any of the following risks, as well as risks and uncertainties not presently known to us, or that we currently deem immaterial.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U.S. economy, or reductions in information technology spending, could limit our ability to grow our business and negatively affect our operating results.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has recently experienced negative macroeconomic conditions, including significant inflationary pressures, elevated interest rate levels, disruptions to supply networks, and challenging labor market conditions. Continued global economic uncertainty, political conditions, and fiscal challenges in the U.S. and abroad, such as inflation and potential economic recession, have, among other things, limited our ability to forecast future demand for our products and services, contributed to increased volatility in customer demand, and could constrain future access to capital for ourselves, our suppliers, customers, and partners. In this regard, we have recently experienced, and believe that some of our customers have experienced, increased labor, supply chain, capital, and other expenditures associated with current inflationary pressures. Moreover, these conditions impacting the U.S. economy and our customers in the healthcare industry have adversely affected, and may continue to adversely impact, our business and results of operations. In addition, if current economic conditions in the U.S. significantly deteriorate, any such developments could materially and adversely affect our results of operations, financial position, and/or cash flows.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operating results may vary based on the impact of changes in our industry or the economy on us or our clients. The revenue growth and potential profitability of our business depends on demand for our solutions by healthcare providers. We sell our products and services to large, mid-sized, and small organizations whose businesses fluctuate based on general economic and business conditions. In addition, a portion of our revenue is attributable to the number of users of our products at each of our clients, which in turn is influenced by the employment and hiring patterns of our clients and potential clients. To the extent that economic uncertainty or weak economic conditions cause our clients and potential clients to freeze or reduce their headcount or operations, demand for our products may be negatively affected. Moreover, prior economic downturns have resulted in, and current negative macroeconomic conditions may result in, overall reductions in spending by some healthcare providers as well as pressure from clients and potential clients for extended billing terms. If ongoing negative economic conditions persist or deteriorate, our clients and potential clients may elect to decrease their budgets for our solutions by deferring or reconsidering purchases, which would limit our ability to grow our business and negatively affect our operating results.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other economic, regulatory or other developments that adversely or disproportionately impact the healthcare industry may reduce spending on information technology by healthcare organizations and otherwise adversely affect our customer base. Furthermore, the margins of many healthcare providers are modest, and potential decreases in reimbursement for healthcare costs may reduce the overall solvency of our customers or cause further deterioration in their financial or business condition. These developments could reduce our sales or adversely impact the ability of our customers to pay for our products and services.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any reductions in government health care spending in an effort to reduce the U.S. federal deficit could result in reduced demand for our products or additional pricing pressure. Further, there is ongoing uncertainty regarding the federal budget and federal spending levels, including the possible impacts of a failure to increase the “debt ceiling.” Any U.S. government default on its debt could have broad macroeconomic effects. Moreover, any future shutdown of the federal government or failure to enact annual appropriations could adversely affect our financial results due to the reliance of many of our customers on payments from third-party healthcare payors, including Medicare, Medicaid, and other government-sponsored programs.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also could be adversely impacted by catastrophic events (particularly in areas where we have office locations and/or where we have network infrastructure), such as fires, earthquakes, hurricanes, natural disasters, civil unrest, military conflicts or warfare (such as the war in the Ukraine), geographic instability, terrorist attacks, pandemics or other public health emergencies, or the effects of climate change (such as drought, flooding, wildfires, increased storm severity and sea level rise).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effectively execute our business strategy which could have an adverse effect on our business and competitive position in the industry.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additional sales to existing customers, introductions of new products and services, participation in our ecosystem, interoperability and integration with our platform, and maintaining strong relationships with our existing customers. Risks that we may encounter in executing our growth strategy include:</w:t>
      </w:r>
    </w:p>
    <w:p>
      <w:pPr>
        <w:spacing w:after="0" w:line="184"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delays, and difficulties in identifying and developing new products or services and integrating such new products or services into our existing organization;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leverage or evolve our customer and partner facing technology platform and applications;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leverage our operational and financial systems and processes sufficiently to support our growth;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revenue from our products to offset investment costs;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effectively identify, manage, and benefit from existing and emerging market opportunities;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maintain our existing customer relationships;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identify, attract, and retain partners;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maintain our corporate culture;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from new and existing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lengthy sales cycles, or customers delaying purchasing decisions or payments due to economic conditions;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spending by customers within our target markets;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 significant customer, including through acquisitions or consolidations;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negative change in the financial condition or creditworthiness of our customers;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the market for our products and services to grow to a sufficient size or at a sufficient rate;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impact on our customers and our business related to the ongoing impact of the pandemic; and</w:t>
      </w:r>
    </w:p>
    <w:p>
      <w:pPr>
        <w:spacing w:after="0" w:line="225" w:lineRule="exact"/>
        <w:rPr>
          <w:rFonts w:ascii="Arial" w:cs="Arial" w:eastAsia="Arial" w:hAnsi="Arial"/>
          <w:sz w:val="18"/>
          <w:szCs w:val="18"/>
          <w:color w:val="auto"/>
        </w:rPr>
      </w:pPr>
    </w:p>
    <w:p>
      <w:pPr>
        <w:ind w:right="2740" w:firstLine="8"/>
        <w:spacing w:after="0" w:line="563" w:lineRule="auto"/>
        <w:tabs>
          <w:tab w:leader="none" w:pos="648" w:val="left"/>
        </w:tabs>
        <w:numPr>
          <w:ilvl w:val="0"/>
          <w:numId w:val="8"/>
        </w:numPr>
        <w:rPr>
          <w:rFonts w:ascii="Arial" w:cs="Arial" w:eastAsia="Arial" w:hAnsi="Arial"/>
          <w:sz w:val="16"/>
          <w:szCs w:val="16"/>
          <w:color w:val="auto"/>
        </w:rPr>
      </w:pPr>
      <w:r>
        <w:rPr>
          <w:rFonts w:ascii="Arial" w:cs="Arial" w:eastAsia="Arial" w:hAnsi="Arial"/>
          <w:sz w:val="16"/>
          <w:szCs w:val="16"/>
          <w:color w:val="auto"/>
        </w:rPr>
        <w:t>inability to hire sufficient number of qualified employees to execute and support the growth of the Company. If any of these risks are realized, our business, and our competitive position in the industry, could suffer.</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may be unable to effectively execute on our One HealthStream approach of operating and managing the Company on a consolidated, enterprise basis. Our ability to effectively execute this strategy is dependent upon various factors, including our ability to achieve anticipated operational efficiencies and to effectively implement the operational and management changes associated with this strategy without adversely impacting the services we provide. In the event that we are unable to effectively execute on this strategy or are otherwise adversely affected by our shift to having a single reportable segment effective January 1, 2023, our business and financial results may be adversely affected.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our business, and could have material adverse impacts on our business and financial results if public health conditions in the United States significantly deteriorate.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which was first declared to be a national public health emergency by HHS in January 2020, continues to impact economic and public health conditions in the United States. While the COVID-19 pandemic persists and remains a cause of uncertainty and potential volatility, public health conditions related to the pandemic have generally stabilized at the current time in the United States, and the impact of the pandemic on general economic conditions in the United States appears to have decreased.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continue to be uncertainties associated with the COVID-19 pandemic, including with respect to the severity and duration of the pandemic, the availability, acceptance, and sustained efficacy of medical treatments and vaccines (including additional doses of vaccines) with respect to COVID-19, the spread of potentially more contagious and/or virulent forms of the virus, including any variants for which currently available vaccines, treatments, and/or tests may not be effective or authorized, actions that have been and may continue to be taken by governmental authorities and private businesses to mitigate against the impact of the pandemic, and the ongoing impact of the pandemic on healthcare organizations and on economic conditions. Moreover, developments related to the pandemic continue to evolve, and we may be unable to predict or effectively respond to future developments. If public health conditions in the U.S. were to significantly deteriorate, the pandemic could have material adverse impacts on our business and financial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effectively identify, complete, or integrate the operations of acquisitions, joint ventures, collaborative arrangements, or other strategic investments, which would inhibit our ability to execute upon our growth strategy.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our growth strategy, we actively review possible acquisitions, joint ventures, collaborative arrangements, or strategic investments that complement or enhance our business, and we completed two acquisitions in 2022 and two acquisitions in 2021 as part of this growth strategy. However, we may be unable to source or complete future acquisitions, joint ventures, collaborative arrangements, or other strategic investments on acceptable terms or at all.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joint ventures, collaborative arrangements, or strategic investments, our performance or prospects may be seriously harmed. Risks that we may encounter in implementing our acquisition, joint venture, collaborative arrangement, or strategic investment strategies include:</w:t>
      </w:r>
    </w:p>
    <w:p>
      <w:pPr>
        <w:spacing w:after="0" w:line="166" w:lineRule="exact"/>
        <w:rPr>
          <w:sz w:val="20"/>
          <w:szCs w:val="20"/>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delays, or difficulties in identifying and integrating acquired companies or joint venture operations, collaborative arrangements, or other strategic investments into our organization and to otherwise realize expected synergies;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that we may become responsible for substantial contingent or unanticipated liabilities as the result of an acquisition, joint venture, collaborative arrangement, or other strategic investment;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inability to retain key personnel associated with acquired companies, joint ventures, collaborative arrangements, or other strategic investments;</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material customers or contracts and other key business relations associated with acquired companies, joint ventures, collaborative arrangements, or other strategic investments;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other initiatives and/or day-to-day operations to effectively execute our growth strategy;</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incorporation of products associated with acquired companies, joint ventures, collaborative arrangements, or other strategic investments into our product lines;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demands on our operational and informational technology systems which may arise from any such acquired companies or joint venture operations, collaborative arrangements, or other strategic investments;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insufficient internal controls over financial activities or financial reporting at any such acquired company that could impact us on a consolidated basis;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performance of acquired entities, joint ventures, collaborative arrangements, or other strategic investments may have a negative impact on our financial performance; and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inability to generate sufficient revenue, profit, and cash flow from acquisitions, joint ventures, collaborative arrangements, or other strategic investments to offset our investment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although we conduct what we believe to be a prudent level of investigation regarding the operating, financial, and information security conditions of acquired companies, joint ventures, collaborative arrangements, or other strategic investments, an unavoidable level of risk remains regarding the operating performance, financial condition and potential liabilities of, and the information and cyber security risks associated with, these businesses, and we may not be able to fully assess these risks until a transaction has been completed.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which must be assessed for impairment at least annually, or to intangible assets, which are assessed for impairment upon certain triggering events. In the future, if our acquisitions do not yield expected returns, we may be required to take charges to our operating results based on this impairment assessment process, which could harm our operating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equity investments, including partial or complete loss of invested capital, and significant changes in the fair value of these investments could adversely impact our financial results.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invested in, and may continue to invest in, early-to-late stage companies for strategic reasons and to support key business initiatives, and we may not realize a return on our equity investments. Many such companies generate net losses and the market for their products, services, or technologies may be slow to develop or never materialize.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valuations of non-marketable equity investments are inherently complex due to the lack of readily available market data. We may experience additional volatility to our financial results due to changes in market prices of our marketable equity investments, the valuation and timing of observable price changes or impairments of our non-marketable equity investments, including impairments to such investments as a result of current negative macroeconomic conditions, and changes in the proportionate share of earnings and losses or impairment of our equity investments accounted for under the equity method. This volatility could be material to our results in any particular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difficult to predict as the result of lengthy and widely varying sales cycles and other factors.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period from our initial contact with a potential customer and such customer’s first purchase of our solution typically ranges from three to nine months, and in some cases may be significantly longer. Sales of additional solutions to existing customers may also experience sales cycles ranging from three to nine months, or longer. The range in the sales cycle can be impacted by multiple factors, including an increasing trend towards more formal request for proposal processes and more competition within our industry, delays associated with the impact of the pandemic, as well as formal budget timelines which impact timing of purchases by target customers. New products, including those that may compete with or replace our former product offerings, tend to have a longer and more unpredictable revenue ramp period because of varying customer adoption rates. As a result of these factors, our ability to accurately predict the timing and type of initial sales may be limited. Moreover, 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are increasingly diversified and become more sophisticated. Certain professional services contracts are subject to the customers’ involvement in the provision of the product or service. The timing and magnitude of these product and service contracts may vary widely from quarter to quarter and year to year, and thus may affect our ability to accurately forecast our financial performance. In addition, some products can require significant implementation lead times and resources and may require a level of change management efforts from our clients, which may also limit our ability to accurately predict our financial performance. Additionally, our ability to accurately predict our financial performance may be further limited as we expand our revenue generating model such that third parties may pay network connection fees based on sales they make.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competitors and potential competitors have longer operating histories and significantly greater financial, technical, marketing, or other resources than we do. We encounter direct competition from both large and small companies focused on providing solutions that compete with those we offer. Given the profile and growth of the healthcare industry and the ongoing need for training, simulation, scheduling, credentialing, and other information products and services, it is likely that additional competitors will emerge. Additionally, mergers of or other strategic transactions by our competitors could weaken our competitive position. Moreover, our lack of market diversification resulting from our concentration on the healthcare industry may make us susceptible to losing market share to our competitors who also offer solutions, and in some cases a more robust suite of solutions, to a cross-section of industries. These companies may be able to respond more quickly than we can to new or changing opportunities, technologies, standards, or customer requirements. Additionally, given the evolving nature of technology, our technology enabled offerings may be disrupted by innovative or emerging technologies, such as blockchain, Web3, or quantum computing technologies, and such disruption could adversely impact our ability to compete. Further, most of our customer agreements are for terms ranging from one to five years, with no obligation to renew. The terms of these agreements may enable customers to more easily shift to one of our competitors following the expiration of the agreement.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Expanding our business model such that third parties may pay network connection fees in exchange for the ability to deliver their products through our technology platform and have them featured as part of our ecosystem may result in unpredictability and/or harm to the operational and financial performance of our business.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expanded its business model by offering third parties the ability to utilize their sales teams to market and sell their third party products and have such products delivered through the Company’s technology platform, provided such third parties pay a network connectivity fee when such products are sold to customers in our network. Given that these third parties are responsible for their products and the marketing and selling thereof, the Company may not always be able to ensure the operational, financial, or security-related performance or impact of products controlled by a third party. While we have contractual protections with third parties regarding their products, including but not limited to service levels, information security, confidentiality, data rights, and indemnification against certain breaches, these may not be sufficient to ensure the predictability or performance of such products, or potential negative impacts related thereto.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failure to maintain and strengthen our relationships with ecosystem partners or significant changes in the terms of the agreements we have with ecosystem partners may have an adverse impact on our ability to successfully market, sell, and deliver certain product and service offerings.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into contracts with ecosystem partners, including content, application, infrastructure, technology, and retail channel vendors. Our ability to increase the sales of our products and services depends in part upon maintaining and strengthening relationships with these current and future ecosystem partners. Certain ecosystem partners may offer multiple products and services, including, in some instances, products or services which may compete with other products and services we offer. Moreover, under contracts with some of our ecosystem partners, we may be bound by provisions that restrict our ability to market and sell our products and services to certain potential customers. The success of these contractual arrangements will depend in part upon the ecosystem partners’ own competitive, marketing, and strategic considerations, including the relative advantages for such ecosystem partners in using alternative products being developed and marketed by them or our competitors, rather than our products and services.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most of our agreements with ecosystem partners are for initial terms of three or more years. These partners may choose not to renew their agreements with us or may terminate their agreements early if we do not fulfill our contractual obligations. If our partners terminate or fail to renew their agreements with us on as favorable terms, such as through a reduction in our revenue share arrangement, it could result in a reduction in the number of solutions we are able to distribute, declines in the number of subscribers to our platform, and decreased revenues. Some of our agreements with our ecosystem partners are non-exclusive, and our competitors offer, or could offer, solutions that are similar to or the same as those we offer. If our current partners offer or otherwise make available their products and services to users or our competitors on more favorable terms than those offered to us or increase our license fees, our competitive position, revenue, and our profit margins and prospects could be harmed.</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guarantee that we will be able to maintain and strengthen our relationships with ecosystem partners, that we will be successful in effectively integrating or enhancing such partners’ products and technology, including without limitation through our single platform strategy, with, into, or through our own, or that such relationships will be successful in generating additional revenue. If any of these ecosystem partners have negative experiences with our products and services, or seek to amend or terminate the financial or other terms of the contracts or arrangements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could also be subject to claims and liability or related expenses as a result of the activities, products, or services of these ecosystem partners and/or our actual or alleged acts or omissions with regard to these ecosystem partners, which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Furthermore, we are not able to accurately predict the volume or speed with which existing and new customers may adopt such new products and services. Because healthcare technology continues to change and evolve, we may be unable to accurately predict and develop new products, features, content, and other products to address the needs of the healthcare industry. We may not be able to develop such new products, features, content, and other products, in a cost-effective and competitive manner. Further, the new products, services, and enhancements we develop may introduce significant defects into or otherwise negatively impact our technology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and/or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may be adversely affected. Continued growth and maintenance of our customer population is dependent on our ability to continue to provide relevant products and services in a timely manner. The success of our business will depend on our ability to continue providing our products and services as well as enhancing our content, product, and service offerings that address the needs of healthcare organizations in a timely manner.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continue to license our third party software, on which a portion of our product and service offerings rely, or we may experience errors in this software, which could adversely impact our business.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solutions until equivalent technology, if available, is identified, licensed, and integrated. In addition, customers may choose not to renew their agreements with us or to terminate their agreements early if we lose or are unable to maintain licenses to some of our product components. If our customers terminate or fail to renew their agreements with us on as favorable terms, it could result in a reduction in the number of content and solutions we are able to distribute, declines in the number of subscribers to our offerings, and decreased revenues.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derive a substantial portion of our revenues from a relatively small number of customers. A termination or material modification of our agreements with any of our significant customers or a failure of these customers to renew their contracts on favorable terms, or at all, could have an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portion of our business is subject to renewal. Therefore, renewals have a significant impact on our revenue and operating results.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December 31, 2022, approximately 95% of our net revenue was derived from SaaS-based subscriptions and software licensing agreements. Our product and service contracts typically range from one to five years in length, and customers are not obligated to renew their contract with us after their contract term expires; in fact, some customers have elected not to renew their contract, and this risk has increased as the result of current negative macroeconomic conditions and, to a lesser extent, ongoing conditions related to the COVID-19 pandemic. In addition, our customers may renew at a lower price or volume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results of operations and financial condition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optimize our direct sales infrastructure will impede our growth.</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need to optimize our sales infrastructure in order to grow our customer base and our business. Identifying and recruiting qualified personnel and training them in our sales methodology, our sales systems, and the use of our software requires significant time, expense, and attention. Moreover, the current competitive labor market has increased the challenge of recruiting and retaining qualified sales representatives. It can take significant time before our sales representatives are fully trained and productive. Our business may be adversely affected if our efforts to expand and train our direct sales teams do not generate a corresponding increase in revenues. In particular, if we are unable to hire, develop, and retain talented sales personnel or if new direct sales personnel are unable to achieve desired productivity levels in a reasonable period of time, we may not be able to realize the expected benefits of this investment or increase our revenues.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recognize revenue is dependent upon several factors in order for us to implement customers on our subscription-based platform and applications. If customers do not provide us with the information required to complete implementations in a timely manner, our ability to recognize revenue may be delayed, which could adversely impact our operating results. Moreover, some products can require significant implementation lead times and the rate at which customer orders move from backlog to revenue generation in connection with these products may significantly affect the timing of revenue recognition.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year ended December 31, 2022, we recognized approximately 95% of our revenue from customers over the terms of their subscription or software licensing agreements, which generally have contract terms ranging from one to five years. As a result, much of the revenue we report in each quarter is related to subscription or licensing agreements entered into during previous quarters. Consequently, a decline in new or renewed subscription or licensing agreements in any one quarter will not necessarily be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Moreover, as noted above, we generally have contract terms ranging from one to five years, and the fees payable under such contracts are often determined without reference to any increases in the consumer price index or similar inflation-related metric over the term of such contract. As such, particularly for longer term contracts, we may be adversely impacted by inflationary conditions such as those that the U.S. economy is currently experiencing given that the fees that we are receiving during the outstanding term of such contracts will not be impacted by general price increases resulting from inflation whereas such inflationary conditions may increase the amount of labor, capital, and other expenditures we incur in connection with the operation of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may need to raise additional funds for various purposes, including to:</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new or enhance existing products, services, and technology;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finance working capital requirements;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invest in complementary businesses, technologies, content, or products;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effectively execute our growth strategy.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2022, we had approximately $53.9 million in cash, cash equivalents, and marketable securities. We also have up to $65.0 million of availability under our Revolving Credit Facility, subject to certain covenants, which expires in October 2023.</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be assured that if we need additional financing, it will be available on terms favorable to us or at all. Moreover, elevated interest rate levels and current economic uncertainty have led to disruption and volatility in financial and capital markets and could lead to future disruption and/or volatility. Moreover, if elevated interest rate levels persist, this could increase the costs associated with any future financing activities.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Goodwill, identifiable intangible assets, long-lived assets, and strategic investments recorded on our balance sheet may be subject to impairment losses that could reduce our reported assets and earnings.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inherent uncertainties in the estimates, judgments, and assumptions used in assessing recoverability of goodwill, intangible assets, long-lived assets, and strategic investments. Economic, legal, regulatory, competitive, reputational, contractual, and other factors could result in future declines in the operating results of our business units or market values that do not support the carrying value of goodwill, identifiable intangible assets, long-lived assets, and strategic investments. Moreover, the risk of such declines in operating results and market values, and thus, potential goodwill impairment, may be increased by current negative macroeconomic conditions. If the value of our goodwill, intangible assets, long-lived assets, or strategic investments is impaired, accounting principles require us to reduce their carrying value and report an impairment charge, which would reduce our reported assets and earnings for the period in which an impairment is recognized.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healthcare reform efforts and other changes in the healthcare industry that impact us and our clients.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clients are concentrated in the healthcare industry, which is subject to changing regulatory, economic, and political conditions. The U.S. Congress and certain state legislatures have passed or are considering laws and regulations intended to result in major changes to the U.S. healthcare system. The most prominent of these reform efforts, the Patient Protection and Affordable Care Act, as amended by the Healthcare and Education Reconciliation Act of 2010 (collectively, the ACA), was designed to increase access to affordable health insurance for U.S. citizens and improve quality of care, but it also has reduced government program spending and imposed operating costs and changes on many of our clients.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ACA has been, and continues to be, subject to legislative and regulatory changes and court challenges. There is uncertainty regarding whether, when, and how the ACA will be further changed and how the law will be interpreted and implemented, but the current presidential administration has indicated that it generally intends to protect and strengthen the Affordable Care Act. There is also uncertainty regarding whether, when, and what other health reform initiatives will be adopted and the impact of such efforts on the healthcare industry. For example, some members of Congress have proposed significantly expanding the coverage of government-funded programs, while others have proposed reducing them. Examples of reform efforts other than the ACA include the No Surprises Act and federal and state value-based payment initiatives.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industry participants, such as large employer groups and their affiliates, may also introduce financial or delivery system reforms or otherwise intensify competitive pressures. Some of the recent changes in the healthcare industry have driven consolidation, particularly among health insurance providers, which could affect the size of our customer base. Other reforms or industry changes may reduce payments from third party healthcare payers, including Medicare and Medicaid, to our customers.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legal or regulatory developments, as well as other healthcare-related or other developments, that adversely impact the business or financial condition of our clients, could reduce the amount of business we receive from such clients and thus have an adverse effect on our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discover weaknesses in our internal controls over financial reporting, which may adversely affect investor confidence in the accuracy and completeness of our financial reports and consequently the market price of our securities.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404 of the Sarbanes-Oxley Act of 2002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 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make changes in the pricing of our offerings so as to increase revenue and meet the needs of our customers. We cannot predict whether the current pricing of our offerings or any ongoing refinements we make will be accepted by our existing customer base or by prospective customers. If our customers and potential customers decide not to accept our current or future pricing or offerings, it could have an adverse effect on our business and results of operations. Additionally, ecosystem partners establish the price for some of the products we market and sell, and we do not have control over such price setting or customer acceptance thereof or reaction thereto.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adequately develop our systems, processes, and support in a manner that will enable us to meet the demand for our products and services.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provided our online products and services for a significant period of time and continue to expand our ability to provide our solutions on both a subscription and transactional basis over the Internet or otherwise. Our future success will depend on our ability to effectively develop and maintain our infrastructure, including procurement of additional hardware and software, integrate and interoperate with third party systems, and implement the services, including customer support, necessary to meet the demand for our offerings. Our inability from time to time to successfully develop the necessary systems and implement the necessary services on a timely basis may result in our customers experiencing delays, interruptions, and/or errors in their service. Such delays or interruptions may cause customers to become dissatisfied with our service and move to competing providers. If this happens, our reputation, results of operations, and financial condition could be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challenging market for talent and may fail to attract and retain qualified personnel, including key management personnel.</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performance is substantially dependent on the continued services of our management team and our ability to attract, retain, and motivate them. The loss of the services of any of our officers or senior managers, or the inability to attract additional officers or senior managers as appropriate, could harm our business, as we may not be able to find suitable replacements. Moreover, current competitive labor market conditions may make it more difficult for us to attract and retain key management personnel.</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our future success will depend on our ability to attract, train, motivate, and retain other highly skilled technical, managerial, marketing, sales, and customer support personnel. We continue to face competition for certain personnel, especially for software developers, web designers, user experience and interaction designers, and sales personnel, and we may be unable to successfully attract sufficiently qualified personnel where needed. Additionally, current competitive labor market conditions have increased, and may continue to increase, our labor costs as well as the difficulty of hiring and retaining qualified personnel where needed. Moreover, despite our focused efforts to retain employees, including by offering higher levels of compensation in certain instances, we have recently experienced attrition rates within our workforce in excess of historical levels. We have experienced in the past, and continue to experience, difficulty hiring qualified personnel in a timely manner for certain positions, and we may not be able to fill certain positions in desired geographic areas or at all. The pool of qualified technical personnel, in particular, is limited. Many of the companies with which we compete for experienced personnel have greater resources than we have and some of these companies may offer more lucrative compensation packages. We anticipate needing to continue to maintain or 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 and adversely impact our financial performance.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upgrade our hardware and software technology infrastructure quickly enough to effectively meet demand for our services or our operational needs.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must continue to obtain reasonably priced, commercially available hardware, operating software, and hosting services, as well as continue to enhance our software and systems to accommodate the increased use of our platform, the increased content in our library, the expanding amount and type of data we store on behalf of our customers, and the resulting increase in operational demands on our business, including as imposed by new and changing legal and regulatory requirements applicable to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our applications necessarily must integrate with a variety of systems and technologies. As we develop our platform and applications and rely on ever changing and improving technologies, we may be impeded by our customers’ and ecosystem partners’ inability to adopt new technologies and technology standards upon which new platform enhancements may be based.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 unexpected event (including but not limited to a cyber-security incident, such as a ransomware attack, denial-of-service attack, security compromise, or other attempts to misappropriate our confidential information; telecommunications failure; vandalism; fire; earthquake; public health crises; epidemics or pandemics; or other catastrophic loss) at or impacting our Internet service providers’ facilities, our on-site data center facilities, or our public-cloud infrastructure providers, could cause the loss of critical data and prevent us from offering our products and services for an unknown period of time. Our or a third party's disaster recovery planning cannot account for all eventualities, or may not be sufficient to mitigate against or recover from any of these events. We also may incur increased operating expenses to recover data, including ransom payments made to cyber-attackers, repair or remediate systems, equipment or facilities, and to protect ourselves from such disruptions. Moreover, the COVID-19 pandemic may continue to have a significant adverse operational impact on these facilities and/or these providers on which we rely, as such providers continue to navigate their own challenges resulting from their employee base continuing to work remotely and other impacts of the pandemic. In addition, in the remote work environments, the daily activities and productivity of our workforce is now more closely tied to key vendors, such as video conference services, consistently delivering their services without material disruption. Our ability to deliver information using the Internet and to operate in a remote working environment may be impaired because of infrastructure failures, service outages at third party internet providers, malicious attacks or other factors. System downtime could negatively affect our reputation and ability to sell our products and services and may expose us to significant third party claims. Our cyber liability and business interruption insurance may not adequately compensate us for losses that may occur. In addition, we rely on third parties to securely store our archived data, house our infrastructure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financial performance.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 data breach or security incident could result in a loss of confidential data, give rise to remediation and other expenses, expose us to liability under federal and state data protection and data privacy requirements, foreign data privacy regulations, consumer protection laws, common law theories, and other laws, rules and regulations, subject us to litigation and governmental inquiries, damage our reputation, and otherwise adversely impact our business.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collect and store sensitive information, including intellectual property, Protected Health Information (PHI) under HIPAA and other individually identifiable health information, provider credentialing and privileging data, education records, and other sensitive personal information, on our networks. We collect and store data that qualifies as PHI under HIPAA and are directly subject to certain HIPAA privacy and security requirements. In addition, there are a variety of other state, national, foreign, and international laws and regulations that apply to the collection, use, retention, protection, security, disclosure, transfer, and other processing of personal data, such as the Family Educational Rights and Privacy Act (FERPA), California Consumer Privacy Act (CCPA), as modified by the California Privacy Rights Act (CPRA), the Virginia Consumer Data Protection Act (VCDPA), the Colorado Privacy Act (CPA), the Connecticut Data Privacy Act (CTDPA), and the Utah Consumer Privacy Act (UCPA), the European Union’s General Data Protection Regulation (GDPR), the United Kingdom's General Data Protection Regulation (which implements the GDPR into U.K. law), Canada's Personal Information Protection and Electronic Documents Act (PIPEDA), Australia's Privacy 1988, and New Zealand's Privacy Act 2020. Moreover, several other states, as well as federal lawmakers, have proposed additional legislation. Further, many foreign data privacy regulations (including the GDPR) can be more stringent than those in the United States. The laws and regulations to which we are subject are rapidly evolving and changing and could have an adverse effect on our operations. Companies’ obligations and requirements under these laws and regulations are subject to uncertainty in how they may be interpreted by government authorities and regulators. The costs of compliance with, and the other burdens imposed by, these and other laws or regulatory actions may increase our operational costs, affect our customers’ willingness to permit us to use and store personal data, prevent us from selling our products or services, and/or affect our ability to invest in or jointly develop products. We may be exposed to litigation, including through private rights of action, regulatory fines, penalties, or other sanctions and damage to our reputation if the personal, confidential, or proprietary information of our customers is not handled in compliance with these laws or is otherwise mishandled or misused by us or any of our suppliers, ecosystem partners, counterparties, or other third parties, or if such third parties do not have appropriate controls in place to protect such personal, confidential, or proprietary information. We may also face audits or investigations by one or more domestic or foreign government agencies relating to our compliance with these regulations.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secure maintenance of sensitive information is critical to our business operations. As a result, the continued development and enhancement of controls, processes, and practices designed to protect our information systems from attack, damage, or unauthorized access remain a priority for us. If the security measures that we use to protect customer or personal information are ineffective, we may lose users of our services, which could reduce our revenue, tarnish our reputation, and subject us to significant liability. In addition, if our subcontractors, subprocessors, or various other vendors on which we rely fail to use adequate security or data protection processes or use personal date in an unpermitted or improper manner, we may be liable for certain losses and may damage our reputation. Additionally, our costs and efforts associated with obtaining and maintaining certain certifications related to data privacy and protection may also increase, to the extent we are able to obtain or maintain such certifications at all.</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implemented multiple layers of security measures to protect confidential data that we collect and store through technology, processes, and our people, and our defenses are monitored and routinely tested internally and by external parties. We rely, in part,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Moreover, advanced new attacks that may be directed at us or our third party vendors create risk of cybersecurity incidents, including ransomware, malware, and phishing incidents. We may also be subject to attacks in which malicious actors seek to, and potentially succeed in, exploiting our products or services as a vector to compromise the security or integrity of our customers, partners, or vendors. Further, the audit processes, penetration and vulnerability testing, and controls used within our production platforms may not be sufficient to identify and prevent errors or deliberate misuse. In addition, our software, databases, and servers may contain vulnerabilities or irregularities that lead to computer viruses, physical or electronic attacks, and similar disruptions. We may be at increased risk because we outsource certain services or functions to, or have systems that interface with, third parties. Our contracts with service providers typically require them to implement and maintain adequate security controls, but we may not have the ability to effectively monitor these security measures. As a result, inadequacies of the third party security controls may not be detected until after a security breach has occurred. For example, third party IT vendors may not provide us with fixes or updates to hardware or software in a manner as to avoid an unauthorized loss, access, or disclosure of data or to address a known vulnerability, which may subject us to known threats and cause system failures or disruptions. Third party vendors that store or have access to our data may not have effective controls, processes, or practices to protect our information from attack, damage, or unauthorized access. These risks may be heightened in connection with employees and service providers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computing devices that are outside of our network environment and subject to their own security risk. A breach or attack affecting any of these third parties could harm our business. We cannot assure that we can prevent all security breaches.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Like many organizations, we have experienced data and cyber incidents from time to time in the course of our business and have handled those incidents in accordance with our internal policies and our understanding of applicable laws. In the future, data breaches or security incidents could result from a variety of circumstances and events, including third party action or inaction, system errors or downtime, employee negligence or error, malfeasance,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including those against our vendors and customers. Data incidents could result in interruptions, delays, loss, access, misappropriation, and disclosure or corruption of data which could damage our reputation and could otherwise adversely impact our business. Moreover, in the current threat environment, cyberattacks have become increasingly frequent, sophisticated, and difficult to detect, and we may not be able to anticipate, prevent, or detect all such attacks. Also in the current environment, it has become increasingly prevalent for malicious actors to target vendors, such as ourselves, as a means through which to gain unauthorized access to the systems and sensitive information of organizations such as healthcare providers, which comprise our primary customer base. There can be no assurance that we will not be subject to data incidents that bypass our security measures, result in loss of confidential information, or disrupt our information systems or business. In addition, data and cyber incidents, particularly if a large number of individuals are affected or if the compromised information is highly sensitive, could expose us and our customers to liability under privacy, security, and consumer protection laws, such as HIPAA, FERPA, CCPA, CPRA, and foreign data privacy regulations or litigation under these or other laws, including common law theories. In addition, such incidents could subject us to federal and state governmental inquiries or enforcement, require us to devote significant management resources to address the problems created by such events, interfere with the pursuit of other important business strategies, and/or cause us to incur additional expenditures, which could be material, including to investigate such events, remedy cybersecurity problems, recover lost data, and adapt systems and practices in response to such events. Moreover, our cyber liability and business interruption insurance may not adequately compensate us for losses that may occur.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we have acquired a number of companies, products, services, and technologies in recent years. Although we devote significant resources to address any security issues with respect to such acquisitions, we still may inherit additional security risks when we integrate those companies within HealthStream. Moreover, if a high-profile security breach occurs with respect to an industry peer, our customers and potential customers may lose trust in the security of our solutions in general.</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threats to confidential information continue to evolve and increase, we may be required to continue to expend significant resources to maintain, modify, or enhance our internal processes, governance, or protective measures, or to investigate and remediate any security vulnerabilities.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experience errors or omissions in our software products or processes, including those that deliver credentialing, privileging, and payer enrollment services for our healthcare customers and those that administer and report on healthcare facility performance, and these errors could result in action taken against us that could harm our business.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Hospitals and medical practices use our credentialing, privileging, and payer enrollment software to manage, validate, and maintain their providers’ and other staff credentials and authorization to practice in a particular facility and to maintain authorization to perform care covered by insurance providers. In some instances, we rely on sources outside the Company for information that we use in our credentialing and privileging products. If errors or omissions occur that inaccurately validate or invalidate the credentials of a provider or staff, or improperly deny or authorize a provider or staff to practice in a hospital or medical practice, these errors or omissions could result in litigation brought against us either by our customers, the provider or staff member, or other interested parties. For example, an important element in a malpractice case brought against a hospital or other provider could be the validation of proper credentialing for the provider, and any errors or omissions in our products that provide these services could subject us to claims. Further, a list of providers’ privileges may be made available to the general public by hospitals and medical practices, and errors in credentialing and privileging may result in damage to the hospital, medical practice, or provider. We may also be required to indemnify against such claims and defending against any such claims could be costly and time-consuming and could negatively affect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Content, and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may subject us to investigation, litigation, or liability or require us to change the way we do business.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and regulations that govern our business change rapidly and in certain respects have become, and may continue to become, more complex and restrictive. Evolving areas of law that are relevant to our business include privacy and security laws (as discussed above), proposed encryption laws, content regulation, information security accountability regulation, sales and use tax laws, and regulations and attempts to regulate activities on the Internet. For example, we are directly subject to certain requirements of the HIPAA privacy and security regulations. In addition, we are required through business associate agreements with our customers to protect the privacy and security of certain personal and health related information. Further, government laws and regulations that directly affect our customers can have an indirect impact on our business. We may also be required to develop features, enhancements, or modifications to our products to support our customers’ evolving compliance obligations. This may require us to divert development and other resources from other areas, incur significant expenditures, or, if we are unsuccessful in delivering these features, enhancements, or modifications, result in monetary damages, loss of revenue or customers, reputational harm, or other adverse impacts to our business.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lose sales from existing or potential customers or incur significant expenses if states impose or assess sales and use taxes on our services to a greater degree than is currently the case or we inherit potential state sales and use tax compliance issues in connection with acquisitions we may make from time to time. A successful assertion by one or more states that we should collect sales or uses taxes on the sale of our services to a greater degree than is our current practice could result in substantial tax liabilities for past sales, decrease our ability to compete on pricing with other vendors, and otherwise harm our business. Each state has different rules and regulations governing sales and use taxes, and these rules and regulations are subject to varying interpretations that may change over time. There can be no assurance that we will not be subject to sales and use taxes or related interest or penalties for past sales in states where we believe we are not subject to such taxes.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income and other taxes in the United States as well as in those states and foreign jurisdictions in which we do business. Changes in federal tax laws applicable to U.S. corporations and/or other laws, or interpretations of tax laws by taxing authorities or other standard setting bodies, could increase our tax obligations and adversely impact our results of operations. Additionally, we may be subject to taxes and tax laws in foreign jurisdictions where we do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rapidly evolving and uncertain regulatory and technology environment could require us to change how we do business or incur additional costs. It may be difficult to predict how changes to these laws and regulations might affect our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strive to adhere our practices and procedures to the laws that are applicable to our business, they are subject to evolving rules and regulations, interpretations, and regulator discretion. A regulator or court could disagree with our interpretation of these laws. Failure to comply with applicable legal or regulatory requirements in the U.S. or in any of the countries in which we operate could result in significant legal and financial exposure, damage to our reputation, subject us to contractual penalties (including termination of our customer agreements), adversely affect our ability to retain clients and attract new clients, or otherwise have a material adverse effect on our business operations,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reduction or change in the regulation of continuing education and training in the healthcare industry may adversely affect our business.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portion of 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and ANCC. The failure to maintain status as an accredited provider of educational and other services could have a detrimental effect on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sold or made available by us.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be liable to third parties for the content sold or made available by us if the text, graphics, software, or other content therein violates copyright, trademark, or other intellectual property rights, if our ecosystem partners violate their contractual obligations to others by providing content that we sell or make available, or if the content is inaccurate, incomplete, or does not conform to accepted standards of care in the healthcare profession. Further, we may be liable to these ecosystem partners if we allow access or release and lose control of their intellectual property stored on our platform either due to security issues or through improper release to customers who have not paid for access to such intellectual property. We attempt to minimize these types of liabilities by requiring representations and warranties relating to our intellectual property partners’ ownership of the rights to distribute as well as the accuracy of their intellectual property. We also take measures to review this intellectual property ourselves. Although our agreements with our ecosystem partners in most instances contain provisions providing for indemnification by the ecosystem partners in the event of inaccurate intellectual property, our ecosystem partners may not have the financial resources to meet these indemnification obligations. Alleged liability could harm our business by damaging our reputation, requiring us to incur legal costs in defense, exposing us to awards of damages and costs, and diverting management’s attention away from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Protection of certain intellectual property may be difficult and costly, and our inability to protect our intellectual property could reduce the value of our products and services or reduce our competitive advantage.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our efforts to protect our intellectual property rights, as well as the intellectual property rights of our ecosystem partners, a third party could, without authorization, copy or otherwise misappropriate our content, information from our databases, or other intellectual property, including that of our third party ecosystem partners. Our agreements with employees, consultants, and others who participate in development activities could be breached and result in our trade secrets becoming known. Alternatively, competitors and other third parties may independently develop or create content or systems that do not infringe our intellectual property rights.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could be harmed if unauthorized parties infringe upon or misappropriate our intellectual property, proprietary systems, content, platform, applications, services, or other information or the intellectual property of our ecosystem partners. Our efforts to protect our intellectual property through copyright, trademarks, trade secrets, patents, and other forms of protection, as well as our efforts to protect the intellectual property of our ecosystem partners,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 We also have certain contractual obligations to protect the intellectual property of our ecosystem partners and could be required to indemnify such ecosystem partners if we do not adequately provide such protections.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has been substantial litigation in the software services and healthcare technology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 acceptable to us, if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infringing the intellectual property rights of others.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competitors may develop similar intellectual property, duplicate our offerings, or design around any patents or other intellectual property rights we hold.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and our ecosystem partners, especially as the number of our competitors grows. These claims, even if not meritorious, could be expensive and divert our attention from operating our company and result in a temporary inability to use the intellectual property subject to such claim. In addition, if we, our ecosystem partners, and/or our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 source software in our products, which could subject us to litigation or other actions.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open source software in our products and may use more open source software in the future. From time to time, there have been claims challenging the ownership of open source software against companies that incorporate it into their products. As a result, we could be subject to 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to the public. If we inappropriately use open source software, we may be required to re-engineer our products, discontinue the sale of our products, or take other remedial actions.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sources of data might restrict our use of or refuse to license data, which could adversely impact our ability to provide certain products or services.</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the data that we use is either purchased or licensed from third parties or public records or is obtained from our customers for specific customer engagements. We believe that we have all rights necessary to use the data that is incorporated into our products and services. However, if new laws or regulations impose restrictions on our use of the data or regulators’ or courts’ interpretations result in restrictions of the data that we currently use in our products and services, or a large number of data providers withdraw their data from us, our ability to provide our products and fulfill our contractual obligations to our customers could be materially adversely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arising from our international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our acquisition of ANSOS, which was completed in December 2020, we have international offices and/or operations in several countries outside of the United States, including Canada, Australia, and New Zealand. Conducting our business internationally, particularly with expansion into countries in which we have limited experience, subjects us to a variety of risks that that we do not necessarily face to the same degree in the U.S. These risks include, among others:</w:t>
      </w:r>
    </w:p>
    <w:p>
      <w:pPr>
        <w:spacing w:after="0" w:line="187" w:lineRule="exact"/>
        <w:rPr>
          <w:sz w:val="20"/>
          <w:szCs w:val="20"/>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or differences in regulatory requirements, including with respect to taxes, trade laws, tariffs, export quotas, custom duties, or other trade restrictions;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relating to data privacy and security, cross-border data transfers, and the unauthorized use of, or access to, commercial and personal information;</w:t>
      </w:r>
    </w:p>
    <w:p>
      <w:pPr>
        <w:spacing w:after="0" w:line="17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penalties or other adverse consequences for violations of anti-corruption, anti-bribery, and other similar laws and regulations, including the U.S. Foreign Corrupt Practices Act;</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supporting and localizing our products;</w:t>
      </w:r>
    </w:p>
    <w:p>
      <w:pPr>
        <w:spacing w:after="0" w:line="252"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unrest and/or changes in a specific country’s or region’s social, political, legal, health, or economic conditions or other geopolitical developments (such as developments arising from the ongoing conflict between Russia and Ukraine and increasing tensions between China and Taiwan);</w:t>
      </w:r>
    </w:p>
    <w:p>
      <w:pPr>
        <w:spacing w:after="0" w:line="183"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controls, policies, benefits, and compliance programs;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regarding the interpretation and enforceability of legal requirements, including limited or unfavorable intellectual property protection and the enforceability of contract rights;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with companies or other services that may understand local markets better than we do;</w:t>
      </w:r>
    </w:p>
    <w:p>
      <w:pPr>
        <w:spacing w:after="0" w:line="25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 associated with implementing and maintaining adequate internal controls;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health guidelines, and safety protocols in foreign jurisdictions related to the pandemic;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repatriation of earnings.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for a third party to acquire our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Tennessee corporate law and our charter and bylaws contain provisions that could delay, defer, or prevent a change in control of our company or our management. These provisions could also discourage proxy contests and make it more difficult for you and other shareholders to elect directors and take other corporate actions. These provisions in our organizational documents:</w:t>
      </w:r>
    </w:p>
    <w:p>
      <w:pPr>
        <w:spacing w:after="0" w:line="184" w:lineRule="exact"/>
        <w:rPr>
          <w:sz w:val="20"/>
          <w:szCs w:val="20"/>
          <w:color w:val="auto"/>
        </w:rPr>
      </w:pPr>
    </w:p>
    <w:p>
      <w:pPr>
        <w:ind w:left="980" w:right="2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us to issue "blank check" preferred stock, which is preferred stock that can be created and issued by the board of directors, without prior shareholder approval, with rights senior to those of common stock;</w:t>
      </w:r>
    </w:p>
    <w:p>
      <w:pPr>
        <w:spacing w:after="0" w:line="17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for a staggered board of directors comprised of three classes such that it would take three successive annual meetings to replace all directors;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 shareholder action by written consent;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not provide shareholders with the right to call a special shareholders meeting; and</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advance notice requirements for submitting nominations for election to the board of directors and for proposing matters that can be acted upon by shareholders at a meeting.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are subject to certain provisions of Tennessee law which limit, in some cases, our ability to engage in certain business combinations or transactions with significant shareholders.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pay dividends or to pay dividends at the same rate as announced in February 2023.</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20, 2023, we announced that our board of directors approved a dividend policy under which we intend to pay quarterly cash dividends on our common stock, at an initial rate of $0.025 per share per fiscal quarter. Our payment of dividends, as well as the rate at which we pay dividends, is subject to the discretion of our board of directors and compliance with applicable legal requirements and our credit agreement, and our board of directors retains the power to modify, suspend, or cancel our dividend policy in any manner and at any time that our board may deem necessary or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office is located in Nashville, Tennessee, which is primarily used to support our workforce solutions operations and corporate functions. Our lease for approximately 92,000 square feet at this location will end in October 2031. As of December 31, 2022, we leased other facilities in Nashville, Tennessee; San Diego, California; Boulder, Colorado; and Christchurch, New Zealand.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Common Equity, Related Stockholder Matters and Issuer Purchases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“HSTM”. Our common stock began trading on the Nasdaq National Market on April 14,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17, 2023, the Company had a total of 13,197 shareholders, including 1,264 registered holders and 11,933 beneficial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announcement of our dividend policy on February 20, 2023, as further described below, the only time in our history when we had declared and paid a dividend was when we declared a $1.00 per common share special cash dividend in connection with the proceeds received from the divestiture of our Patient Experience business unit in 2018, which dividend was paid on April 3, 2018 to shareholders of record on March 6, 2018.</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20, 2023, we announced that our board of directors approved a dividend policy under which we intend to pay quarterly cash dividends on our common stock, at an initial rate of $0.025 per share per fiscal quarter. We also announced that our board has declared the initial quarterly dividend under the new policy in the amount of $0.025 per share, which will be payable on April 28, 2023 to the holders of record of all of the issued and outstanding shares of common stock as of the close of business on April 17, 2023.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dividend policy and the declaration and payment of each quarterly cash dividend will be subject to our board’s continuing determination that the policy and the declaration of dividends thereunder are in the best interests of our stockholders and are in compliance with applicable law and our credit agreement. Our board retains the power to modify, suspend, or cancel the dividend policy in any manner and at any time that our board may deem necessary or appropriate.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the table labeled Securities Authorized for Issuance Under Equity Compensation Plans to be contained in our 2023 Proxy Statement, incorporated by reference in Part III, Item 12 of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graph below matches HealthStream, Inc.'s cumulative 5-year total shareholder return on common stock with the cumulative total returns of the NASDAQ Composite index, the NASDAQ Computer &amp; Data Processing index, and the Dow Jones US Software TSM index. The graph tracks the performance of a $100 investment in our common stock and in each index (with the reinvestment of all dividends) from 12/31/2017 to 12/31/2022.</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comparisons in the graph below are based on historical data and are not necessarily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176530</wp:posOffset>
            </wp:positionV>
            <wp:extent cx="6069330" cy="5040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933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12/17</w:t>
            </w:r>
          </w:p>
        </w:tc>
        <w:tc>
          <w:tcPr>
            <w:tcW w:w="5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12/18</w:t>
            </w: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12/19</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12/20</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12/21</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12/22</w:t>
            </w:r>
          </w:p>
        </w:tc>
      </w:tr>
      <w:tr>
        <w:trPr>
          <w:trHeight w:val="210"/>
        </w:trPr>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HealthStream, Inc.</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100.00</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108.59</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122.30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98.20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118.53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111.69</w:t>
            </w: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4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100.00</w:t>
            </w:r>
          </w:p>
        </w:tc>
        <w:tc>
          <w:tcPr>
            <w:tcW w:w="5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97.16</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132.81</w:t>
            </w:r>
          </w:p>
        </w:tc>
        <w:tc>
          <w:tcPr>
            <w:tcW w:w="4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192.47</w:t>
            </w:r>
          </w:p>
        </w:tc>
        <w:tc>
          <w:tcPr>
            <w:tcW w:w="4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235.15</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158.65</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NASDAQ Computer &amp; Data Processing</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91.84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125.86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184.56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234.05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144.30</w:t>
            </w:r>
          </w:p>
        </w:tc>
      </w:t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Dow Jones US Software TSM</w:t>
            </w:r>
          </w:p>
        </w:tc>
        <w:tc>
          <w:tcPr>
            <w:tcW w:w="4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100.00</w:t>
            </w:r>
          </w:p>
        </w:tc>
        <w:tc>
          <w:tcPr>
            <w:tcW w:w="5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117.57</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170.77</w:t>
            </w:r>
          </w:p>
        </w:tc>
        <w:tc>
          <w:tcPr>
            <w:tcW w:w="4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252.15</w:t>
            </w:r>
          </w:p>
        </w:tc>
        <w:tc>
          <w:tcPr>
            <w:tcW w:w="4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332.21</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221.98</w:t>
            </w:r>
          </w:p>
        </w:tc>
      </w:tr>
    </w:tbl>
    <w:p>
      <w:pPr>
        <w:spacing w:after="0" w:line="183"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30, 2021, the Company announced a share repurchase program authorized by the Company’s Board of Directors under which the Company may purchase up to $20.0 million of its common stock. This share repurchase program concluded on March 8, 2022</w:t>
      </w:r>
      <w:r>
        <w:rPr>
          <w:rFonts w:ascii="Arial" w:cs="Arial" w:eastAsia="Arial" w:hAnsi="Arial"/>
          <w:sz w:val="17"/>
          <w:szCs w:val="17"/>
          <w:i w:val="1"/>
          <w:iCs w:val="1"/>
          <w:color w:val="auto"/>
        </w:rPr>
        <w:t>,</w:t>
      </w:r>
      <w:r>
        <w:rPr>
          <w:rFonts w:ascii="Arial" w:cs="Arial" w:eastAsia="Arial" w:hAnsi="Arial"/>
          <w:sz w:val="17"/>
          <w:szCs w:val="17"/>
          <w:color w:val="auto"/>
        </w:rPr>
        <w:t xml:space="preserve"> when the maximum dollar amount authorized under the program was expended. Under this program, the Company repurchased a total of 853,023 shares through open market purchases at an aggregate value of $20.0 million, reflecting an average price per share of $23.45 (excluding the cost of broker commissions). During 2022 the Company repurchased 649,739 shares of common stock pursuant to this share repurchase program at an aggregate fair value of $14.9 million, reflecting an average price per share of $22.92 (excluding the cost of broker commissions).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14, 2022, the Company announced an expansion of the share repurchase program authorized by the Company’s Board of Directors under which the Company may purchase up to an additional $10.0 million of its common stock. Pursuant to this authorization, repurchases may be made in the open market, including under a Rule 10b5-1 plan, through privately negotiated transactions, or otherwise. Under this program, during 2022 the Company repurchased 402,050 shares of common stock at an aggregate fair value of $8.1 million, reflecting an average price per share of $20.19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is scheduled to terminate on the earlier of March 13, 2023 or when the maximum dollar amount has been expended.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activity under the stock repurchase plan for the three months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(d) Maximum</w:t>
            </w:r>
          </w:p>
        </w:tc>
      </w:t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 Total number of</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approximate dollar</w:t>
            </w:r>
          </w:p>
        </w:tc>
      </w:t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shares (or units)</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value) of shares (or</w:t>
            </w:r>
          </w:p>
        </w:tc>
      </w:t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purchased as part</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units) that may yet</w:t>
            </w:r>
          </w:p>
        </w:tc>
      </w:tr>
      <w:tr>
        <w:trPr>
          <w:trHeight w:val="216"/>
        </w:trPr>
        <w:tc>
          <w:tcPr>
            <w:tcW w:w="418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 Total number of</w:t>
            </w:r>
          </w:p>
        </w:tc>
        <w:tc>
          <w:tcPr>
            <w:tcW w:w="1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 Average price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of publicly</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 purchased under</w:t>
            </w:r>
          </w:p>
        </w:tc>
      </w:tr>
      <w:tr>
        <w:trPr>
          <w:trHeight w:val="216"/>
        </w:trPr>
        <w:tc>
          <w:tcPr>
            <w:tcW w:w="418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(or units)</w:t>
            </w: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paid per share (or</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announced plans or</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the plans or</w:t>
            </w: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unit)(1)</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programs</w:t>
            </w:r>
          </w:p>
        </w:tc>
        <w:tc>
          <w:tcPr>
            <w:tcW w:w="100" w:type="dxa"/>
            <w:vAlign w:val="bottom"/>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Month #1 (October 1 - October 31)</w:t>
            </w: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1,880,642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Month #2 (November 1 - November 30)</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1,880,642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Month #3 (December 1 - December 31)</w:t>
            </w:r>
          </w:p>
        </w:tc>
        <w:tc>
          <w:tcPr>
            <w:tcW w:w="160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1,880,642</w:t>
            </w:r>
          </w:p>
        </w:tc>
      </w:tr>
      <w:tr>
        <w:trPr>
          <w:trHeight w:val="20"/>
        </w:trPr>
        <w:tc>
          <w:tcPr>
            <w:tcW w:w="418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ind w:left="14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1,880,642</w:t>
            </w:r>
          </w:p>
        </w:tc>
      </w:tr>
      <w:tr>
        <w:trPr>
          <w:trHeight w:val="20"/>
        </w:trPr>
        <w:tc>
          <w:tcPr>
            <w:tcW w:w="4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820" w:hanging="27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weighted average price paid per share of common stock does not include the cost of broker commissions.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discussion of the financial condition and results of operations of HealthStream should be read in conjunction with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the risks described under Risk Factors and elsewhere in this report, as well as additional risks or uncertainties not presently known to us or that we currently deem immaterial.</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discussion addresses our 2022 and 2021 results and year-to-year comparisons between 2022 and 2021. A discussion of year-to-year comparisons between 2021 and 2020 can be found in our Annual Report on Form 10-K for the fiscal year ended December 31, 2021, filed with the SEC on February 28, 2022, under Part II, Item 7, Management’s Discussion and Analysis of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HealthStream provides primarily SaaS based applications for healthcare organizations—all designed to improve business and clinical outcomes by supporting the people who deliver patient care. We are focused on helping healthcare organizations meet their ongoing clinical development, talent management, training, education, assessment, competency management, safety and compliance, scheduling, and provider credentialing, privileging, and enrollment needs.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is managed and organized around our single platform strategy, also referred to as our One HealthStream approach. At the center of this single platform strategy is our hStream technology platform. By enabling our applications through a common technology platform known as hStream, we believe that stand-alone applications, which already provide a powerful value proposition on their own, are beginning to leverage each other to more efficiently and effectively empower our customers to manage their businesses and improve their outcomes.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and executive leadership are shaped by the organizing principle of a single platform. Through this principle, we endeavor to recognize operational efficiencies, simplify our branding, and delayer our management structure. For example, HealthStream is in the process of discontinuing the use of the separate brand “VerityStream,” which has been used synonymously with the Provider Solutions segment. Consistent with our One HealthStream approach, all branding and contracting are being consolidated at the enterprise-level for the full array of the Company’s offerings. Additionally, HealthStream’s Credentialing and Scheduling have been merged into a newly formed solutions group combining both into what will be referred to as “Enterprise Applications” solutions.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organizing HealthStream’s business under a single platform strategy will result in certain operational efficiencies across the Company, including as a result of a reduction of 33 job roles during the first quarter of 2023, many of which job roles were duplicative as a result of several areas of consolidation. We expect to incur, partially in the first quarter and partially in the second quarter of 2023, approximately $0.8 million of severance charges in the aggregate as a result of such job reductions. We also expect to realize other operational efficiencies as a result of this strategy through new departmental-level consolidations, a matrix management model across all solutions, and a reduction of several infrastructure expenses.</w:t>
      </w:r>
    </w:p>
    <w:p>
      <w:pPr>
        <w:sectPr>
          <w:pgSz w:w="11900" w:h="16838" w:orient="portrait"/>
          <w:cols w:equalWidth="0" w:num="1">
            <w:col w:w="11240"/>
          </w:cols>
          <w:pgMar w:left="320" w:top="125" w:right="339" w:bottom="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To provide executive-level leadership of our One HealthStream approach, updates in the Company’s management team have been made as well. Michael J. Sousa has been promoted to Executive Vice President, Enterprise Applications, having most recently served as Senior Vice President, HealthStream and President, VerityStream. Additionally, Scott McQuigg has been named Senior Vice President, Digital &amp; Network Development, having most recently served as Senior Vice President &amp; General Manager, Scheduling Solutions. In his new role, Mr. McQuigg is focused on, among other things, advancing the Company’s business-to-professional channel.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Through the year ended December 31, 2022, HealthStream’s products, services, and operations were organized and managed under two business segments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Workforce Solutions and Provider Solutions. As indicated in the Company’s Annual Report on Form 10-K for the year ended December 31, 2021, and in subsequent Quarterly Reports on Form 10-Q, we have been in the process of more completely unifying our Company under a single platform strategy that will serve as the foundation for the entire enterprise.</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2023, our efforts to streamline the Company around a consolidated, enterprise approach reached an inflection point such that Workforce Solutions and Provider Solutions are no longer separate operating or separate reportable segments. The Company’s business is now organized and managed through this consolidated, enterprise approach, including with regard to technology, operations, accounting, internal reporting (including the nature of information reviewed by our key decision makers), organizational structure, compensation, performance assessment, and resource allocation.</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2023 and future results, a one reportable segment reporting approach will be applicable, such that the Company intends to present financial information on a single segment basis beginning with the Quarterly Report on Form 10-Q to be filed for the three months ending March 31, 2023. However, for purposes of reporting 2022 and prior period results, the two reportable segment paradigm of Workforce Solutions and Provider Solutions remains applicable, and as such this Annual Report on Form 10-K presents separate segment-level information for these two business segments.</w:t>
      </w:r>
    </w:p>
    <w:p>
      <w:pPr>
        <w:spacing w:after="0" w:line="1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Unrelated to the streamlining and consolidation efforts discussed above, the Company’s President and Chief Operating Officer, J. Edward (“Eddie”) Pearson will resign from his current role effective June 30, 2023. After that point, he plans to continue serving the Company as an Executive-in-Residence. In this role, he will focus on mentoring, coaching, and teaching the Company’s employees. During his 16-year tenure with the Company, Mr. Pearson has overseen all manner of operations.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Board of Directors has approved a dividend policy under which the Company intends to pay a quarterly cash dividend on our common stock, at an initial rate of $0.025 per share per fiscal quarter. Under the new dividend policy, the Board of Directors declared the first quarterly dividend of $0.025 per share, which will be payable on April 28, 2023 to holders of record of all of the issued and outstanding shares of common stock as of the close of business on April 17, 2023. This marks the first quarterly cash dividend policy adopted by the Company.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HealthStream's business continues to evolve, we remain solely dedicated to the healthcare market and our primary customers continue to be healthcare organizations and other participants in the healthcare industry. Beginning in 2023, we now serve the healthcare market and our customers as a single platform company, consistent with the single segment presentation approach noted above.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Revenues for the year ended December 31, 2022 were $266.8 million, compared to $256.7 million for the year ended December 31, 2021, an increase of 4%. Revenues were positively impacted from recent acquisitions (detailed below) in the amount of $3.9 million, net of deferred revenue write-downs where applicable, coupled with growth in other workforce and provider revenues of $9.6 million. The contributions from recent acquisitions and growth in other revenues more than offset the decline of $3.4 million from the legacy resuscitation products. Gross margins improved to 65.8% during 2022, compared to 64.5% in 2021. Operating income increased by 55% to $12.4 million for 2022, compared to $8.1 million for 2021. Net income increased to $12.1 million for 2022, compared to $5.8 million for 2021. Earnings per share were $0.39 per share (diluted) for 2022, compared to $0.18 per share (diluted) for 2021. Revenues from Workforce Solutions increased by 4%, or $8.1 million, and revenues from Provider Solutions grew by 4%, or $2.0 million. As of December 31, 2022, the Company had approximately 5.54 million contracted subscriptions to hStream, our Platform-as-a-Service technology which characterizes our single platform approach, compared to 5.04 million contract subscriptions at December 31, 2021. During 2022, the Company deployed capital to fund one acquisition, CloudCME, for a purchase price equal to approximately $4.0 million in cash and $4.1 million in shares of HealthStream's common stock issued through a private placement at closing. The purchase consideration paid for the second acquisition completed during 2022, eeds, was included in accrued liabilities in the Consolidated Balance Sheet as of December 31, 2022 as the result of the fact that the purchase price consideration was transferred in January 2023. The Company also repurchased approximately $23.0 million of common stock under its share repurchase programs. As of December 31, 2022, cash and investment balances approximated $53.9 million, and the Company maintained full availability under its $65.0 million revolving credit facility.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beginning of 2021, we have completed four acquisitions. We acquired ComplyALIGN in January 2021 and substantially all of the assets of Rievent in December 2021. In May 2022, we acquired the remaining ownership interest of CloudCME, and in December 2022 we acquired substantially all of the assets of eeds. For additional information regarding acquisitions, please see Note 8 of the Consolidated Financial Statements included elsewhere in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CURRENT ECONOMIC CONDITIONS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COVID-19 pandemic persists and continues to cause uncertainty and potential economic volatility, including with regard to the pandemic’s various and unpredictable impacts on our healthcare customers and our business. However, the impact of the pandemic itself on public health and economic conditions appears to have significantly lessened and normalized since its height in 2020 and 2021, potentially to the point of reaching an endemic stage.</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is focused on providing solutions to healthcare organizations, and as such the pandemic’s adverse impact on healthcare organizations resulted in an adverse impact on our Company. We believe that certain developments related to the pandemic negatively impacted our business in 2021 and to a lesser extent in 2022. In particular, sales cycles were delayed or postponed such that declines in sales bookings by customers since the beginning of the pandemic resulted in a negative impact to revenue and earnings in 2022, and will likely continue to result in a negative impact (to a lesser extent) to revenue and earnings in 2023 and potentially thereafter. Earlier in the pandemic, such impacts on our healthcare organization customers were more frequently associated with the need to focus on providing critical care to pandemic victims and the negative economic impact many of our healthcare organization customers experienced from being forced to temporarily reduce or discontinue services, like elective surgeries, from which they derive revenue. More recently, such impacts on healthcare customers appear to be associated with the cessation of or significant reduction in governmental funds such customers have received or anticipate receiving as the result of federal stimulus and relief measures that have been or will likely soon be reduced or discontinued, including the Public Health Emergency Fund, the Paycheck Protection Program, and the Provider Relief Fund.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closely monitor developments related to the pandemic that may have an adverse impact on our operational and financial performance. We remain prepared to modify our operating approaches to address further pandemic-related developments as they may arise.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conditions in the U.S. continue to be challenging in various respects, including as the result of ongoing inflationary pressures, elevated interest rate levels, disruptions to global supply networks, and challenging labor market conditions. In this regard, we have experienced, and believe that some of our customers have experienced, increased labor, supply chain, capital, and other expenditures associated with current inflationary pressures and labor market conditions. These conditions impacting the U.S. economy and our customers in the healthcare industry have adversely affected, and may continue to adversely impact,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management has identified the following critical accounting policies for the areas that are materially impacted by estimates and assumptions.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are recognized when control of the promised goods or services is transferred to the customer in an amount that reflects the consideration the Company expects to be entitled in exchange for transferring those goods or services. Our 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within the contract. Judgment is required in determining whether performance obligations are distinct, standalone selling prices, and the amount of variable consideration to reflect as transaction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We assess the realizability of our deferred tax assets, and to the extent that we believe a recovery is not likely, we establish a valuation allowance to reduce the deferred tax asset to the amount we estimate will be recoverable. As of December 31, 2022, the Company established a valuation allowance of $1.9 million for the portion of its deferred tax assets that are not more likely than not expected to be realized, compared to a valuation allowance of $2.0 million as of December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in a business combination over the fair value of the net identifiable assets acquired. We evaluate goodwill for impairment at the reporting unit level by assessing whether it is more likely than not that the fair value of a reporting unit exceeds its carrying value. If this assessment concludes that it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during the fourth quarter each year. The cash flow estimates and discount rates incorporate management’s best estimates, using appropriate and customary assumptions and projections at the date of evaluation. For 2022, our qualitative assessment indicated that the fair value of our reporting units substantially exceeded their carrying values such that a quantitative assessment was not necessary.</w:t>
      </w:r>
    </w:p>
    <w:p>
      <w:pPr>
        <w:sectPr>
          <w:pgSz w:w="11900" w:h="16838" w:orient="portrait"/>
          <w:cols w:equalWidth="0" w:num="1">
            <w:col w:w="11240"/>
          </w:cols>
          <w:pgMar w:left="320" w:top="125" w:right="33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for our Workforce Solutions business segment primarily consist of the following products and services: provision of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our platform, learning management applications, a variety of training and development content subscriptions, staff scheduling software solutions, competency tools, training, implementation and onboarding, and consulting services to serve professionals that work within healthcare organizations. Revenues for our Provider Solutions business segment are generated from our proprietary software and SaaS-based applications to help facilitate provider credentialing, privileging, and enrollment administration for healthcare organizations.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products and services generating revenues are increasingly oriented around and derive value in relation to our hStream technology platform. Their descriptions are otherwise expected to remain generally consistent during 2023 despite the elimination of Workforce Solutions and Providers Solutions as separate reporting segments for reportable periods beginning as of January 2023.</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(excluding depreciation and amortization) consist primarily of salaries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stock-based compensation, employee travel and lodging, materials, contract labor, hosting costs, third party software licensing costs, and other direct expenses associated with revenues, as well as royalties paid by us to content providers. Personnel costs within cost of revenues are associated with individuals that facilitate product delivery, provide services, handle customer support calls or inquiries, manage the technology infrastructure for our applications, manage content, and provide training or implementation services.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consists primarily of salaries and employee benefits, contract labor, stock-based compensation,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travel and lodging, costs associated with the development of new software feature enhancements, new products, third party software licensing costs, and costs associated with maintaining and developing our products. Personnel costs within product development include our systems teams, application development, quality assurance teams, product managers, and other personnel associated with software and product development.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consist primarily of salaries and employee benefits, commissions, stock-based compensation, employee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and lodging, third party software licensing costs, advertising, trade shows, customer conferences, promotions, and related marketing costs. Personnel costs within sales and marketing include our sales teams and marketing personnel.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expenses, office expenses, fees for professional services, business development and acquisition-related costs, third party software licensing costs, and other operational expenses. Personnel costs within general and administrative expenses include individuals associated with normal corporate functions (accounting, legal, business development, human resources, administrative, internal information systems, and executive management).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and amortization of capitalized software development.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Other Income (Loss), Net. </w:t>
      </w:r>
      <w:r>
        <w:rPr>
          <w:rFonts w:ascii="Arial" w:cs="Arial" w:eastAsia="Arial" w:hAnsi="Arial"/>
          <w:sz w:val="16"/>
          <w:szCs w:val="16"/>
          <w:color w:val="auto"/>
        </w:rPr>
        <w:t>The primary components of other income is interest income related to interest earned on cash and cash equivalents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marketable securities. The primary component of other expense is interest expense related to our revolving credit facility. In addition, the income or loss attributed to equity method investments and fair value adjustments related to non-marketable equity investments is included in this category.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Compared to 2021</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$10.1 million, or 4%, to $266.8 million for 2022 from $256.7 million for 2021. At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5.54 million contracted subscriptions to hStream, our Platform-as-a-Service technology which characterizes our single platform approach, as compared to 5.04 million contracted subscriptions at December 31, 2021. A comparison of revenues by business segment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Revenues by Business Segment:</w:t>
            </w:r>
          </w:p>
        </w:tc>
        <w:tc>
          <w:tcPr>
            <w:tcW w:w="1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2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213,589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205,443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53,237</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51,269</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4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266,826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256,712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Workforce Solutions</w:t>
            </w:r>
          </w:p>
        </w:tc>
        <w:tc>
          <w:tcPr>
            <w:tcW w:w="3860" w:type="dxa"/>
            <w:vAlign w:val="bottom"/>
          </w:tcPr>
          <w:p>
            <w:pPr>
              <w:jc w:val="right"/>
              <w:ind w:right="610"/>
              <w:spacing w:after="0"/>
              <w:rPr>
                <w:sz w:val="20"/>
                <w:szCs w:val="20"/>
                <w:color w:val="auto"/>
              </w:rPr>
            </w:pPr>
            <w:r>
              <w:rPr>
                <w:rFonts w:ascii="Arial" w:cs="Arial" w:eastAsia="Arial" w:hAnsi="Arial"/>
                <w:sz w:val="18"/>
                <w:szCs w:val="18"/>
                <w:color w:val="auto"/>
              </w:rPr>
              <w:t>80%</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80%</w:t>
            </w: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Provider Solutions</w:t>
            </w:r>
          </w:p>
        </w:tc>
        <w:tc>
          <w:tcPr>
            <w:tcW w:w="3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Revenues for Workforce Solutions, which are primarily subscription-based, increased $8.1 million, or 4%, to $213.6 million in 2022 from $205.4 million in 2021. Revenues from recent acquisitions contributed to the year-over-year growth of approximately $3.9 million, net of deferred revenue write-downs, while growth from other solutions accounted for an additional $7.6 million compared to last year. Partially offsetting this revenue growth were reductions from our legacy resuscitation products, which were $0.1 million for 2022 compared to $3.5 million for 2021, a decrease of $3.4 million.</w:t>
      </w:r>
    </w:p>
    <w:p>
      <w:pPr>
        <w:spacing w:after="0" w:line="16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Revenues for Provider Solutions increased $2.0 million, or 4%, to $53.2 million for 2022 from $51.3 million for 2021. Revenue growth in 2022 was primarily attributable to new subscription revenues but was partially offset by lower revenues from professional services.</w:t>
      </w:r>
    </w:p>
    <w:p>
      <w:pPr>
        <w:spacing w:after="0" w:line="170"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$0.1 million to $91.1 million for 2022 from $91.0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2021. Cost of revenues as a percentage of revenues was 34% and 35% of revenues for 2022 and 2021, respectively</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Cost of revenues for Workforce Solutions decreased $1.6 million to $72.5 million and approximated 34% and 36% of revenues for Workforce Solutions for 2022 and 2021, respectively. The decrease is primarily attributable to a lower royalties payable by us related to legacy resuscitation products, consistent with the reduction in these revenues, and lower stock-based compensation in 2022 compared to 2021, which is due to the stock awards granted during the three months ended December 31, 2021 in connection with the contribution of stock by our chief executive officer to enable such grants. The decrease was partially offset by higher cloud hosting costs and expenses associated with recent acquisitions. Cost of revenues for Provider Solutions increased $1.7 million to $18.6 million and approximated 35% and 33% of Provider Solutions revenues for 2022 and 2021, respectively. The increase is primarily associated with an increase in personnel costs, cloud hosting, and software costs, partially offset by lower stock-based compensation related to stock awards granted during the three months ended December 31, 2021 as noted above.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$2.6 million, or 6%, to $44.3 million for 2022 from $41.7 million for 2021.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as a percentage of revenues were 17% and 16% of revenues for 2022 and 2021, respectively.</w:t>
      </w:r>
    </w:p>
    <w:p>
      <w:pPr>
        <w:spacing w:after="0" w:line="17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Product development expenses for Workforce Solutions increased $1.9 million to $37.3 million and approximated 17% of revenues for Workforce Solutions for both 2022 and 2021. The increase in amount is primarily due to an increase in personnel costs, partially related to recent acquisitions, and contract labor, but was partially offset by an increase in labor capitalized for internally developed software and lower stock-based compensation related to stock awards granted during the three months ended December 31, 2021 as noted above. Product development expenses for Provider Solutions increased $0.7 million to $7.0 million and approximated 13% and 12% of revenues for Provider Solutions for 2022 and 2021, respectively. The increase is primarily due to an increase in personnel costs, but was partially offset by an increase in labor capitalized for internally developed software.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$4.7 million, or 12%, to $44.1 million for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$39.5 million for 2021. Sales and marketing expenses were 17% and 15% of revenues for 2022 and 2021,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Sales and marketing expenses for Workforce Solutions increased $4.5 million to $35.9 million and approximated 17% and 15% of revenues for Workforce Solutions for 2022 and 2021, respectively. The increase is primarily associated with increases in personnel and related costs, sales commissions, software costs, and travel, but was partially offset by lower stock-based compensation as a result of the stock awards granted during the three months ended December 31, 2021 as noted above. Sales and marketing expenses for Provider Solutions increased $0.5 million to $7.2 million and approximated 14% and 13% of revenues for Provider Solutions for 2022 and 2021, respectively. The increase in amount is primarily due to increases in personnel costs, software costs, and travel expenses. The unallocated corporate portion of sales and marketing expenses decreased $0.3 million to $1.0 million for 2022 compared to 2021 due to reductions in personnel costs.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$2.8 million, or 7%, to $36.9 million for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$39.7 million for 2021. Other general and administrative expenses as a percentage of revenues were 14% and 15% of revenues for 2022 and 2021, respectively.</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general and administrative expenses for Workforce Solutions decreased $3.5 million to $8.6 million and approximated 4% and 6% of revenues for Workforce Solutions for 2022 and 2021, respectively. The decrease is primarily associated with lower transition service costs associated with prior acquisitions, including with regard to the end of our transition services agreement with Change Healthcare, which related to our acquisition of the Scheduling and Capacity Management products from Change Healthcare which was consummated during 2020, reductions in facilities costs associated with closing certain leased satellite offices, and a decrease in contract labor. Other general and administrative expenses for Provider Solutions increased $0.3 million to $3.9 million and approximated 7% of revenues for Provider Solutions for both 2022 and 2021. The increase in amount is primarily due to increases in personnel costs. The unallocated corporate portion of other general and administrative expenses increased $0.4 million to $24.4 million for 2022 from $24.0 million for 2021. The increase is primarily due to increased personnel costs, software expenses, and employee recruitment expenses over the prior year.</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$1.1 million, or 3%, to $37.9 million for 2022 from $36.8 million for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resulted from higher amortization of capitalized software.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Other Income (Loss), Net</w:t>
      </w:r>
      <w:r>
        <w:rPr>
          <w:rFonts w:ascii="Arial" w:cs="Arial" w:eastAsia="Arial" w:hAnsi="Arial"/>
          <w:sz w:val="18"/>
          <w:szCs w:val="18"/>
          <w:color w:val="auto"/>
        </w:rPr>
        <w:t>. Other income (loss), net was income of $3.1 million for 2022 compared to a loss of $0.3 million for 2021. The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 result of the $2.7 million gain recorded upon the sale of a non-marketable equity investment during the year ended December 31, 2022 as well as the $0.9 million gain recorded due to the change in fair value of our previously held minority interest in CloudCME that was remeasured upon acquiring the remaining ownership interest of CloudCME during the year ended December 31, 2022.</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$3.5 million and $1.9 million for 2022 and 2021,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effective tax rate was 22% for 2022 compared to 25% for 2021. The Company's effective tax rate primarily reflects the statutory corporate income tax rate, the net effect of state taxes, foreign income taxes, and the effect of various permanent tax differences. During the year ended December 31, 2022, the Company recorded discrete tax expense of $0.6 million, which included tax expense related to uncertain tax positions and changes in state tax rates. During the year ended December 31, 2021, the Company recorded discrete tax expense of $0.5 million, which included changes in state tax rates enacted during the period and lower research and development tax credits recognized than previously estimated.</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$6.2 million, or 107%, to $12.1 million for 2022 compared to $5.8 million for 2021. Earnings per diluted share were</w:t>
      </w:r>
      <w:r>
        <w:rPr>
          <w:rFonts w:ascii="Arial" w:cs="Arial" w:eastAsia="Arial" w:hAnsi="Arial"/>
          <w:sz w:val="18"/>
          <w:szCs w:val="18"/>
          <w:i w:val="1"/>
          <w:iCs w:val="1"/>
          <w:color w:val="auto"/>
        </w:rPr>
        <w:t xml:space="preserve"> </w:t>
      </w:r>
      <w:r>
        <w:rPr>
          <w:rFonts w:ascii="Arial" w:cs="Arial" w:eastAsia="Arial" w:hAnsi="Arial"/>
          <w:sz w:val="18"/>
          <w:szCs w:val="18"/>
          <w:color w:val="auto"/>
        </w:rPr>
        <w:t>$0.39 per share (diluted) for 2022, compared to $0.18 per share (diluted) for 2021.</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Adjusted EBITDA increased 1% to $53.4 million for 2022 compared to $52.7 million for 2021. The increase resulted from the factors mentioned above. Adjusted EBITDA is a non-GAAP financial measure which we define as net income excluding the impact of the deferred revenue write-downs associated with fair value accounting for acquired businesses and before interest, income taxes, stock-based compensation, depreciation and amortization, changes in fair value of, including gains (losses) on the sale of, non-marketable equity investments, and the de-recognition of non-cash expense resulting from the PTO expense reduction in the first quarter of 2021. See "Reconciliation of Non-GAAP Financial Measures" below for a reconciliation of this calculation to the most comparable measure under U.S. GAAP and information regarding why this non-GAAP financial measure provides useful information to investors.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utilizes the following key financial and non-financial metrics in connection with managing our business.</w:t>
      </w:r>
    </w:p>
    <w:p>
      <w:pPr>
        <w:spacing w:after="0" w:line="252" w:lineRule="exact"/>
        <w:rPr>
          <w:sz w:val="20"/>
          <w:szCs w:val="20"/>
          <w:color w:val="auto"/>
        </w:rPr>
      </w:pPr>
    </w:p>
    <w:p>
      <w:pPr>
        <w:jc w:val="both"/>
        <w:ind w:left="500" w:hanging="492"/>
        <w:spacing w:after="0" w:line="313"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Revenues, net</w:t>
      </w:r>
      <w:r>
        <w:rPr>
          <w:rFonts w:ascii="Arial" w:cs="Arial" w:eastAsia="Arial" w:hAnsi="Arial"/>
          <w:sz w:val="16"/>
          <w:szCs w:val="16"/>
          <w:color w:val="auto"/>
        </w:rPr>
        <w:t>. Revenues, net, reflect income generated by the sales of goods and services related to our operations and reflect deferred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write-downs associated with fair value accounting for acquired businesses. Revenues, net, were $266.8 million for the year ended December 31, 2022 compared to $256.7 million for the year ended December 31, 2021. Management utilizes revenue in connection with managing our business and believes that this metric provides useful information to investors as a key indicator of the growth and success of our products.</w:t>
      </w:r>
    </w:p>
    <w:p>
      <w:pPr>
        <w:spacing w:after="0" w:line="160" w:lineRule="exact"/>
        <w:rPr>
          <w:rFonts w:ascii="Arial" w:cs="Arial" w:eastAsia="Arial" w:hAnsi="Arial"/>
          <w:sz w:val="16"/>
          <w:szCs w:val="16"/>
          <w:color w:val="auto"/>
        </w:rPr>
      </w:pPr>
    </w:p>
    <w:p>
      <w:pPr>
        <w:jc w:val="both"/>
        <w:ind w:left="500" w:hanging="492"/>
        <w:spacing w:after="0" w:line="283"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Adjusted EBITDA</w:t>
      </w:r>
      <w:r>
        <w:rPr>
          <w:rFonts w:ascii="Arial" w:cs="Arial" w:eastAsia="Arial" w:hAnsi="Arial"/>
          <w:sz w:val="17"/>
          <w:szCs w:val="17"/>
          <w:color w:val="auto"/>
        </w:rPr>
        <w:t>. Adjusted EBITDA, calculated as set forth below under “Reconciliation of Non-GAAP Financial Measures,” is utilized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many investors to assess the Company’s ongoing results from operations. Additionally, short-term cash incentive bonuses and certain performance-based equity award grants are based on the achievement of adjusted EBITDA (as defined in applicable bonus and equity grant documentation) targets. Adjusted EBITDA was $53.4 million for the year ended December 31, 2022, compared to $52.7 million for the year ended December 31, 2021.</w:t>
      </w:r>
    </w:p>
    <w:p>
      <w:pPr>
        <w:spacing w:after="0" w:line="195" w:lineRule="exact"/>
        <w:rPr>
          <w:rFonts w:ascii="Arial" w:cs="Arial" w:eastAsia="Arial" w:hAnsi="Arial"/>
          <w:sz w:val="17"/>
          <w:szCs w:val="17"/>
          <w:color w:val="auto"/>
        </w:rPr>
      </w:pPr>
    </w:p>
    <w:p>
      <w:pPr>
        <w:jc w:val="both"/>
        <w:ind w:left="500" w:hanging="492"/>
        <w:spacing w:after="0" w:line="26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hStream Subscriptions</w:t>
      </w:r>
      <w:r>
        <w:rPr>
          <w:rFonts w:ascii="Arial" w:cs="Arial" w:eastAsia="Arial" w:hAnsi="Arial"/>
          <w:sz w:val="18"/>
          <w:szCs w:val="18"/>
          <w:color w:val="auto"/>
        </w:rPr>
        <w:t>. hStream subscriptions are determined as the number of subscriptions under contract for hStream. Our management utilizes</w:t>
      </w:r>
      <w:r>
        <w:rPr>
          <w:rFonts w:ascii="Arial" w:cs="Arial" w:eastAsia="Arial" w:hAnsi="Arial"/>
          <w:sz w:val="18"/>
          <w:szCs w:val="18"/>
          <w:i w:val="1"/>
          <w:iCs w:val="1"/>
          <w:color w:val="auto"/>
        </w:rPr>
        <w:t xml:space="preserve"> </w:t>
      </w:r>
      <w:r>
        <w:rPr>
          <w:rFonts w:ascii="Arial" w:cs="Arial" w:eastAsia="Arial" w:hAnsi="Arial"/>
          <w:sz w:val="18"/>
          <w:szCs w:val="18"/>
          <w:color w:val="auto"/>
        </w:rPr>
        <w:t>hStream subscriptions in connection with managing our business and believes this metric provides useful information to investors as a measure of our progress in growing the value of our customer base. At December 31, 2022, we had approximately 5.54 million contracted subscriptions to hStream compared to 5.04 million as of December 31, 2021.</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no longer considers operating income to be a key business metric, taking into account that, among other things, management believes that revenue and adjusted EBITDA (as highlighted above) rather than operating income are the most important financial metrics in connection with managing our business, that the Company no longer provides guidance in its earnings releases regarding operating income, and that the Company no longer utilizes operating income as a metric in connection with the Company’s short-term cash incentive bonus awards or performance-based equity awards payable to the Company’s executive officers and other employees.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This report presents adjusted EBITDA, which is a non-GAAP financial measure used by management in analyzing our financial results and ongoing operational performance.</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order to better assess the Company’s financial results, management believes that net income excluding the impact of the deferred revenue write-downs associated with fair value accounting for acquired businesses and before interest, income taxes, stock-based compensation, depreciation and amortization, changes in fair value of, including gains (losses) on the sale of, non-marketable equity investments, and the de-recognition of non-cash expense resulting from the paid time off expense reduction in the first quarter of 2021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also believe that adjusted EBITDA is useful to investors to assess the Company’s ongoing operating performance and to compare the Company’s operating performance between periods. Additionally, short-term cash incentive bonuses and certain performance-based equity awards are based on the achievement of adjusted EBITDA (as defined in applicable bonus and equity grant documentation) targets.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noted above, the definition of adjusted EBITDA includes an adjustment for the impact of the deferred revenue write-downs associated with fair value accounting for acquired businesses.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When the Company was required to record a write-down of deferred revenue, it resulted in lower recognized revenue, operating income, and net income in subsequent periods. Revenue for any such acquired business was deferred and was typically recognized over a one-to-two year period following the completion of any particular acquisition, so our GAAP revenues for this one-to-two year period would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businesses acquired prior to the January 1, 2022 effective date of the Company's adoption of ASU 2021-08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 Following the adoption of ASU 2021-08, contracts acquired in an acquisition completed on or after January 1, 2022 are measured as if the Company had originated the contract (rather than the contract being measured at fair value) such that, for such acquisitions, the Company no longer records deferred revenue write-downs associated with acquired businesses (for acquisitions completed prior to January 1, 2022, the Company continues to record deferred revenue write-downs associated with fair value accounting for periods on and after January 1, 2022 consistent with past practice). At the current time, the Company intends to continue to include an adjustment in the definition of adjusted EBITDA for the impact of deferred revenue write-downs from business acquired prior to January 1, 2022 given the ongoing impact of such deferred revenue on our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and should not be considered as a measure of financial performance under GAAP. Because adjusted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EBITDA is not a measurement determined in accordance with GAAP, adjusted EBITDA is susceptible to varying calculations. Accordingly, adjusted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EBITDA, as presented, may not be comparable to other similarly titled measures of other companies and has limitations as an analytical tool.</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non-GAAP financial measure should not be considered as a substitute for, or superior to, measures of financial performance which are prepared in accordance with U.S. GAAP.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adjusted EBITDA to the most directly comparable GAAP measure (net income) for the years ended December 31, 2022 and 2021, is set forth below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12,091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revenue write-down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5,303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37,945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paid time off expense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53,443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52,684</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Net cash provided by operating activities was $51.2 million during 2022, compared to $42.4 million during 2021, an increase of 21%. The increase resulted from higher cash collections compared to the prior year. The number of days sales outstanding (DSO) was 46 days for 2022 compared to 50 days for 2021. The Company calculates DSO by dividing the average accounts receivable balance (excluding unbilled and other receivables) by average daily revenues for the year.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cash used in investing activities was $28.4 million during 2022, compared to $25.7 million during 2021. During 2022, the Company paid $3.9 million in cash (plus shares issued by the Company in a private placement), net of cash acquired, for the acquisition of CloudCME (note: the eeds was acquisition was consummated on December 31, 2022, but was funded in January 2023 such that the purchase price for eeds did not impact net cash used in investing activities during the year ended December 31, 2022), and on a net basis paid $0.1 million upon settling post-closing adjustments related to the ComplyALIGN and Rievent acquisitions which closed during 2021 (resulting in a net cash outflow of $4.0 million), invested in marketable securities of $13.5 million, made payments for capitalized software development of $23.3 million, and purchased property and equipment of $1.8 million. These uses of cash were partially offset by $10.6 million in maturities of marketable securities and $3.5 million in proceeds from the sale of non-marketable equity investments. During 2021, the Company acquired two businesses, ComplyALIGN and Rievent, for a combined $5.9 million in cash, and on a net basis received $1.2 million of proceeds upon settling post-closing adjustments related to the ANSOS and ShiftWizard acquisitions which closed during 2020 (resulting in a net cash outflow of $4.7 million), invested in marketable securities of $5.2 million, made payments for capitalized software development of $21.9 million, purchased property and equipment of $3.4 million, and invested $1.8 million in non-marketable equity investments. These uses of cash were partially offset by $9.9 million in maturities of marketable securities and $1.4 million in proceeds from the sale of non-marketable equity investments.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Cash used in financing activities was $23.7 million during 2022, compared to $6.2 million during 2021. The primary uses of cash in financing activities during 2022 included $23.1 million for repurchases of common stock and $0.6 million for payments of payroll taxes related to stock-based compensation. During 2021, the primary use of cash in financing activities included $5.0 million for repurchases of common stock and $1.2 million for payments of payroll taxes related to stock-based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Our balance sheet reflected negative working capital of $2.8 million at December 31, 2022, compared to positive working capital of $6.5 million at</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December 31, 2021. The decrease in working capital was primarily due to increases in current deferred revenue, accrued liabilities (including $6.6 million for the acquisition of eeds), and accounts payable. The Company’s primary source of liquidity was $53.9 million of cash and cash equivalents and marketable securities as of December 31, 2022. The Company also has a $65.0 million revolving credit facility loan agreement, all of which was available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at December 31, 2022. For additional information regarding our revolving credit facility, see Note 13 to the Company’s Consolidated Financial Statements included elsewhere in this report.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November 30, 2021, the Company announced a share repurchase program authorized by the Company’s Board of Directors under which the Company may purchase up to $20.0 million of its common stock. This share repurchase program concluded on March 8, 2022</w:t>
      </w:r>
      <w:r>
        <w:rPr>
          <w:rFonts w:ascii="Arial" w:cs="Arial" w:eastAsia="Arial" w:hAnsi="Arial"/>
          <w:sz w:val="17"/>
          <w:szCs w:val="17"/>
          <w:i w:val="1"/>
          <w:iCs w:val="1"/>
          <w:color w:val="auto"/>
        </w:rPr>
        <w:t>,</w:t>
      </w:r>
      <w:r>
        <w:rPr>
          <w:rFonts w:ascii="Arial" w:cs="Arial" w:eastAsia="Arial" w:hAnsi="Arial"/>
          <w:sz w:val="17"/>
          <w:szCs w:val="17"/>
          <w:color w:val="auto"/>
        </w:rPr>
        <w:t xml:space="preserve"> when the maximum dollar amount authorized under the program was expended. Under this program, the Company repurchased a total of 853,023 shares through open market purchases at an aggregate value of $20.0 million, reflecting an average price per share of $23.45 (excluding the cost of broker commissions). During 2022 the Company repurchased 649,739 shares of common stock pursuant to this share repurchase program at an aggregate fair value of $14.9 million, reflecting an average price per share of $22.92 (excluding the cost of broker commissions).</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March 14, 2022, the Company announced an expansion of the share repurchase program authorized by the Company’s Board of Directors under which the Company may purchase up to an additional $10.0 million of its common stock. Pursuant to this authorization, repurchases may be made in the open market, including under a Rule 10b5-1 plan, through privately negotiated transactions, or otherwise. Under this program, during 2022 the Company repurchased 402,050 shares of common stock at an aggregate fair value of $8.1 million, reflecting an average price per share of $20.19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is scheduled to terminate on the earlier of March 13, 2023 or when the maximum dollar amount has been expended.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February 20, 2023, we announced that our board of directors approved a dividend policy under which we intend to pay quarterly cash dividends on our common stock, at an initial rate of $0.025 per share per fiscal quarter. We also announced that our board has declared the initial quarterly dividend under the new policy in the amount of $0.025 per share, which will be payable on April 28, 2023 to the holders of record of all of the issued and outstanding shares of common stock as of the close of business on April 17, 2023.</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dividend policy and the declaration and payment of each quarterly cash dividend will be subject to our board’s continuing determination that the policy and the declaration of dividends thereunder are in the best interests of our stockholders and are in compliance with applicable law and our credit agreement. Our board retains the power to modify, suspend, or cancel the dividend policy in any manner and at any time that our board may deem necessary or appropriate</w:t>
      </w:r>
    </w:p>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Company's contractual obligations arising in the normal course of business primarily consist of operating lease obligations and purchase obligations. The amounts included as contractual obligations represent the non-cancelable portion of agreements or the minimum cancellation fee. As further discussed in Note 14 to the Company's Consolidated Financial Statements, as of December 31, 2022, we had operating lease obligations of approximately $33.4 million, of which $4.3 million is expected to be paid within 12 months. The Company's purchase obligations that represent non-cancelable contractual obligations primarily relate to information technology assets and our revolving credit facility, which facility is described further in Note 13 to the Company's Consolidated Financial Statements. As of December 31, 2022, the Company had purchase obligations of $7.0 million, with $4.0 million expected to be paid within 12 months. We believe that our existing cash and cash equivalents, marketable securities, cash generated from operations, and available borrowings under our revolving credit facility will be sufficient to meet anticipated working capital needs, new product development, effect any share repurchases we may elect to make, pay our quarterly cash dividend as noted above, and capital expenditures for at least the next 12 months and for the foreseeable future thereafter.</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 revolving credit facility would be dependent on the covenant values at the time of borrowing. As of December 31, 2022, the Company was in compliance with all covenants. There can be no assurance that amounts available for borrowing under our revolving credit facility will be sufficient to consummate any possible acquisitions, and we cannot be assured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In October 2021, the Financial Accounting Standards Board issued Accounting Standards Update ("ASU") 2021-08,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Contract Assets and Contract Liabilities from Contracts with Customers. </w:t>
      </w:r>
      <w:r>
        <w:rPr>
          <w:rFonts w:ascii="Arial" w:cs="Arial" w:eastAsia="Arial" w:hAnsi="Arial"/>
          <w:sz w:val="17"/>
          <w:szCs w:val="17"/>
          <w:color w:val="auto"/>
        </w:rPr>
        <w:t>The new guidance requires contract assets and contract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acquired in a business combination to be recognized and measured by the acquirer on the acquisition date in accordance with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if it had originated the contracts. This approach differs from the previous requirement to measure contract assets and contract liabilities acquired in a business combination at fair value. The standard is effective for the first interim period within annual reporting periods beginning after December 15, 2022 and early adoption is permitted. The Company early adopted this ASU on January 1, 2022 and the impact of the new standard is dependent on the magnitude of future acquisitions but has not had a material impact to date. The standard does not impact contract assets or liabilities from business combinations that occurred prior to the adoption date.</w:t>
      </w:r>
    </w:p>
    <w:p>
      <w:pPr>
        <w:sectPr>
          <w:pgSz w:w="11900" w:h="16838" w:orient="portrait"/>
          <w:cols w:equalWidth="0" w:num="1">
            <w:col w:w="11240"/>
          </w:cols>
          <w:pgMar w:left="320" w:top="112"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is exposed to market risk from changes in interest rates, foreign currency risk, and investment risk. We do not have any material commodity price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2022,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$53.9 million at December 31, 2022. Assuming a hypothetical 10% decrease in interest rates, interest income from cash and investments would decrease on an annualized basis by approximately $0.1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4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including Canadian dollar, New Zealand dollar, and Australian dollar. Increases and decreases in our foreign-denominated revenue from movements in foreign exchange rates are often partially offset by the corresponding decreases or increases in our foreign-denominated operating expenses.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94"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060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38"/>
        </w:trPr>
        <w:tc>
          <w:tcPr>
            <w:tcW w:w="1060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2"/>
          </w:tcPr>
          <w:p>
            <w:pPr>
              <w:jc w:val="center"/>
              <w:ind w:right="3080"/>
              <w:spacing w:after="0"/>
              <w:rPr>
                <w:sz w:val="20"/>
                <w:szCs w:val="20"/>
                <w:color w:val="auto"/>
              </w:rPr>
            </w:pPr>
            <w:r>
              <w:rPr>
                <w:rFonts w:ascii="Arial" w:cs="Arial" w:eastAsia="Arial" w:hAnsi="Arial"/>
                <w:sz w:val="18"/>
                <w:szCs w:val="18"/>
                <w:b w:val="1"/>
                <w:bCs w:val="1"/>
                <w:color w:val="auto"/>
              </w:rPr>
              <w:t>HEALTHSTREAM, INC.</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40" w:type="dxa"/>
            <w:vAlign w:val="bottom"/>
            <w:gridSpan w:val="4"/>
          </w:tcPr>
          <w:p>
            <w:pPr>
              <w:jc w:val="center"/>
              <w:ind w:right="2520"/>
              <w:spacing w:after="0"/>
              <w:rPr>
                <w:sz w:val="20"/>
                <w:szCs w:val="20"/>
                <w:color w:val="auto"/>
              </w:rPr>
            </w:pPr>
            <w:r>
              <w:rPr>
                <w:rFonts w:ascii="Arial" w:cs="Arial" w:eastAsia="Arial" w:hAnsi="Arial"/>
                <w:sz w:val="18"/>
                <w:szCs w:val="18"/>
                <w:b w:val="1"/>
                <w:bCs w:val="1"/>
                <w:color w:val="auto"/>
              </w:rPr>
              <w:t>INDEX TO CONSOLIDATED FINANCIAL STATEMENTS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385"/>
        </w:trPr>
        <w:tc>
          <w:tcPr>
            <w:tcW w:w="10600" w:type="dxa"/>
            <w:vAlign w:val="bottom"/>
            <w:gridSpan w:val="9"/>
          </w:tcPr>
          <w:p>
            <w:pPr>
              <w:spacing w:after="0"/>
              <w:rPr>
                <w:sz w:val="20"/>
                <w:szCs w:val="20"/>
                <w:color w:val="auto"/>
              </w:rPr>
            </w:pPr>
            <w:r>
              <w:rPr>
                <w:rFonts w:ascii="Arial" w:cs="Arial" w:eastAsia="Arial" w:hAnsi="Arial"/>
                <w:sz w:val="18"/>
                <w:szCs w:val="18"/>
                <w:color w:val="0000EE"/>
              </w:rPr>
              <w:t>Reports of Independent Registered Public Accounting Firm (PCAOB ID: 42)</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40</w:t>
            </w:r>
          </w:p>
        </w:tc>
      </w:tr>
      <w:tr>
        <w:trPr>
          <w:trHeight w:val="196"/>
        </w:trPr>
        <w:tc>
          <w:tcPr>
            <w:tcW w:w="21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Consolidated Balance Sheets</w:t>
            </w:r>
          </w:p>
        </w:tc>
        <w:tc>
          <w:tcPr>
            <w:tcW w:w="3460" w:type="dxa"/>
            <w:vAlign w:val="bottom"/>
            <w:tcBorders>
              <w:top w:val="single" w:sz="8" w:color="0000EE"/>
            </w:tcBorders>
            <w:gridSpan w:val="6"/>
          </w:tcPr>
          <w:p>
            <w:pPr>
              <w:spacing w:after="0"/>
              <w:rPr>
                <w:sz w:val="17"/>
                <w:szCs w:val="17"/>
                <w:color w:val="auto"/>
              </w:rPr>
            </w:pPr>
          </w:p>
        </w:tc>
        <w:tc>
          <w:tcPr>
            <w:tcW w:w="5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42</w:t>
            </w:r>
          </w:p>
        </w:tc>
      </w:tr>
      <w:tr>
        <w:trPr>
          <w:trHeight w:val="196"/>
        </w:trPr>
        <w:tc>
          <w:tcPr>
            <w:tcW w:w="25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Consolidated Statements of Income</w:t>
            </w:r>
          </w:p>
        </w:tc>
        <w:tc>
          <w:tcPr>
            <w:tcW w:w="802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43</w:t>
            </w:r>
          </w:p>
        </w:tc>
      </w:tr>
      <w:tr>
        <w:trPr>
          <w:trHeight w:val="196"/>
        </w:trPr>
        <w:tc>
          <w:tcPr>
            <w:tcW w:w="1060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Statements of Comprehensive Income</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44</w:t>
            </w:r>
          </w:p>
        </w:tc>
      </w:tr>
      <w:tr>
        <w:trPr>
          <w:trHeight w:val="196"/>
        </w:trPr>
        <w:tc>
          <w:tcPr>
            <w:tcW w:w="37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Consolidated Statements of Shareholders’ Equity</w:t>
            </w:r>
          </w:p>
        </w:tc>
        <w:tc>
          <w:tcPr>
            <w:tcW w:w="68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45</w:t>
            </w:r>
          </w:p>
        </w:tc>
      </w:tr>
      <w:tr>
        <w:trPr>
          <w:trHeight w:val="196"/>
        </w:trPr>
        <w:tc>
          <w:tcPr>
            <w:tcW w:w="28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Consolidated Statements of Cash Flows</w:t>
            </w:r>
          </w:p>
        </w:tc>
        <w:tc>
          <w:tcPr>
            <w:tcW w:w="660" w:type="dxa"/>
            <w:vAlign w:val="bottom"/>
            <w:tcBorders>
              <w:top w:val="single" w:sz="8" w:color="0000EE"/>
            </w:tcBorders>
            <w:gridSpan w:val="2"/>
          </w:tcPr>
          <w:p>
            <w:pPr>
              <w:spacing w:after="0"/>
              <w:rPr>
                <w:sz w:val="17"/>
                <w:szCs w:val="17"/>
                <w:color w:val="auto"/>
              </w:rPr>
            </w:pPr>
          </w:p>
        </w:tc>
        <w:tc>
          <w:tcPr>
            <w:tcW w:w="706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46</w:t>
            </w:r>
          </w:p>
        </w:tc>
      </w:tr>
      <w:tr>
        <w:trPr>
          <w:trHeight w:val="196"/>
        </w:trPr>
        <w:tc>
          <w:tcPr>
            <w:tcW w:w="31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744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47</w:t>
            </w:r>
          </w:p>
        </w:tc>
      </w:tr>
      <w:tr>
        <w:trPr>
          <w:trHeight w:val="453"/>
        </w:trPr>
        <w:tc>
          <w:tcPr>
            <w:tcW w:w="10600" w:type="dxa"/>
            <w:vAlign w:val="bottom"/>
            <w:gridSpan w:val="9"/>
          </w:tcPr>
          <w:p>
            <w:pPr>
              <w:jc w:val="center"/>
              <w:ind w:left="570"/>
              <w:spacing w:after="0"/>
              <w:rPr>
                <w:sz w:val="20"/>
                <w:szCs w:val="20"/>
                <w:color w:val="auto"/>
              </w:rPr>
            </w:pPr>
            <w:r>
              <w:rPr>
                <w:rFonts w:ascii="Arial" w:cs="Arial" w:eastAsia="Arial" w:hAnsi="Arial"/>
                <w:sz w:val="18"/>
                <w:szCs w:val="18"/>
                <w:color w:val="auto"/>
                <w:w w:val="89"/>
              </w:rPr>
              <w:t>39</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HealthStream,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have audited the accompanying consolidated balance sheets of HealthStream, Inc. (the Company) as of December 31, 2022 and December 31, 2021, the related consolidated statements of income, comprehensive income,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PCAOB.</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critical audit matter communicated below is the matter arising from the current 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7" w:lineRule="exact"/>
        <w:rPr>
          <w:sz w:val="20"/>
          <w:szCs w:val="20"/>
          <w:color w:val="auto"/>
        </w:rPr>
      </w:pPr>
    </w:p>
    <w:p>
      <w:pPr>
        <w:ind w:left="2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left="2160" w:hanging="2145"/>
        <w:spacing w:after="0" w:line="265" w:lineRule="auto"/>
        <w:tabs>
          <w:tab w:leader="none" w:pos="21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described in Note 1 of the consolidated financial statements, the Company recognizes revenue when control of the promised goods or services is transferred to the customer in an amount that reflects the consideration the Company expects to be entitled in exchange for transferring those goods or services. The Company’s contracts with customers often contain promises for multiple goods and services. The Company accounts for the promised goods and services in its contracts as separate performance obligations if they are distinct. The transaction price is then allocated to the separate performance obligations on a relative standalone selling price basis.</w:t>
      </w:r>
    </w:p>
    <w:p>
      <w:pPr>
        <w:spacing w:after="0" w:line="208" w:lineRule="exact"/>
        <w:rPr>
          <w:sz w:val="20"/>
          <w:szCs w:val="20"/>
          <w:color w:val="auto"/>
        </w:rPr>
      </w:pPr>
    </w:p>
    <w:p>
      <w:pPr>
        <w:jc w:val="both"/>
        <w:ind w:left="2160"/>
        <w:spacing w:after="0" w:line="320" w:lineRule="auto"/>
        <w:rPr>
          <w:sz w:val="20"/>
          <w:szCs w:val="20"/>
          <w:color w:val="auto"/>
        </w:rPr>
      </w:pPr>
      <w:r>
        <w:rPr>
          <w:rFonts w:ascii="Arial" w:cs="Arial" w:eastAsia="Arial" w:hAnsi="Arial"/>
          <w:sz w:val="16"/>
          <w:szCs w:val="16"/>
          <w:color w:val="auto"/>
        </w:rPr>
        <w:t>Auditing the Company’s accounting for revenue recognition was challenging due to the judgment and effort required to analyze the Company’s contracts to determine whether promised goods and services are distinct performance obligations and to determine stand-alone selling prices used to allocate the transaction price to those performance obligations.</w:t>
      </w:r>
    </w:p>
    <w:p>
      <w:pPr>
        <w:spacing w:after="0" w:line="16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ind w:left="2160" w:hanging="2145"/>
        <w:spacing w:after="0" w:line="276" w:lineRule="auto"/>
        <w:tabs>
          <w:tab w:leader="none" w:pos="21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process to identify and evaluate performance obligations and determine the stand-alone selling prices used to allocate the transaction price to those performance obligations.</w:t>
      </w:r>
    </w:p>
    <w:p>
      <w:pPr>
        <w:spacing w:after="0" w:line="198" w:lineRule="exact"/>
        <w:rPr>
          <w:sz w:val="20"/>
          <w:szCs w:val="20"/>
          <w:color w:val="auto"/>
        </w:rPr>
      </w:pPr>
    </w:p>
    <w:p>
      <w:pPr>
        <w:jc w:val="both"/>
        <w:ind w:left="2160"/>
        <w:spacing w:after="0" w:line="283" w:lineRule="auto"/>
        <w:rPr>
          <w:sz w:val="20"/>
          <w:szCs w:val="20"/>
          <w:color w:val="auto"/>
        </w:rPr>
      </w:pPr>
      <w:r>
        <w:rPr>
          <w:rFonts w:ascii="Arial" w:cs="Arial" w:eastAsia="Arial" w:hAnsi="Arial"/>
          <w:sz w:val="17"/>
          <w:szCs w:val="17"/>
          <w:color w:val="auto"/>
        </w:rPr>
        <w:t>Among other procedures to evaluate management’s identification and determination of the distinct performance obligations, we obtained an understanding of the Company’s various product and service offerings and tested the application of the revenue recognition accounting requirements to determine which performance obligations were distinct. To test management’s determination of relative standalone selling price for each performance obligation, we performed audit procedures that included, among others, assessing the methodology applied and testing the data underlying the Company’s calculations. We inspected a sample of customer contracts to assess management’s treatment of significant terms and tested the amounts recognized as revenue or recorded in deferred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5" w:right="339" w:bottom="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HealthStream,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have audited HealthStream, Inc.’s internal control over financial reporting as of December 31, 2022, based on criteria established in Internal Control— Integrated Framework issued by the Committee of Sponsoring Organizations of the Treadway Commission (2013 framework) (the COSO criteria). In our opinion, HealthStream, Inc. (the Company) maintained, in all material respects, effective internal control over financial reporting as of December 31, 2022, based on the COSO criteria.</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indicated in the accompanying Management’s Annual Report on Internal Control over Financial Reporting, management’s assessment of and conclusion on the effectiveness of internal control over financial reporting did not include the internal controls of Electronic Education Documentation System, LLC (d/b/a eeds) ("eeds"), which is included in the 2022 consolidated financial statements of the Company and constituted less than 1% of total consolidated assets as of December 31, 2022 and no revenues or net income for the year then ended. Our audit of internal control over financial reporting of the Company also did not include an evaluation of the internal control over financial reporting of eeds.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HealthStream, Inc. as of December 31, 2022 and 2021, and the related consolidated statements of income, comprehensive income, shareholders' equity and cash flows for each of the three years in the period ended December 31, 2022, and the related notes and our report dated February 28, 2023, expressed an unqualified opinion thereon.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5"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5,041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Accounts receivable, net of allowance of $544 and $853 at December 31, 2022 and 2021,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receivable - unbilled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4,612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royalties, net of amortization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106,845</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Property and equipment, net of accumulated depreciation of $20,280 and $17,999 at December 31, 2022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respectively</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17,950</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4"/>
              </w:rPr>
              <w:t>Capitalized software development, net of accumulated amortization of $105,025 and $86,097 at December</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31, 2022 and 2021,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32,412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192,398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182,501</w:t>
            </w: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Customer-related intangibles, net of accumulated amortization of $48,552 and $45,615 at December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and 2021, respectively</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68,803</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2"/>
              </w:rPr>
              <w:t>Other intangible assets, net of accumulated amortization of $12,818 and $16,752 at December 31, 2022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2021,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20,284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20,402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commissions, net of 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24,012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Non-marketable equity investments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497,741</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486,753</w:t>
            </w:r>
          </w:p>
        </w:tc>
      </w:tr>
      <w:tr>
        <w:trPr>
          <w:trHeight w:val="197"/>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royalties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5,037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73,816</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100,350</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non-current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rPr>
              <w:t>Common stock, no par value, 75,000 shares authorized; 30,579 and 31,327 shares issued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outstanding at December 31, 2022 and 2021,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254,832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270,791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68,122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09"/>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497,741</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486,753</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HEALTHSTREAM, INC.</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5"/>
          </w:tcPr>
          <w:p>
            <w:pPr>
              <w:jc w:val="center"/>
              <w:ind w:left="1850"/>
              <w:spacing w:after="0"/>
              <w:rPr>
                <w:sz w:val="20"/>
                <w:szCs w:val="20"/>
                <w:color w:val="auto"/>
              </w:rPr>
            </w:pPr>
            <w:r>
              <w:rPr>
                <w:rFonts w:ascii="Arial" w:cs="Arial" w:eastAsia="Arial" w:hAnsi="Arial"/>
                <w:sz w:val="18"/>
                <w:szCs w:val="18"/>
                <w:b w:val="1"/>
                <w:bCs w:val="1"/>
                <w:color w:val="auto"/>
              </w:rPr>
              <w:t>CONSOLIDATED STATEMENTS OF INCOME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40" w:type="dxa"/>
            <w:vAlign w:val="bottom"/>
            <w:gridSpan w:val="5"/>
          </w:tcPr>
          <w:p>
            <w:pPr>
              <w:jc w:val="center"/>
              <w:ind w:left="18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266,826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256,712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244,826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Cost of revenues (excluding depreciation and amortization)</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91,143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89,332</w:t>
            </w:r>
          </w:p>
        </w:tc>
      </w:t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Product development</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44,277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41,659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32,305</w:t>
            </w: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35,297</w:t>
            </w:r>
          </w:p>
        </w:tc>
      </w:t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36,866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39,695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41,885</w:t>
            </w: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30,189</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660"/>
              <w:spacing w:after="0"/>
              <w:rPr>
                <w:sz w:val="20"/>
                <w:szCs w:val="20"/>
                <w:color w:val="auto"/>
              </w:rPr>
            </w:pPr>
            <w:r>
              <w:rPr>
                <w:rFonts w:ascii="Arial" w:cs="Arial" w:eastAsia="Arial" w:hAnsi="Arial"/>
                <w:sz w:val="18"/>
                <w:szCs w:val="18"/>
                <w:color w:val="auto"/>
              </w:rPr>
              <w:t>Total operating costs and expenses</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254,377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248,657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229,008</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12,449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8,055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15,818</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3,136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15,585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7,766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17,823</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12,091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5,845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14,091</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gridSpan w:val="2"/>
          </w:tcPr>
          <w:p>
            <w:pPr>
              <w:spacing w:after="0" w:line="196" w:lineRule="exact"/>
              <w:rPr>
                <w:sz w:val="20"/>
                <w:szCs w:val="20"/>
                <w:color w:val="auto"/>
              </w:rPr>
            </w:pPr>
            <w:r>
              <w:rPr>
                <w:rFonts w:ascii="Arial" w:cs="Arial" w:eastAsia="Arial" w:hAnsi="Arial"/>
                <w:sz w:val="18"/>
                <w:szCs w:val="18"/>
                <w:color w:val="auto"/>
              </w:rPr>
              <w:t>Diluted</w:t>
            </w:r>
          </w:p>
        </w:tc>
        <w:tc>
          <w:tcPr>
            <w:tcW w:w="21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0.39</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0.18</w:t>
            </w:r>
          </w:p>
        </w:tc>
        <w:tc>
          <w:tcPr>
            <w:tcW w:w="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0.44</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Weighted average shares of common stock outstanding: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30,648</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32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30,717</w:t>
            </w:r>
          </w:p>
        </w:tc>
        <w:tc>
          <w:tcPr>
            <w:tcW w:w="240" w:type="dxa"/>
            <w:vAlign w:val="bottom"/>
          </w:tcPr>
          <w:p>
            <w:pPr>
              <w:spacing w:after="0"/>
              <w:rPr>
                <w:sz w:val="17"/>
                <w:szCs w:val="17"/>
                <w:color w:val="auto"/>
              </w:rPr>
            </w:pPr>
          </w:p>
        </w:tc>
        <w:tc>
          <w:tcPr>
            <w:tcW w:w="16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31,618</w:t>
            </w:r>
          </w:p>
        </w:tc>
        <w:tc>
          <w:tcPr>
            <w:tcW w:w="1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31,989</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08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rPr>
              <w:t>HEALTHSTREAM, INC.</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80" w:type="dxa"/>
            <w:vAlign w:val="bottom"/>
            <w:gridSpan w:val="6"/>
          </w:tcPr>
          <w:p>
            <w:pPr>
              <w:jc w:val="center"/>
              <w:ind w:left="141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12,091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14,091</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taxes:</w:t>
            </w:r>
          </w:p>
        </w:tc>
        <w:tc>
          <w:tcPr>
            <w:tcW w:w="2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(1,091)</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2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12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w:t>
            </w: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(1,087)</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11,004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5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rPr>
              <w:t>HEALTHSTREAM,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40" w:type="dxa"/>
            <w:vAlign w:val="bottom"/>
            <w:gridSpan w:val="10"/>
          </w:tcPr>
          <w:p>
            <w:pPr>
              <w:jc w:val="center"/>
              <w:ind w:left="1250"/>
              <w:spacing w:after="0"/>
              <w:rPr>
                <w:sz w:val="20"/>
                <w:szCs w:val="20"/>
                <w:color w:val="auto"/>
              </w:rPr>
            </w:pPr>
            <w:r>
              <w:rPr>
                <w:rFonts w:ascii="Arial" w:cs="Arial" w:eastAsia="Arial" w:hAnsi="Arial"/>
                <w:sz w:val="18"/>
                <w:szCs w:val="18"/>
                <w:b w:val="1"/>
                <w:bCs w:val="1"/>
                <w:color w:val="auto"/>
              </w:rPr>
              <w:t>CONSOLIDATED STATEMENTS OF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560" w:type="dxa"/>
            <w:vAlign w:val="bottom"/>
            <w:gridSpan w:val="5"/>
            <w:vMerge w:val="restart"/>
          </w:tcPr>
          <w:p>
            <w:pPr>
              <w:jc w:val="right"/>
              <w:ind w:right="6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560" w:type="dxa"/>
            <w:vAlign w:val="bottom"/>
            <w:tcBorders>
              <w:bottom w:val="single" w:sz="8" w:color="auto"/>
            </w:tcBorders>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(Loss)/Income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338,168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14,091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forfeitures on unvested equity awards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Comprehensive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2"/>
        </w:trPr>
        <w:tc>
          <w:tcPr>
            <w:tcW w:w="46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December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31,493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271,784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62,277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334,062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donated to Company (held in treasury)</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68,122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339,019</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12,091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in acquisition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02"/>
        </w:trPr>
        <w:tc>
          <w:tcPr>
            <w:tcW w:w="46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(23,032)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December 31, 2022</w:t>
            </w:r>
          </w:p>
        </w:tc>
        <w:tc>
          <w:tcPr>
            <w:tcW w:w="1140" w:type="dxa"/>
            <w:vAlign w:val="bottom"/>
          </w:tcPr>
          <w:p>
            <w:pPr>
              <w:jc w:val="right"/>
              <w:spacing w:after="0"/>
              <w:rPr>
                <w:sz w:val="20"/>
                <w:szCs w:val="20"/>
                <w:color w:val="auto"/>
              </w:rPr>
            </w:pPr>
            <w:r>
              <w:rPr>
                <w:rFonts w:ascii="Arial" w:cs="Arial" w:eastAsia="Arial" w:hAnsi="Arial"/>
                <w:sz w:val="18"/>
                <w:szCs w:val="18"/>
                <w:color w:val="auto"/>
              </w:rPr>
              <w:t>30,579</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254,832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80,213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334,064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940" w:type="dxa"/>
            <w:vAlign w:val="bottom"/>
            <w:gridSpan w:val="2"/>
          </w:tcPr>
          <w:p>
            <w:pPr>
              <w:jc w:val="center"/>
              <w:ind w:left="2670"/>
              <w:spacing w:after="0"/>
              <w:rPr>
                <w:sz w:val="20"/>
                <w:szCs w:val="20"/>
                <w:color w:val="auto"/>
              </w:rPr>
            </w:pPr>
            <w:r>
              <w:rPr>
                <w:rFonts w:ascii="Arial" w:cs="Arial" w:eastAsia="Arial" w:hAnsi="Arial"/>
                <w:sz w:val="18"/>
                <w:szCs w:val="18"/>
                <w:b w:val="1"/>
                <w:bCs w:val="1"/>
                <w:color w:val="auto"/>
              </w:rPr>
              <w:t>HEALTHSTREAM, INC.</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4"/>
          </w:tcPr>
          <w:p>
            <w:pPr>
              <w:jc w:val="center"/>
              <w:ind w:left="18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060" w:type="dxa"/>
            <w:vAlign w:val="bottom"/>
          </w:tcPr>
          <w:p>
            <w:pPr>
              <w:jc w:val="center"/>
              <w:ind w:left="353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763"/>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12,091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5,845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14,091</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37,945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36,813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30,189</w:t>
            </w:r>
          </w:p>
        </w:tc>
      </w:tr>
      <w:tr>
        <w:trPr>
          <w:trHeight w:val="216"/>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commissions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10,599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9,169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8,768</w:t>
            </w:r>
          </w:p>
        </w:tc>
      </w:tr>
      <w:tr>
        <w:trPr>
          <w:trHeight w:val="216"/>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710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4,295</w:t>
            </w:r>
          </w:p>
        </w:tc>
      </w:tr>
      <w:tr>
        <w:trPr>
          <w:trHeight w:val="230"/>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 loss on disposal of fixed assets</w:t>
            </w:r>
          </w:p>
        </w:tc>
        <w:tc>
          <w:tcPr>
            <w:tcW w:w="8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Loss on equity method investments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747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Non-cash paid time off expense</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Non-cash royalty expense</w:t>
            </w:r>
          </w:p>
        </w:tc>
        <w:tc>
          <w:tcPr>
            <w:tcW w:w="8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(3,440)</w:t>
            </w:r>
          </w:p>
        </w:tc>
      </w:tr>
      <w:tr>
        <w:trPr>
          <w:trHeight w:val="216"/>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non-marketable equity investments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Accounts and unbilled receivables</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(7,770)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10,344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(2,992)</w:t>
            </w:r>
          </w:p>
        </w:tc>
      </w:tr>
      <w:tr>
        <w:trPr>
          <w:trHeight w:val="216"/>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Prepaid royalties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(2,985)</w:t>
            </w:r>
          </w:p>
        </w:tc>
      </w:tr>
      <w:tr>
        <w:trPr>
          <w:trHeight w:val="216"/>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commissions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(14,931)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(11,030)</w:t>
            </w: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r>
      <w:tr>
        <w:trPr>
          <w:trHeight w:val="216"/>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Accrued royalties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(3,772)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(4,672)</w:t>
            </w:r>
          </w:p>
        </w:tc>
      </w:tr>
      <w:tr>
        <w:trPr>
          <w:trHeight w:val="216"/>
        </w:trPr>
        <w:tc>
          <w:tcPr>
            <w:tcW w:w="6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51,188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42,385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35,874</w:t>
            </w:r>
          </w:p>
        </w:tc>
      </w:tr>
      <w:tr>
        <w:trPr>
          <w:trHeight w:val="216"/>
        </w:trPr>
        <w:tc>
          <w:tcPr>
            <w:tcW w:w="1280" w:type="dxa"/>
            <w:vAlign w:val="bottom"/>
            <w:shd w:val="clear" w:color="auto" w:fill="CCEEFF"/>
          </w:tcPr>
          <w:p>
            <w:pPr>
              <w:spacing w:after="0"/>
              <w:rPr>
                <w:sz w:val="18"/>
                <w:szCs w:val="18"/>
                <w:color w:val="auto"/>
              </w:rPr>
            </w:pPr>
          </w:p>
        </w:tc>
        <w:tc>
          <w:tcPr>
            <w:tcW w:w="50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Business combinations, net of cash acquired</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(121,342)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Proceeds from maturities of marketable securities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10,625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9,931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77,120</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sales of marketable securities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15,051</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Purchases of marketable securities</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(13,467)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(61,179)</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sale of fixed assets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Proceeds from sale of non-marketable equity investments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Payments to acquire non-marketable equity investments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(23,334)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(16,815)</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4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(28,389)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(25,723)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(110,410)</w:t>
            </w:r>
          </w:p>
        </w:tc>
      </w:tr>
      <w:tr>
        <w:trPr>
          <w:trHeight w:val="216"/>
        </w:trPr>
        <w:tc>
          <w:tcPr>
            <w:tcW w:w="1280" w:type="dxa"/>
            <w:vAlign w:val="bottom"/>
            <w:shd w:val="clear" w:color="auto" w:fill="CCEEFF"/>
          </w:tcPr>
          <w:p>
            <w:pPr>
              <w:spacing w:after="0"/>
              <w:rPr>
                <w:sz w:val="18"/>
                <w:szCs w:val="18"/>
                <w:color w:val="auto"/>
              </w:rPr>
            </w:pPr>
          </w:p>
        </w:tc>
        <w:tc>
          <w:tcPr>
            <w:tcW w:w="50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(23,137)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(20,019)</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 of cash dividends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gridSpan w:val="2"/>
          </w:tcPr>
          <w:p>
            <w:pPr>
              <w:ind w:left="50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(23,702)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(6,209)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(20,494)</w:t>
            </w:r>
          </w:p>
        </w:tc>
      </w:tr>
      <w:tr>
        <w:trPr>
          <w:trHeight w:val="216"/>
        </w:trPr>
        <w:tc>
          <w:tcPr>
            <w:tcW w:w="1280" w:type="dxa"/>
            <w:vAlign w:val="bottom"/>
            <w:shd w:val="clear" w:color="auto" w:fill="CCEEFF"/>
          </w:tcPr>
          <w:p>
            <w:pPr>
              <w:spacing w:after="0"/>
              <w:rPr>
                <w:sz w:val="18"/>
                <w:szCs w:val="18"/>
                <w:color w:val="auto"/>
              </w:rPr>
            </w:pPr>
          </w:p>
        </w:tc>
        <w:tc>
          <w:tcPr>
            <w:tcW w:w="50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(94,972)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46,905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36,566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131,538</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shd w:val="clear" w:color="auto" w:fill="CCEEFF"/>
          </w:tcPr>
          <w:p>
            <w:pPr>
              <w:jc w:val="right"/>
              <w:ind w:right="763"/>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46,023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46,905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36,566</w:t>
            </w:r>
          </w:p>
        </w:tc>
      </w:tr>
      <w:tr>
        <w:trPr>
          <w:trHeight w:val="196"/>
        </w:trPr>
        <w:tc>
          <w:tcPr>
            <w:tcW w:w="1280" w:type="dxa"/>
            <w:vAlign w:val="bottom"/>
            <w:tcBorders>
              <w:top w:val="single" w:sz="8" w:color="CCEEFF"/>
            </w:tcBorders>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500"/>
              <w:spacing w:after="0"/>
              <w:rPr>
                <w:sz w:val="20"/>
                <w:szCs w:val="20"/>
                <w:color w:val="auto"/>
              </w:rPr>
            </w:pPr>
            <w:r>
              <w:rPr>
                <w:rFonts w:ascii="Arial" w:cs="Arial" w:eastAsia="Arial" w:hAnsi="Arial"/>
                <w:sz w:val="18"/>
                <w:szCs w:val="18"/>
                <w:color w:val="auto"/>
              </w:rPr>
              <w:t>Interest paid</w:t>
            </w:r>
          </w:p>
        </w:tc>
        <w:tc>
          <w:tcPr>
            <w:tcW w:w="880" w:type="dxa"/>
            <w:vAlign w:val="bottom"/>
          </w:tcPr>
          <w:p>
            <w:pPr>
              <w:jc w:val="right"/>
              <w:ind w:right="763"/>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40" w:type="dxa"/>
            <w:vAlign w:val="bottom"/>
            <w:tcBorders>
              <w:right w:val="single" w:sz="8" w:color="CCEEFF"/>
            </w:tcBorders>
            <w:gridSpan w:val="2"/>
            <w:shd w:val="clear" w:color="auto" w:fill="CCEEFF"/>
          </w:tcPr>
          <w:p>
            <w:pPr>
              <w:ind w:left="500"/>
              <w:spacing w:after="0" w:line="196" w:lineRule="exact"/>
              <w:rPr>
                <w:sz w:val="20"/>
                <w:szCs w:val="20"/>
                <w:color w:val="auto"/>
              </w:rPr>
            </w:pPr>
            <w:r>
              <w:rPr>
                <w:rFonts w:ascii="Arial" w:cs="Arial" w:eastAsia="Arial" w:hAnsi="Arial"/>
                <w:sz w:val="18"/>
                <w:szCs w:val="18"/>
                <w:color w:val="auto"/>
              </w:rPr>
              <w:t>Income taxes paid (refunded)</w:t>
            </w:r>
          </w:p>
        </w:tc>
        <w:tc>
          <w:tcPr>
            <w:tcW w:w="880" w:type="dxa"/>
            <w:vAlign w:val="bottom"/>
            <w:shd w:val="clear" w:color="auto" w:fill="CCEEFF"/>
          </w:tcPr>
          <w:p>
            <w:pPr>
              <w:jc w:val="right"/>
              <w:ind w:right="763"/>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(92)</w:t>
            </w: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877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340" w:type="dxa"/>
            <w:vAlign w:val="bottom"/>
            <w:gridSpan w:val="2"/>
          </w:tcPr>
          <w:p>
            <w:pPr>
              <w:ind w:left="500"/>
              <w:spacing w:after="0" w:line="196" w:lineRule="exact"/>
              <w:rPr>
                <w:sz w:val="20"/>
                <w:szCs w:val="20"/>
                <w:color w:val="auto"/>
              </w:rPr>
            </w:pPr>
            <w:r>
              <w:rPr>
                <w:rFonts w:ascii="Arial" w:cs="Arial" w:eastAsia="Arial" w:hAnsi="Arial"/>
                <w:sz w:val="18"/>
                <w:szCs w:val="18"/>
                <w:color w:val="auto"/>
              </w:rPr>
              <w:t>Non-cash additions to non-marketable equity investments</w:t>
            </w:r>
          </w:p>
        </w:tc>
        <w:tc>
          <w:tcPr>
            <w:tcW w:w="880" w:type="dxa"/>
            <w:vAlign w:val="bottom"/>
          </w:tcPr>
          <w:p>
            <w:pPr>
              <w:jc w:val="right"/>
              <w:ind w:right="763"/>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1,300</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360" w:firstLine="8"/>
        <w:spacing w:after="0" w:line="503" w:lineRule="auto"/>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Description of Business</w:t>
      </w:r>
    </w:p>
    <w:p>
      <w:pPr>
        <w:jc w:val="both"/>
        <w:spacing w:after="0" w:line="254" w:lineRule="auto"/>
        <w:rPr>
          <w:sz w:val="20"/>
          <w:szCs w:val="20"/>
          <w:color w:val="auto"/>
        </w:rPr>
      </w:pPr>
      <w:r>
        <w:rPr>
          <w:rFonts w:ascii="Arial" w:cs="Arial" w:eastAsia="Arial" w:hAnsi="Arial"/>
          <w:sz w:val="18"/>
          <w:szCs w:val="18"/>
          <w:color w:val="auto"/>
        </w:rPr>
        <w:t>HealthStream, Inc. (the "Company") was incorporated in 1990 as a Tennessee corporation and is headquartered in Nashville, Tennessee. The Company reports financial results generated through December 31, 2022 based on two reportable segments: Workforce Solutions and Provider Solutions, with Workforce Solutions products helping to meet the ongoing training, certification, assessment, development, and scheduling needs of the healthcare workforce, and Provider Solutions products offering healthcare organizations software applications for administering and tracking provider credentialing, privileging, and enrollment activities. As of January 2023, the Company's operations have been streamlined around its single platform strategy such that beginning January 1, 2023, the Company will cease having two reportable segments and will begin reporting on a one segment basis, as discussed in more detail in Note 9 - Business Segments.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October 2021, the Financial Accounting Standards Board issued Accounting Standards Update ("ASU") 2021-08,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Contract Assets and Contract Liabilities from Contracts with Customers. </w:t>
      </w:r>
      <w:r>
        <w:rPr>
          <w:rFonts w:ascii="Arial" w:cs="Arial" w:eastAsia="Arial" w:hAnsi="Arial"/>
          <w:sz w:val="17"/>
          <w:szCs w:val="17"/>
          <w:color w:val="auto"/>
        </w:rPr>
        <w:t>The new guidance requires contract assets and contract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acquired in a business combination to be recognized and measured by the acquirer on the acquisition date in accordance with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if it had originated the contracts. This approach differs from the previous requirement to measure contract assets and contract liabilities acquired in a business combination at fair value. The standard is effective for the first interim period within annual reporting periods beginning after December 15, 2022 and early adoption is permitted. The Company early adopted this ASU on January 1, 2022, and the impact of the new standard is dependent on the magnitude of future acquisitions but has not had a material impact to date. The standard does not impact contract assets or liabilities from business combinations that occurred prior to the adoption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Company's revenues are recognized when control of the promised goods or services is transferred to the customer in an amount that reflects the consideration the Company expects to be entitled in exchange for transferring those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225"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Subscription revenues primarily consist of fees in consideration of providing customers access to one or more of its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 contracts are generally non-cancelable, one to five years in length, and billed annually, semi-annually, quarterly, or monthly in advance.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services revenues primarily consist of fees for implementation and onboarding services, consulting, and training. The majority of professional services contracts are billed in advance based on a fixed price basis, and revenue is recognized over time as the services are performed. For both subscription services and professional services, the time between billing the customer and when performance obligations are satisfied is generally not significant.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The Company generally determines standalone selling prices based on the standard list price for each product, taking into consideration certain factors, including contract length and the number of subscriptions within the contract.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receives payments from customers based on billing schedules established in its contracts. Accounts receivable - unbilled represent contract assets related to our conditional right to consideration for subscription and professional services contracts where performance has occurred under the contract. Accounts receivable are primarily comprised of trade receivables that are recorded at the invoice amount, net of an allowance for credit losses, when the right to consideration becomes unconditional.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represents contract liabilities that are recorded when cash payments are received or are due in advance of satisfaction of performance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are prepared in accordance with United States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cash equivalents to be unrestricted, highly liquid investments with initial maturities of less than three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Marketable securities are classified as available for sale and are stated at fair market value, with the unrealized gains and losses, net of tax, reported in other accumulated comprehensive income (loss) on the accompanying Consolidated Balance Sheets. Realized gains and losses and declines in market value due to credit-related factors on investments in marketable securities are included in other income, net on the accompanying Consolidated Statements of Income. The cost of securities sold is based on the specific identification method. Interest and dividends on securities classified as available for sale are included in other income, net on the accompanying Consolidated Statements of Income. Premiums and discounts are amortized over the life of the related available for sale security as an adjustment to the yield using the effective interest method.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Commissions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commissions represent incremental costs to acquire contracts with customers, such as the sales commission payment and associated payroll taxes, which are capitalized and amortized consistent with the transfer of the goods or services to the customer over the expected period of benefit. Capitalized contract costs are included under the caption deferred commissions in the accompanying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three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Royalties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Prepaid royalties represent advance payments to business partners under revenue sharing arrangements for which the Company sells and delivers such partner products to its customers. Royalties are typically paid in advance at the commencement of the subscription period or periodically throughout the subscription period, such as in quarterly, bi-annual, or annual installments. Royalty payments are amortized over the term of the underlying subscription contracts, which generally range from one to five years, in order to match the direct royalty costs to the same period the subscription revenue is recognized. Amortization of prepaid royalties is included under the caption cost of revenues (excluding depreciation and amortization) in the accompanying Consolidated Statements of Income.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estimates its allowance for credit losses based on its historical collection experience, a review in each period of the status of the then-outstanding accounts receivable, and external market factors. Uncollectible receivables are written-off in the period management believes it has exhausted its ability to collect payment from the customer. Expected credit losses are recorded under the caption other general and administrative expenses in the accompanying Consolidated Statements of Income.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allowance for credit losses and the amounts charged to bad debt expense for the three years ended December 31, 2022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Allowance Balance at</w:t>
            </w:r>
          </w:p>
        </w:tc>
        <w:tc>
          <w:tcPr>
            <w:tcW w:w="2040" w:type="dxa"/>
            <w:vAlign w:val="bottom"/>
            <w:gridSpan w:val="3"/>
          </w:tcPr>
          <w:p>
            <w:pPr>
              <w:ind w:left="80"/>
              <w:spacing w:after="0"/>
              <w:rPr>
                <w:sz w:val="20"/>
                <w:szCs w:val="20"/>
                <w:color w:val="auto"/>
              </w:rPr>
            </w:pPr>
            <w:r>
              <w:rPr>
                <w:rFonts w:ascii="Arial" w:cs="Arial" w:eastAsia="Arial" w:hAnsi="Arial"/>
                <w:sz w:val="18"/>
                <w:szCs w:val="18"/>
                <w:b w:val="1"/>
                <w:bCs w:val="1"/>
                <w:color w:val="auto"/>
              </w:rPr>
              <w:t>Charged to Costs and</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Allowance Balance at</w:t>
            </w:r>
          </w:p>
        </w:tc>
      </w:tr>
      <w:tr>
        <w:trPr>
          <w:trHeight w:val="234"/>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Beginning of Period</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Write-offs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jc w:val="right"/>
              <w:ind w:right="2830"/>
              <w:spacing w:after="0"/>
              <w:rPr>
                <w:sz w:val="20"/>
                <w:szCs w:val="20"/>
                <w:color w:val="auto"/>
              </w:rPr>
            </w:pPr>
            <w:r>
              <w:rPr>
                <w:rFonts w:ascii="Arial" w:cs="Arial" w:eastAsia="Arial" w:hAnsi="Arial"/>
                <w:sz w:val="18"/>
                <w:szCs w:val="18"/>
                <w:color w:val="auto"/>
                <w:w w:val="84"/>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r>
      <w:tr>
        <w:trPr>
          <w:trHeight w:val="216"/>
        </w:trPr>
        <w:tc>
          <w:tcPr>
            <w:tcW w:w="3280" w:type="dxa"/>
            <w:vAlign w:val="bottom"/>
          </w:tcPr>
          <w:p>
            <w:pPr>
              <w:jc w:val="right"/>
              <w:ind w:right="2830"/>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549</w:t>
            </w:r>
          </w:p>
        </w:tc>
        <w:tc>
          <w:tcPr>
            <w:tcW w:w="3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2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r>
      <w:tr>
        <w:trPr>
          <w:trHeight w:val="216"/>
        </w:trPr>
        <w:tc>
          <w:tcPr>
            <w:tcW w:w="3280" w:type="dxa"/>
            <w:vAlign w:val="bottom"/>
            <w:shd w:val="clear" w:color="auto" w:fill="CCEEFF"/>
          </w:tcPr>
          <w:p>
            <w:pPr>
              <w:jc w:val="right"/>
              <w:ind w:right="2830"/>
              <w:spacing w:after="0"/>
              <w:rPr>
                <w:sz w:val="20"/>
                <w:szCs w:val="20"/>
                <w:color w:val="auto"/>
              </w:rPr>
            </w:pPr>
            <w:r>
              <w:rPr>
                <w:rFonts w:ascii="Arial" w:cs="Arial" w:eastAsia="Arial" w:hAnsi="Arial"/>
                <w:sz w:val="18"/>
                <w:szCs w:val="18"/>
                <w:color w:val="auto"/>
                <w:w w:val="84"/>
              </w:rPr>
              <w:t>2020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843</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and Content Development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Capitalized software development is stated on the basis of cost and is presented net of accumulated amortization. The Company capitalizes costs incurred during the development phase for projects to develop software and content. These assets are generally amortized using the straight-line method over three years. The Company capitalized $23.8 million and $21.4 million during 2022 and 2021, respectively. Amortization of capitalized software development was $18.9 million, $15.6 million, and $12.7 million during 2022, 2021, and 2020, respectively. Maintenance and operating costs are expensed as incurred. As of December 31, 2022 and 2021, there were no capitalized software development costs for external computer software developed for resale.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Inputs other than quoted prices included in Level 1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in which little or no market data exists, therefore requiring the Company to develop its own assumptions.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assets and liabilities subject to fair value measurements on a recurring basis to determine the appropriate level at which to classify them for each reporting period. This determination may require significant judgments to be made by the Company. At December 31, 2022 and 2021, the Company's assets measured at fair value on a recurring basis consisted of marketable securities, which are classified as available for sale (see Note 4 – Marketable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Property and equipment are stated on the basis of cost. Depreciation is provided on the straight-line method over the following estimated useful lives, except for leasehold improvements, which are amortized over the shorter of the estimated useful life or their respective lease term.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5 - 7</w:t>
            </w: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Equipment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Goodwill represents the excess of purchase price in a business combination over the fair value of the net identifiable assets acquired, including intangible assets. The carrying amount of its goodwill is evaluated for impairment at least annually during the fourth quarter and whenever events or changes in facts or circumstances indicate that impairment may exist. In accordance with ASC 350,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w:t>
      </w:r>
      <w:r>
        <w:rPr>
          <w:rFonts w:ascii="Arial" w:cs="Arial" w:eastAsia="Arial" w:hAnsi="Arial"/>
          <w:sz w:val="17"/>
          <w:szCs w:val="17"/>
          <w:color w:val="auto"/>
        </w:rPr>
        <w:t>,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the Company must then compare the fair value of the reporting unit to its carrying value. The Company determines fair value of the reporting units using both income and market-based models. These models require the use of various assumptions relating to cash flow projections, growth rates, discount rates, and terminal value calculations. There were no goodwill impairments identified or recorded for the years ended December 31, 2022, 2021, or 2020.</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estimates fair values of intangible assets using the income and cost methods, which are based on management’s estimates and assumptions. As of December 31, 2022, intangible assets include customer relationships, internally developed technology, non-competition agreements, and trade names. Intangible assets that are considered to have definite useful lives are being amortized on a straight-line basis over periods ranging between one and eighteen years. The weighted average amortization period for definite lived intangible assets as of December 31, 2022 was 11.5 years. Intangible assets considered to have indefinite useful lives are evaluated for impairment at least annually during the fourth quarter, and all intangible assets are reviewed for impairment whenever events or changes in facts or circumstances indicate that the carrying amount of the assets may not be recoverable. There were no intangible asset impairments identified or recorded for the years ended December 31, 2022, 2021, or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deferred commissions, and other assets will be recoverable. There were no long-lived asset impairments identified or recorded for the years ended December 31, 2022, 2021, or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Investments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Non-marketable equity investments in limited liability companies with specific ownership accounts for each investor not resulting in a controlling financial interest are accounted for using the equity method of accounting. Non-marketable equity investments of preferred stock in corporations that do not result in a controlling financial interest are accounted for using the measurement alternative for equity investments that do not have readily determinable fair values. ASU 2016-01,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Overall (Subtopic 825-10)</w:t>
      </w:r>
      <w:r>
        <w:rPr>
          <w:rFonts w:ascii="Arial" w:cs="Arial" w:eastAsia="Arial" w:hAnsi="Arial"/>
          <w:sz w:val="17"/>
          <w:szCs w:val="17"/>
          <w:color w:val="auto"/>
        </w:rPr>
        <w:t xml:space="preserve"> requires equity investments (except those accounted for under the equity method of accounting or those that result in consolidation of the investee) to be measured at fair value with changes in fair value recognized in net income. The fair value of non-marketable equity investments is not estimated if there are no identified events or changes in circumstances that may have a significant adverse effect on the fair value of the investment. The proportionate share of income or loss from equity method investments and any changes in fair value of investments accounted for using the measurement alternative are recorded under the caption other income, net in the accompanying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various financial instruments, including cash and cash equivalents, accounts receivable, accounts receivable-unbilled, accounts payable, and accrued liabilities. The carrying amounts of these financial instruments approximate fair value because of the short-term maturity or short-term nature of such instruments. The Company also has marketable securities, which are recorded at approximate fair value based on quoted market prices or alternative pricing sources (see Note 4 – Marketable Securities) and non-marketable equity investments, which are recorded under the equity method or under the measurement alternative (see Note 16 - Non-Marketable Equity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the costs of advertising as incurred. Advertising expense for the years ended December 31, 2022, 2021, and 2020 was $1.9 million, $1.9 million, and $1.1 million, respectively, and is included under the caption sales and marketing expense in the accompanying Consolidated Statements of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costs that are associated with our products and services are included under the caption cost of revenues (excluding depreciation and amortization) in the accompanying Consolidated Statements of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2022, the Company had established a valuation allowance of $1.9 million for the portion of its net deferred tax assets that are not more likely than not expected to be realized. 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are excluded from the calculation of diluted weighted average shares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credit risks relate primarily to cash and cash equivalents, marketable securities, and accounts receivable. The Company places its temporary excess cash in high quality, short-term money market instruments. At times, such investments may be in excess of the FDIC insurance limits. Marketable securities consist primarily of investment grade corporate debt securities.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its products and services to various companies in the healthcare industry that are primarily located in the United States. Customer credit worthiness evaluations are performed on an as-needed basis, and the Company generally requires no collateral from customers. An allowance for credit losses is maintained for potentially uncollectible accounts receivable. The Company did not have any single customer representing over 10% of net revenues or accounts receivable during or as of the years ended December 31, 2022, 2021, or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2022, the Company maintained two stock-based compensation plans under which awards are outstanding, as described in Note 11. The Company accounts for stock-based compensation using the fair-value based method for costs related to share-based payments, including stock options and restricted share units. The Company uses the Black Scholes option pricing model for calculating the fair value of option awards issued under its stock-based compensation plans. The Company measures compensation cost of restricted share units based on the closing fair market value of the Company’s stock on the date of grant. Stock-based compensation cost is measured at the grant date, based on the fair value of the award that is ultimately expected to vest, and is recognized as an expense over the requisite service period. The Company recognizes tax benefits or deficiencies from stock-based compensation if an excess tax benefit or deficiency is realized. Excess tax benefits and deficiencies are reflected in the Consolidated Statements of Income as a component of the provision for income taxes when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several non-cancelable agreements to lease office space. For leases with a lease term greater than 12 months, the Company recognizes a right-of-use (ROU) asset and a lease liability on the balance sheet at the lease commencement date. Lease liabilities and their corresponding right-of-use assets are recorded based on the present value of the future lease payments over the expected lease term.</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lease contracts that contain: (1) an option to extend that the Company is reasonably certain to exercise, (2) an option to terminate that the Company is reasonably certain not to exercise, or (3) an option to extend (or not to terminate) in which exercise of the option is controlled by the lessor. Additionally, the Company does not have any leases with residual value guarantees or material restrictive covenants. Most of the Company’s lease agreements contain provisions for escalating rent payments over the terms of the leases, which escalations are either fixed within the contract or are variable based on the consumer price index.</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contain readily determinable implicit discount rates, and as such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functional currency for the Company’s subsidiaries is determined based on the primary economic environment in which the subsidiary operates. The Company translates the assets and liabilities of its non-U.S. dollar functional currency subsidiaries into U.S. dollars using exchange rates in effect at the end of each period. Revenues and expenses for these subsidiaries are translated using rates that approximate those in effect during the period. Gains and losses from these translations are recognized as cumulative translation adjustments included in accumulated other comprehensive income in the Consolidated Balance Sheets.</w:t>
      </w:r>
    </w:p>
    <w:p>
      <w:pPr>
        <w:sectPr>
          <w:pgSz w:w="11900" w:h="16838" w:orient="portrait"/>
          <w:cols w:equalWidth="0" w:num="1">
            <w:col w:w="11240"/>
          </w:cols>
          <w:pgMar w:left="320" w:top="125" w:right="3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up to 75 million shares of common stock. The number of common shares issued and outstanding as of December 31, 2022 and 2021 was 30.6 million and 31.3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As of December 31, 2022 and 2021, there were no shares of preferred stock issued or outstanding.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30, 2021</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Board of Directors authorized a share repurchase program to repurchase up to $20.0 million of the Company's outstanding shares of common stock. This share repurchase program concluded on March 8, 2022</w:t>
      </w:r>
      <w:r>
        <w:rPr>
          <w:rFonts w:ascii="Arial" w:cs="Arial" w:eastAsia="Arial" w:hAnsi="Arial"/>
          <w:sz w:val="17"/>
          <w:szCs w:val="17"/>
          <w:i w:val="1"/>
          <w:iCs w:val="1"/>
          <w:color w:val="auto"/>
        </w:rPr>
        <w:t>,</w:t>
      </w:r>
      <w:r>
        <w:rPr>
          <w:rFonts w:ascii="Arial" w:cs="Arial" w:eastAsia="Arial" w:hAnsi="Arial"/>
          <w:sz w:val="17"/>
          <w:szCs w:val="17"/>
          <w:color w:val="auto"/>
        </w:rPr>
        <w:t xml:space="preserve"> when the maximum dollar amount authorized under the program was expended. Under this program, the Company repurchased a total of 853,023 shares through open market purchases at an aggregate value of $20.0 million, reflecting an average price per share of $23.45 (excluding the cost of broker commissions). During the year ended December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repurchased 649,739 shares pursuant to this share repurchase program at an aggregate fair value of $14.9 million, based on an average price per share of $22.92 (excluding the cost of broker commissions).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2022</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Board of Directors approved an expansion of the Company's share repurchase program by authorizing the repurchase of up to an additional $10.0 million of the Company's outstanding shares of common stock. The share repurchase expansion program is scheduled to terminate on the earlier of March 13, 2023</w:t>
      </w:r>
      <w:r>
        <w:rPr>
          <w:rFonts w:ascii="Arial" w:cs="Arial" w:eastAsia="Arial" w:hAnsi="Arial"/>
          <w:sz w:val="18"/>
          <w:szCs w:val="18"/>
          <w:i w:val="1"/>
          <w:iCs w:val="1"/>
          <w:color w:val="auto"/>
        </w:rPr>
        <w:t>,</w:t>
      </w:r>
      <w:r>
        <w:rPr>
          <w:rFonts w:ascii="Arial" w:cs="Arial" w:eastAsia="Arial" w:hAnsi="Arial"/>
          <w:sz w:val="18"/>
          <w:szCs w:val="18"/>
          <w:color w:val="auto"/>
        </w:rPr>
        <w:t xml:space="preserve"> or when the maximum dollar amount has been expended. During the year ended December 31, 2022, the Company repurchased 402,050 shares at an aggregate fair value of $8.1 million, reflecting an average price per share of $20.19 (excluding the cost of broker commissions).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years ended December 31, 2022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6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16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26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12,091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14,091</w:t>
            </w: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Denominator:</w:t>
            </w:r>
          </w:p>
        </w:tc>
        <w:tc>
          <w:tcPr>
            <w:tcW w:w="16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w:t>
            </w: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30,648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31,960</w:t>
            </w:r>
          </w:p>
        </w:tc>
        <w:tc>
          <w:tcPr>
            <w:tcW w:w="0" w:type="dxa"/>
            <w:vAlign w:val="bottom"/>
          </w:tcPr>
          <w:p>
            <w:pPr>
              <w:spacing w:after="0"/>
              <w:rPr>
                <w:sz w:val="1"/>
                <w:szCs w:val="1"/>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Effect of dilutive shares</w:t>
            </w: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Weighted-average diluted shares</w:t>
            </w:r>
          </w:p>
        </w:tc>
        <w:tc>
          <w:tcPr>
            <w:tcW w:w="16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30,717</w:t>
            </w: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31,989</w:t>
            </w: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Basic</w:t>
            </w:r>
          </w:p>
        </w:tc>
        <w:tc>
          <w:tcPr>
            <w:tcW w:w="26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600" w:type="dxa"/>
            <w:vAlign w:val="bottom"/>
            <w:gridSpan w:val="2"/>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0.18</w:t>
            </w:r>
          </w:p>
        </w:tc>
        <w:tc>
          <w:tcPr>
            <w:tcW w:w="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Potentially dilutive shares representing 183,000, 78,000, and 122,000 shares of common stock for the years ended December 31, 2022, 2021, and 2020, respectively, were excluded from the calculation of diluted earnings per share because their effect would have been anti-dilutive.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and 2021, the fair value of marketable securities, which were all classified as available for sale, included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Cost</w:t>
            </w:r>
          </w:p>
        </w:tc>
        <w:tc>
          <w:tcPr>
            <w:tcW w:w="1000" w:type="dxa"/>
            <w:vAlign w:val="bottom"/>
          </w:tcPr>
          <w:p>
            <w:pPr>
              <w:jc w:val="right"/>
              <w:ind w:right="137"/>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U.S. government debt securities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7,882</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r>
      <w:tr>
        <w:trPr>
          <w:trHeight w:val="20"/>
        </w:trPr>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7,882</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5,043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5,041</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of the marketable securities reported in the Consolidated Balance Sheets approximate fair value based on quoted market prices or alternative pricing sources and models utilizing market observable inputs. As of December 31, 2022 and 2021, the Company did not recognize any allowance for credit impairments on its available for sale debt securities. All investments in marketable securities are classified as current assets on the Consolidated Balance Sheets because the underlying securities mature within one year from the balance sheet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 AND SALES COMMISSIONS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revenues disaggregated by revenue source for the three years ended December 31, 2022, 2021, and 2020 (in thousands).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taxes are excluded from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ind w:left="1000"/>
              <w:spacing w:after="0"/>
              <w:rPr>
                <w:sz w:val="20"/>
                <w:szCs w:val="20"/>
                <w:color w:val="auto"/>
              </w:rPr>
            </w:pPr>
            <w:r>
              <w:rPr>
                <w:rFonts w:ascii="Arial" w:cs="Arial" w:eastAsia="Arial" w:hAnsi="Arial"/>
                <w:sz w:val="18"/>
                <w:szCs w:val="18"/>
                <w:b w:val="1"/>
                <w:bCs w:val="1"/>
                <w:color w:val="auto"/>
              </w:rPr>
              <w:t>Year Ended December 31, 2022</w:t>
            </w:r>
          </w:p>
        </w:tc>
      </w:tr>
      <w:tr>
        <w:trPr>
          <w:trHeight w:val="191"/>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Workforce</w:t>
            </w: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Segments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Solutions</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Provider Solutions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10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207,191</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253,960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6,398</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213,589</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266,826</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ind w:left="1000"/>
              <w:spacing w:after="0"/>
              <w:rPr>
                <w:sz w:val="20"/>
                <w:szCs w:val="20"/>
                <w:color w:val="auto"/>
              </w:rPr>
            </w:pPr>
            <w:r>
              <w:rPr>
                <w:rFonts w:ascii="Arial" w:cs="Arial" w:eastAsia="Arial" w:hAnsi="Arial"/>
                <w:sz w:val="18"/>
                <w:szCs w:val="18"/>
                <w:b w:val="1"/>
                <w:bCs w:val="1"/>
                <w:color w:val="auto"/>
              </w:rPr>
              <w:t>Year Ended December 31, 2021</w:t>
            </w:r>
          </w:p>
        </w:tc>
      </w:tr>
      <w:tr>
        <w:trPr>
          <w:trHeight w:val="191"/>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Workforce</w:t>
            </w: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Segments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Solutions</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Provider Solutions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199,676</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243,617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5,767</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13,095</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205,443</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256,712</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ind w:left="1000"/>
              <w:spacing w:after="0"/>
              <w:rPr>
                <w:sz w:val="20"/>
                <w:szCs w:val="20"/>
                <w:color w:val="auto"/>
              </w:rPr>
            </w:pPr>
            <w:r>
              <w:rPr>
                <w:rFonts w:ascii="Arial" w:cs="Arial" w:eastAsia="Arial" w:hAnsi="Arial"/>
                <w:sz w:val="18"/>
                <w:szCs w:val="18"/>
                <w:b w:val="1"/>
                <w:bCs w:val="1"/>
                <w:color w:val="auto"/>
              </w:rPr>
              <w:t>Year Ended December 31, 2020</w:t>
            </w:r>
          </w:p>
        </w:tc>
      </w:tr>
      <w:tr>
        <w:trPr>
          <w:trHeight w:val="191"/>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Workforce</w:t>
            </w: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Segments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Solutions</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Provider Solutions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193,673</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233,910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3,914</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10,916</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197,587</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244,826</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2022, 2021, and 2020, the Company recognized $0.4 million, $0.7 million, and $0.3 million, respectively, in impairment losses on receivables and contract assets arising from contracts with customers.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years ended December 31, 2022, 2021, and 2020, the Company recognized revenues of $71.4 million, $62.3 million, and $64.5 million, respectively, from amounts included in deferred revenue at the beginning of the respective period. As of December 31, 2022, $517 million of revenue is expected to be recognized from remaining performance obligations under contracts with customers. We expect to recognize revenue on approximately 44% of these remaining performance obligations over the 12 months ending December 31, 2023, with the remaining amounts recognized thereafter.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commissions earned by our sales employees are considered incremental and recoverable costs of obtaining a contract with a customer. The Company recorded amortization of deferred commissions of $10.6 million, $9.2 million, and $8.8 million for the years ended December 31, 2022, 2021, and 2020, respectively, which is included in sales and marketing expenses in the accompanying Consolidated Statements of Income.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124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9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15,843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Gross property and equipment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35,763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35,949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(20,280)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(17,999)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15,483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of property and equipment totaled $4.5 million, $6.3 million, and $6.9 million for the years ended December 31, 2022,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years ended December 31, 2022 and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Workforce</w:t>
            </w:r>
          </w:p>
        </w:tc>
        <w:tc>
          <w:tcPr>
            <w:tcW w:w="20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Provider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Solutions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Solutions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182,501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Acquisition of CloudCME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6,819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eeds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Post-closing adjustment for ANSOS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2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Post-closing adjustment for ComplyALIGN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Post-closing adjustment for Rievent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r>
      <w:tr>
        <w:trPr>
          <w:trHeight w:val="20"/>
        </w:trPr>
        <w:tc>
          <w:tcPr>
            <w:tcW w:w="6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Balance at December 31, 2022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117,974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74,424</w:t>
            </w: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192,398</w:t>
            </w: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Workforce</w:t>
            </w:r>
          </w:p>
        </w:tc>
        <w:tc>
          <w:tcPr>
            <w:tcW w:w="20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Provider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Solutions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Solutions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178,440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Acquisition of ComplyALIGN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Rievent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Post-closing adjustment for ANSOS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r>
      <w:tr>
        <w:trPr>
          <w:trHeight w:val="216"/>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108,077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74,424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182,501</w:t>
            </w: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Intangible assets other than goodwill that are considered to have finite useful lives include customer-related intangibles consisting of customer relationships, which are amortized over their estimated useful lives ranging from eight to eighteen years, and other intangible assets consisting of developed technology, non-competition agreements, and trade names, which are amortized over their estimated useful lives ranging from one to ten years. The Company also recorded an indefinite lived intangible for a trade name valued at $0.7 million. However, in January 2023, the Company made a decision regarding the use of the indefinite lived trade name such that beginning in 2023, it will be amortized over a ten year remaining useful life and is therefore included in the future annual amortization expense table below. Amortization of intangible assets was $14.5 million, $14.9 million, and $10.5 million for the years ended December 31, 2022, 2021, and 2020,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As of December 31, 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rPr>
              <w:t>As of December 31, 2021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Gross Amount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Gross 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109,821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(48,552)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61,269</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(45,615)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68,803</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33,102</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(12,818)</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37,154</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(16,752)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20,402</w:t>
            </w:r>
          </w:p>
        </w:tc>
      </w:tr>
      <w:tr>
        <w:trPr>
          <w:trHeight w:val="20"/>
        </w:trPr>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142,923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81,553</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(62,367)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89,205</w:t>
            </w: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89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920" w:type="dxa"/>
            <w:vAlign w:val="bottom"/>
            <w:gridSpan w:val="2"/>
          </w:tcPr>
          <w:p>
            <w:pPr>
              <w:spacing w:after="0"/>
              <w:rPr>
                <w:sz w:val="20"/>
                <w:szCs w:val="20"/>
                <w:color w:val="auto"/>
              </w:rPr>
            </w:pPr>
            <w:r>
              <w:rPr>
                <w:rFonts w:ascii="Arial" w:cs="Arial" w:eastAsia="Arial" w:hAnsi="Arial"/>
                <w:sz w:val="18"/>
                <w:szCs w:val="18"/>
                <w:color w:val="auto"/>
                <w:w w:val="98"/>
              </w:rPr>
              <w:t>The expected future annual amortization expense for the years ending December 31, is as follows (in thousands):</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2024</w:t>
            </w:r>
          </w:p>
        </w:tc>
        <w:tc>
          <w:tcPr>
            <w:tcW w:w="7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13,313</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2026</w:t>
            </w:r>
          </w:p>
        </w:tc>
        <w:tc>
          <w:tcPr>
            <w:tcW w:w="7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9,496</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7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22,659</w:t>
            </w:r>
          </w:p>
        </w:tc>
        <w:tc>
          <w:tcPr>
            <w:tcW w:w="100" w:type="dxa"/>
            <w:vAlign w:val="bottom"/>
          </w:tcPr>
          <w:p>
            <w:pPr>
              <w:spacing w:after="0"/>
              <w:rPr>
                <w:sz w:val="18"/>
                <w:szCs w:val="18"/>
                <w:color w:val="auto"/>
              </w:rPr>
            </w:pPr>
          </w:p>
        </w:tc>
      </w:tr>
      <w:tr>
        <w:trPr>
          <w:trHeight w:val="249"/>
        </w:trPr>
        <w:tc>
          <w:tcPr>
            <w:tcW w:w="8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COMBINATIONS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19, 2021, the Company acquired the issued and outstanding equity of ProcessDATA, Ltd. (d/b/a ComplyALIGN and HospitalPORTAL) ("ComplyALIGN"), a Chicago, Illinois-based healthcare technology company offering SaaS-based policy management system for healthcare organizations, for $2.0 million in cash.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Net assets acquired were $2.0 million. Based on the fair value of assets acquired and liabilities assumed, including intangible assets of $1.0 million, goodwill of $1.0 million was established. The results of operations for ComplyALIGN are included in the Company’s Consolidated Financial Statements from the date of acquisition and are included in the Workforce Solutions segment.</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 2021, the Company acquired substantially all of the assets of Rievent Technologies, LLC ("Rievent"), a Virginia Beach, Virginia-based healthcare technology company offering a SaaS-based continuing education (CME/CE) management and delivery application, branded Rievent, which supports publishers, professional associations, healthcare insurance companies, and healthcare providers, for $4.0 million in cash.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Net assets acquired were $4.0 million. Based on the fair value of assets acquired and liabilities assumed, including intangible assets of $2.4 million, goodwill of $1.8 million was established. The results of operations for Rievent are included in the Company’s Consolidated Financial Statements from the date of acquisition and are included in the Workforce Solutions segment.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May 18, 2022 </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acquired the remaining ownership interest (representing approximately 82% of the outstanding equity interests) of CloudCME, LLC ("CloudCME"), a Nashville-based healthcare technology company offering a SaaS-based application for managing all aspects of continuing education (CME/CE) within a healthcare organization, for approximately $4.0 million in cash and $4.1 million in shares of HealthStream's common stock issued through a private placement at closing. The Company previously held a minority interest in CloudCME of approximately 18%.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Net assets acquired were $9.6 million. Based on the fair value of assets acquired and liabilities assumed, including intangible assets of $3.8 million, goodwill of $6.8 million was established. The results of operations for CloudCME are included in the Company’s Consolidated Financial Statements from the date of acquisition and are included in the Workforce Solutions segment.</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31, 2022, the Company acquired substantially all of the assets of Electronic Education Documentation System, LLC (d/b/a eeds) ("eeds"), an Asheville, North Carolina-based healthcare technology company offering a SaaS-based continuing education (CME/CE) management system for healthcare organizations, for approximately $6.6 million in cash, reflecting customary purchase price adjustments made to the purchase price paid of $7.0 million. The purchase price was included in accrued liabilities in the Company's Consolidated Balance Sheet as of December 31, 2022 and was paid in January 2023. Of the purchase price paid at closing, $0.6 million is being held in escrow for a period of time following the closing to serve as a source of recovery for certain potential indemnification claims by the Company. Acquisition-related transaction costs were $0.1 million. The acquisition is not considered material to the Company’s financial statements. The Company accounted for the acquisition as a business combination and has preliminarily allocated the purchase consideration based on management’s estimates of fair value. Net assets acquired were $6.6 million. Based on the preliminary fair value of assets acquired and liabilities assumed, including intangible assets of $3.4 million, goodwill of $3.6 million was established. The results of operations for eeds are included in the Company’s Consolidated Financial Statements from the date of acquisition and are included in the Workforce Solutions segment.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information systems,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2022, 2021, and 2020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Revenues, net:</w:t>
            </w:r>
          </w:p>
        </w:tc>
        <w:tc>
          <w:tcPr>
            <w:tcW w:w="2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213,589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205,443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197,587</w:t>
            </w:r>
          </w:p>
        </w:tc>
      </w:tr>
      <w:tr>
        <w:trPr>
          <w:trHeight w:val="216"/>
        </w:trPr>
        <w:tc>
          <w:tcPr>
            <w:tcW w:w="406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53,237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51,269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47,239</w:t>
            </w:r>
          </w:p>
        </w:tc>
      </w:tr>
      <w:tr>
        <w:trPr>
          <w:trHeight w:val="20"/>
        </w:trPr>
        <w:tc>
          <w:tcPr>
            <w:tcW w:w="4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266,826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256,712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244,826</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31,736</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41,622</w:t>
            </w:r>
          </w:p>
        </w:tc>
      </w:tr>
      <w:tr>
        <w:trPr>
          <w:trHeight w:val="216"/>
        </w:trPr>
        <w:tc>
          <w:tcPr>
            <w:tcW w:w="632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7,915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Unallocated</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(29,906)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(30,482)</w:t>
            </w:r>
          </w:p>
        </w:tc>
      </w:tr>
      <w:tr>
        <w:trPr>
          <w:trHeight w:val="209"/>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operating income</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12,449</w:t>
            </w: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15,818</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Assets*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5"/>
              </w:rPr>
              <w:t>Purchases of long-lived assets</w:t>
            </w:r>
          </w:p>
        </w:tc>
        <w:tc>
          <w:tcPr>
            <w:tcW w:w="180" w:type="dxa"/>
            <w:vAlign w:val="bottom"/>
          </w:tcPr>
          <w:p>
            <w:pPr>
              <w:spacing w:after="0"/>
              <w:rPr>
                <w:sz w:val="20"/>
                <w:szCs w:val="20"/>
                <w:color w:val="auto"/>
              </w:rPr>
            </w:pPr>
          </w:p>
        </w:tc>
        <w:tc>
          <w:tcPr>
            <w:tcW w:w="30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Depreciation and amortization</w:t>
            </w:r>
          </w:p>
        </w:tc>
      </w:tr>
      <w:tr>
        <w:trPr>
          <w:trHeight w:val="210"/>
        </w:trPr>
        <w:tc>
          <w:tcPr>
            <w:tcW w:w="2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Workforce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258,864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23,741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Provider Solutions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135,276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137,008</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5,889</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4,719</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2,849</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9,722</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9,861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10,311</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88,977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6,948</w:t>
            </w:r>
          </w:p>
        </w:tc>
      </w:tr>
      <w:tr>
        <w:trPr>
          <w:trHeight w:val="20"/>
        </w:trPr>
        <w:tc>
          <w:tcPr>
            <w:tcW w:w="2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497,741</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486,753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25,855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23,442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21,008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37,945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36,813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30,189</w:t>
            </w: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9" w:lineRule="auto"/>
        <w:tabs>
          <w:tab w:leader="none" w:pos="1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Segment assets include accounts and unbilled receivables, prepaid royalties, prepaid and other current assets, other assets, capitalized software development, deferred commissions, certain property and equipment,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in greater detail earlier in this Annual Report on Form 10-K, the Company has been in the process of more completely unifying its business under a single platform strategy that is designed to serve as a foundation for the entire enterprise. As a result of this process, the Company’s business is now organized and managed around a consolidated, enterprise approach, including with regard to technology, operations, accounting, internal reporting, organizational structure, compensation, performance assessment, and resource allocation. As of January 2023, the Company’s shift to operate and organize itself on a consolidated, enterprise basis consistent with its single platform strategy reached an inflection point which has resulted in Workforce Solutions and Provider Solutions no longer existing as separate operating segments or separate reportable segments. As a result, beginning with the Quarterly Report on Form 10-Q to be filed for the three months ended March 31, 2023, the Company will report its financial performance as a single reportable segment.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2023, the Company has one operating segment. Operating segments are defined as components of an enterprise where separate financial information is evaluated regularly by a chief operating decision maker (CODM) in deciding how to allocate resources and assess performance. As of January 1, 2023, the Company’s CODM was our Chief Executive Officer, Robert A. Frist, Jr. The Company’s CODM now allocates resources and assesses performance based upon discrete financial information at the consolidated level. Discrete financial information to measure profitability is no longer being prepared at any other level.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10. INCOME TAXES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color w:val="auto"/>
                <w:w w:val="97"/>
              </w:rPr>
              <w:t>Components of earnings before income taxes are as follows (in thousands):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15,777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17,719</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0"/>
        </w:trPr>
        <w:tc>
          <w:tcPr>
            <w:tcW w:w="5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before income taxes</w:t>
            </w:r>
          </w:p>
        </w:tc>
        <w:tc>
          <w:tcPr>
            <w:tcW w:w="13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15,585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17,823</w:t>
            </w:r>
          </w:p>
        </w:tc>
      </w:tr>
      <w:tr>
        <w:trPr>
          <w:trHeight w:val="413"/>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8"/>
              </w:rPr>
              <w:t>The provision for income taxes is comprised of the following (in thousands):</w:t>
            </w:r>
          </w:p>
        </w:tc>
        <w:tc>
          <w:tcPr>
            <w:tcW w:w="40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4"/>
        </w:trPr>
        <w:tc>
          <w:tcPr>
            <w:tcW w:w="5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 federal</w:t>
            </w:r>
          </w:p>
        </w:tc>
        <w:tc>
          <w:tcPr>
            <w:tcW w:w="13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state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923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 foreign</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Deferred federal</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495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state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Deferred foreign</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5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3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reconciliation of income taxes at the statutory federal income tax rate to the provision for income taxes included in the accompanying Consolidated Statements of Income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720" w:type="dxa"/>
            <w:vAlign w:val="bottom"/>
            <w:gridSpan w:val="7"/>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the statutory rate</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9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prior year taxes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Changes in uncertain tax positions</w:t>
            </w:r>
          </w:p>
        </w:tc>
        <w:tc>
          <w:tcPr>
            <w:tcW w:w="9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767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09"/>
        </w:trPr>
        <w:tc>
          <w:tcPr>
            <w:tcW w:w="632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periodically assesses the realizability of its deferred tax assets, and to the extent that a recovery is not likely, a valuation allowance is established to reduce the deferred tax asset to the amount estimated to be recoverable. At December 31, 2022, the Company has a valuation allowance of $1.9 million recorded against deferred tax assets for state net operating losses and certain foreign deferred tax assets.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the Company had federal, state, and foreign net operating loss carryforwards of $5.5 million, $15.2 million, and $8.4 million, respectively. Certain losses have an indefinite carryforward period, while other loss carryforwards will expire in years 2032 through 2042. A portion of the net operating loss carryforwards are subject to annual limitations under Internal Revenue Code Section 382. The annual limitations could result in the expiration of net operating loss and tax credit carryforwards before they are fully utilized. The Company is subject to income taxation at the federal, foreign, and various state levels. We are under examination by the Internal Revenue Service for the 2018 tax year, and have agreed to finalization of this examination and do not expect the adjustment to exceed the uncertain tax position previously recorded. The Company is no longer subject to U.S. federal tax examinations for tax years before 2018, and with few exceptions, the Company is not subject to examination by foreign or state tax authorities for tax years which ended before 2019. Loss carryforwards and credit carryforwards generated or utilized in years earlier than 2019 are also subject to examination and adjustment.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liability for gross unrecognized tax benefits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Additions for tax positions in current year</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Upon reaching the final determination of the 2018 IRS examination, which resulted in a reduction to the research &amp; development tax credit for 2018, the Company evaluated its research &amp; development credit realizability for all open tax years. Taking into consideration the subjectivity of this credit qualification, the Company increased the reserve for uncertain tax positions by $0.7 million during the current year.</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$31,000 and $7,000 for interest and penalties related to unrecognized tax benefits within the provision for income taxes during the years ended December 31, 2022 and 2021, respectively. Unrecognized tax benefits included tax positions of $1.0 million and $0.3 million for the years ended December 31, 2022 and 2021, respectively, that if recognized would impact the Company’s effective tax rate.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Allowance for credit losses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Lease liability</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6,896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Tax credits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Basis difference on investments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14,297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Less: Valuation allowance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Deferred tax assets, net of valuation allowance</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12,350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Deductible goodwill</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5,691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Nondeductible intangible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Right of use assets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6,001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Capitalized software development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Basis difference on investments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29,963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17,613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$97,000 of excess tax deficiencies related to stock-based awards during the year ended December 31, 2022, which was reflected in the statement of income as a component of the provision for income taxes.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Incentive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outstanding stock-based awards under its 2016 Omnibus Incentive Plan (2016 Plan) and 2022 Omnibus Incentive Plan (2022 Plan) (collectively, the 2016 Plan and the 2022 Plan, referred to as the Plans). The 2022 Plan authorizes the grant of options, restricted share units (RSUs), or other forms of stock-based compensation to employees, officers, directors, and others, and such grants must be approved by the Compensation Committee of the Board of Directors. The 2022 Plan allows the Compensation Committee of the Board of Directors to determine the vesting period and parameters of each grant. The vesting period of the options and RSUs granted has historically included annual vesting over a period of up to five years, generally beginning one year after the grant date. As of December 31, 2022, 1,254,309 shares of common stock were available to be granted under the 2022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Activity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relative to stock options for the year ended December 31, 2022 is as follows (in thousands, except weighted-average exercise price).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Common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Average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6320" w:type="dxa"/>
            <w:vAlign w:val="bottom"/>
          </w:tcPr>
          <w:p>
            <w:pPr>
              <w:spacing w:after="0"/>
              <w:rPr>
                <w:sz w:val="20"/>
                <w:szCs w:val="20"/>
                <w:color w:val="auto"/>
              </w:rPr>
            </w:pPr>
          </w:p>
        </w:tc>
        <w:tc>
          <w:tcPr>
            <w:tcW w:w="11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Intrinsic Value</w:t>
            </w:r>
          </w:p>
        </w:tc>
        <w:tc>
          <w:tcPr>
            <w:tcW w:w="100" w:type="dxa"/>
            <w:vAlign w:val="bottom"/>
          </w:tcPr>
          <w:p>
            <w:pPr>
              <w:spacing w:after="0"/>
              <w:rPr>
                <w:sz w:val="20"/>
                <w:szCs w:val="20"/>
                <w:color w:val="auto"/>
              </w:rPr>
            </w:pPr>
          </w:p>
        </w:tc>
      </w:tr>
      <w:tr>
        <w:trPr>
          <w:trHeight w:val="209"/>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1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0"/>
        </w:trPr>
        <w:tc>
          <w:tcPr>
            <w:tcW w:w="6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end of period</w:t>
            </w: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32</w:t>
            </w:r>
          </w:p>
        </w:tc>
        <w:tc>
          <w:tcPr>
            <w:tcW w:w="1040" w:type="dxa"/>
            <w:vAlign w:val="bottom"/>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88"/>
              </w:rPr>
              <w:t>20.34</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142</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for stock options in the table above represents the total difference between the Company’s closing stock price on December 30, 2022 (the last trading day of the year) of $24.84 per share and the option exercise price, multiplied by the number of in-the money options as of December 31, 2022. The weighted average remaining contractual term of options outstanding at December 31, 2022 was 8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 Unit Activity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relative to RSUs for the year ended December 31, 2022 is as follows (in thousands, except weighted-average grant date fair value):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beginning of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end of period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Grant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17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RSU’s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Intrinsic Value</w:t>
            </w:r>
          </w:p>
        </w:tc>
      </w:tr>
      <w:tr>
        <w:trPr>
          <w:trHeight w:val="195"/>
        </w:trPr>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13,213</w:t>
            </w:r>
          </w:p>
        </w:tc>
        <w:tc>
          <w:tcPr>
            <w:tcW w:w="20" w:type="dxa"/>
            <w:vAlign w:val="bottom"/>
          </w:tcPr>
          <w:p>
            <w:pPr>
              <w:spacing w:after="0"/>
              <w:rPr>
                <w:sz w:val="18"/>
                <w:szCs w:val="18"/>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5" w:right="339" w:bottom="1440" w:gutter="0" w:footer="0" w:header="0"/>
          <w:type w:val="continuous"/>
        </w:sectPr>
      </w:pP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aggregate fair value of RSUs that vested during the year ended December 31, 2022 and 2021, as of the respective vesting dates, was $3.1 million and $2.3 million, respectively. A portion of RSUs that vested in 2022 and 2021 were net-share settled such that the Company withheld shares with value equivalent to the employees’ minimum statutory obligation for the applicable income and other employment taxes and remitted the cash to the appropriate taxing authorities. The total shares withheld for taxes during 2022 and 2021 were 28,000 and 20,000, respectively, and were based on the value of the RSUs on their respective settlement dates as determined by the Company’s closing stock price. Total payments related to RSUs for the employees’ tax obligations to taxing authorities were $0.6 million in 2022, $0.5 million in 2021, and $0.4 million in 2020, and are reflected as a financing activity within the Consolidated Statements of Cash Flows.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stock-based compensation expense, which is recorded in our Consolidated Statements of Income, recorded for the years ended December 31,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0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20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2,552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r>
      <w:tr>
        <w:trPr>
          <w:trHeight w:val="20"/>
        </w:trPr>
        <w:tc>
          <w:tcPr>
            <w:tcW w:w="5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r>
      <w:tr>
        <w:trPr>
          <w:trHeight w:val="20"/>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amortizes the fair value of all stock-based awards, net of estimated forfeitures, on a straight-line basis over the requisite service period, which generally is the vesting period. As of December 31, 2022, total unrecognized compensation expense related to non-vested stock options and RSUs was $6.9 million, net of estimated forfeitures, with a weighted average expense recognition period remaining of 2.8 years. The Company realized $97,000 of excess tax deficiencies related to stock-based awards during the year ended December 31, 2022, which was reflected in the Consolidated Statement of Income as a component of the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During December 2021, the Company’s Chief Executive Officer, Robert A. Frist, Jr., contributed 86,494 of his personally owned shares of HealthStream, Inc. common stock (valued at $2.25 million) to the Company, without any consideration paid to him, for the benefit of the Company’s employees. In connection therewith, effective December 29, 2021 the Company approved the award of 86,494 fully vested shares of common stock to over 1,000 employees of the Company under the HealthStream, Inc. 2016 Omnibus Incentive Plan. These shares were issued in December 2021. As required by ASC Topic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 </w:t>
      </w:r>
      <w:r>
        <w:rPr>
          <w:rFonts w:ascii="Arial" w:cs="Arial" w:eastAsia="Arial" w:hAnsi="Arial"/>
          <w:sz w:val="16"/>
          <w:szCs w:val="16"/>
          <w:i w:val="1"/>
          <w:iCs w:val="1"/>
          <w:color w:val="auto"/>
        </w:rPr>
        <w:t>Stock Compensation</w:t>
      </w:r>
      <w:r>
        <w:rPr>
          <w:rFonts w:ascii="Arial" w:cs="Arial" w:eastAsia="Arial" w:hAnsi="Arial"/>
          <w:sz w:val="16"/>
          <w:szCs w:val="16"/>
          <w:color w:val="auto"/>
        </w:rPr>
        <w:t>, ("ASC 718") the Company recognized $2.25 million of stock-based compensation expense for these stock awards during the three months ended December 31, 2021 based on the closing fair market value of the Company’s stock on the date of the Company’s approval of these grants. Total payments related to the employees’ tax obligations to taxing authorities for these stock awards were $0.7 million and are reflected as a financing activity within the Consolidated Statement of Cash Flows for 2021. In addition, the employer taxes and expenses associated with these grants were $0.2 million and were recorded as an expense during December 2021. Mr. Frist contributed an additional 7,113 of his personally owned shares to cover these costs. The receipt of shares from Mr. Frist in connection with the withholding of shares as set forth above are presented on the Company’s Statement of Shareholders’ Equity in a similar manner as a share repurchase (i.e., reduction of outstanding shares).</w:t>
      </w:r>
    </w:p>
    <w:p>
      <w:pPr>
        <w:spacing w:after="0" w:line="195" w:lineRule="exact"/>
        <w:rPr>
          <w:sz w:val="20"/>
          <w:szCs w:val="20"/>
          <w:color w:val="auto"/>
        </w:rPr>
      </w:pPr>
    </w:p>
    <w:p>
      <w:pPr>
        <w:ind w:right="8560" w:firstLine="8"/>
        <w:spacing w:after="0" w:line="503" w:lineRule="auto"/>
        <w:tabs>
          <w:tab w:leader="none" w:pos="27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401(k) Plan</w:t>
      </w:r>
    </w:p>
    <w:p>
      <w:pPr>
        <w:jc w:val="both"/>
        <w:spacing w:after="0" w:line="257" w:lineRule="auto"/>
        <w:rPr>
          <w:sz w:val="20"/>
          <w:szCs w:val="20"/>
          <w:color w:val="auto"/>
        </w:rPr>
      </w:pPr>
      <w:r>
        <w:rPr>
          <w:rFonts w:ascii="Arial" w:cs="Arial" w:eastAsia="Arial" w:hAnsi="Arial"/>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$1.5 million, $2.0 million, and $1.2 million for the years ended December 31, 2022, 2021, and 2020,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the Company had no debt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entered into a Third Amendment to Revolving Credit Agreement ("Revolving Credit Facility"), amending the Revolving Credit Facility, dated as of November 24, 2014 with Truist Bank, successor by merger to SunTrust Bank ("Truist"), extending the maturity date to October 28, 2023. The Amendment also increased the capacity under the Revolving Credit Facility to $65.0 million, which continues to include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In addition, the Amendment, among other things, (i) increased the basket for dividends to $65.0 million so long as the pro forma leverage ratio is less than or equal to 1.50:1.00 and the Company has minimum liquidity of $30.0 million, (ii) increased the basket for permitted minority owned investments to $20.0 million, (iii) added a LIBOR floor of 0.50%, and (iv) adjusted the applicable margin. 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Agreement), and for stock repurchase and/or redemption transactions that the Company may authorize.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the Company was in compliance with all covenants. There were no balances outstanding on the Revolving Credit Facility as of December 31, 2022 and there were no borrowings under the Revolving Credit Facility during the year ended December 31, 2022.</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operating lease expense as presented in other general and administrative expense in the Consolidated Statements of Income was $4.3 million, $5.5 million, and $4.8 million for the twelve months ended December 31, 2022, 2021, and 2020, respectively. Cash paid for amounts included in the measurement of operating lease liabilities was $4.7 million and $5.3 million for the years ended December 31, 2022 and 2021, respectively. As of December 31, 2022, the weighted-average remaining lease term was 8.1 years, and the weighted-average incremental borrowing rate was 6%. As of December 31, 2022, the Company did not have any leases that had not yet commenced.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table below presents the lease-related assets and liabilities recorded on the Consolidated Balance Sheets as of December 31, 2022 and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45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Classification</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4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45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Operating lease right of use assets,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ind w:left="340"/>
              <w:spacing w:after="0"/>
              <w:rPr>
                <w:sz w:val="20"/>
                <w:szCs w:val="20"/>
                <w:color w:val="auto"/>
              </w:rPr>
            </w:pPr>
            <w:r>
              <w:rPr>
                <w:rFonts w:ascii="Arial" w:cs="Arial" w:eastAsia="Arial" w:hAnsi="Arial"/>
                <w:sz w:val="18"/>
                <w:szCs w:val="18"/>
                <w:color w:val="auto"/>
              </w:rPr>
              <w:t>Total leased assets</w:t>
            </w:r>
          </w:p>
        </w:tc>
        <w:tc>
          <w:tcPr>
            <w:tcW w:w="45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22,759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25,168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4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4540" w:type="dxa"/>
            <w:vAlign w:val="bottom"/>
          </w:tcPr>
          <w:p>
            <w:pPr>
              <w:ind w:left="5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2,840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45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Operating lease liability, noncurrent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ind w:left="340"/>
              <w:spacing w:after="0"/>
              <w:rPr>
                <w:sz w:val="20"/>
                <w:szCs w:val="20"/>
                <w:color w:val="auto"/>
              </w:rPr>
            </w:pPr>
            <w:r>
              <w:rPr>
                <w:rFonts w:ascii="Arial" w:cs="Arial" w:eastAsia="Arial" w:hAnsi="Arial"/>
                <w:sz w:val="18"/>
                <w:szCs w:val="18"/>
                <w:color w:val="auto"/>
              </w:rPr>
              <w:t>Total operating lease liabilities</w:t>
            </w:r>
          </w:p>
        </w:tc>
        <w:tc>
          <w:tcPr>
            <w:tcW w:w="45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580" w:type="dxa"/>
            <w:vAlign w:val="bottom"/>
            <w:gridSpan w:val="5"/>
          </w:tcPr>
          <w:p>
            <w:pPr>
              <w:spacing w:after="0"/>
              <w:rPr>
                <w:sz w:val="20"/>
                <w:szCs w:val="20"/>
                <w:color w:val="auto"/>
              </w:rPr>
            </w:pPr>
            <w:r>
              <w:rPr>
                <w:rFonts w:ascii="Arial" w:cs="Arial" w:eastAsia="Arial" w:hAnsi="Arial"/>
                <w:sz w:val="18"/>
                <w:szCs w:val="18"/>
                <w:color w:val="auto"/>
                <w:w w:val="93"/>
              </w:rPr>
              <w:t>The table below presents the maturities of lease liabilities under non-cancellable leases as of December 31, 2022 (in thousands).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2024</w:t>
            </w:r>
          </w:p>
        </w:tc>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2026</w:t>
            </w:r>
          </w:p>
        </w:tc>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undiscounted lease payments</w:t>
            </w:r>
          </w:p>
        </w:tc>
        <w:tc>
          <w:tcPr>
            <w:tcW w:w="4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4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subleases certain of its office space included above under non-cancellable leases and is due to receive future minimum rental payments of approximately $0.2 million, $0.2 million, and $37,000 for the years ended December 31, 2023, 2024, and 2025,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NON-MARKETABLE EQUITY INVESTMENTS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carrying amount of non-marketable equity investments accounted for using the measurement alternative for equity investments that do not have readily determinable fair values was $1.5 million and $2.8 million for the years ended December 31, 2022 and 2021, respectively, which we evaluate for impairment at each reporting period. During the year ended December 31, 2022, the Company recorded a $2.7 million upward adjustment to the carrying value of a non-marketable equity investment due to a change in fair value based on the consideration received upon the sale of the investment. During the year ended December 31, 2021, the Company recorded a $0.3 million upward adjustment to the carrying value of a non-marketable equity investment due to a change in fair value based on the consideration received upon the sale of the investment. Cumulatively, the Company has recorded $2.8 million in upward adjustments to the carrying value of non-marketable equity investments. Such is the combination of cumulative upward adjustments of $4.1 million offset by cumulative downward adjustments of $1.3 million. Cumulatively, the Company has recorded $1.3 million in reductions to the carrying value of non-marketable equity investments due to downward changes in fair value based on observable prices from orderly transactions for similar investments made in the investee. The fair value of non-marketable equity investments is not estimated if there are no identified events or changes in circumstances that may have a significant adverse effect on the fair value of the investment.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2022.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discussed above, we completed the acquisition of eeds on December 31, 2022. We are in the process of analyzing the systems of internal control over financial reporting of the acquired eeds business and integrating it within our broader framework of controls. In accordance with the SEC’s rules which allow us to exclude acquired businesses from our internal controls assessment in respect of periods ending on or prior to the first anniversary of the completion of any such acquisition, and taking into account the proximity of the closing date of this acquisition to our internal controls assessment date of December 31, 2022, we have excluded the acquired eeds business from management’s assessment of the effectiveness of internal control over financial reporting as of December 31, 2022. The assets of eeds as of December 31, 2022 represented less than 1% of our total consolidated assets as of such date, and eeds had no net revenue recorded during our fiscal year ended December 31, 2022. We plan to complete the integration of the acquired eeds business within our broader framework of internal controls during 2023 and include this business within management’s assessment of our internal control over financial reporting in our next annual report on Form 10-K.</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2022.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2022,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2022 that have materially affected, or that are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Information as to directors of the Company and corporate governance is incorporated by reference from the information to be contained in our proxy statement for the 2023 Annual Meeting of Shareholders (2023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Information about our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to be contained in the Company’s 2023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to be contained in the Company’s 2023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to be contained in the Company’s 2023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to be contained in the Company’s 2023 Proxy Statement.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center"/>
        <w:ind w:right="7540"/>
        <w:spacing w:after="0"/>
        <w:rPr>
          <w:sz w:val="20"/>
          <w:szCs w:val="20"/>
          <w:color w:val="auto"/>
        </w:rPr>
      </w:pPr>
      <w:r>
        <w:rPr>
          <w:rFonts w:ascii="Arial" w:cs="Arial" w:eastAsia="Arial" w:hAnsi="Arial"/>
          <w:sz w:val="15"/>
          <w:szCs w:val="15"/>
          <w:b w:val="1"/>
          <w:bCs w:val="1"/>
          <w:color w:val="auto"/>
        </w:rPr>
        <w:t xml:space="preserve">Item 15. </w:t>
      </w:r>
      <w:r>
        <w:rPr>
          <w:rFonts w:ascii="Arial" w:cs="Arial" w:eastAsia="Arial" w:hAnsi="Arial"/>
          <w:sz w:val="15"/>
          <w:szCs w:val="15"/>
          <w:b w:val="1"/>
          <w:bCs w:val="1"/>
          <w:i w:val="1"/>
          <w:iCs w:val="1"/>
          <w:color w:val="auto"/>
        </w:rPr>
        <w:t>Exhibits, Financial Statement Schedules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financial statements included in Item 8 to this Report on Form 10-K.</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(a)(3)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25"/>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2.1 (1)</w:t>
            </w:r>
          </w:p>
        </w:tc>
        <w:tc>
          <w:tcPr>
            <w:tcW w:w="1280" w:type="dxa"/>
            <w:vAlign w:val="bottom"/>
          </w:tcPr>
          <w:p>
            <w:pPr>
              <w:spacing w:after="0"/>
              <w:rPr>
                <w:sz w:val="17"/>
                <w:szCs w:val="17"/>
                <w:color w:val="auto"/>
              </w:rPr>
            </w:pPr>
          </w:p>
        </w:tc>
        <w:tc>
          <w:tcPr>
            <w:tcW w:w="856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Membership Interest Purchase Agreement, by and between HealthStream, Inc. and Press Ganey Associates, Inc., dated</w:t>
              </w:r>
            </w:hyperlink>
          </w:p>
        </w:tc>
        <w:tc>
          <w:tcPr>
            <w:tcW w:w="740" w:type="dxa"/>
            <w:vAlign w:val="bottom"/>
            <w:gridSpan w:val="10"/>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February 12, 2018.</w:t>
              </w:r>
            </w:hyperlink>
          </w:p>
        </w:tc>
        <w:tc>
          <w:tcPr>
            <w:tcW w:w="7920" w:type="dxa"/>
            <w:vAlign w:val="bottom"/>
            <w:gridSpan w:val="36"/>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2.2 (2)</w:t>
            </w:r>
          </w:p>
        </w:tc>
        <w:tc>
          <w:tcPr>
            <w:tcW w:w="1280" w:type="dxa"/>
            <w:vAlign w:val="bottom"/>
          </w:tcPr>
          <w:p>
            <w:pPr>
              <w:spacing w:after="0"/>
              <w:rPr>
                <w:sz w:val="17"/>
                <w:szCs w:val="17"/>
                <w:color w:val="auto"/>
              </w:rPr>
            </w:pPr>
          </w:p>
        </w:tc>
        <w:tc>
          <w:tcPr>
            <w:tcW w:w="930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Equity Purchase Agreement, dated November 25, 2020, by and among HSTM Max Holdings, Inc., Change Healthcare Holdings,</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1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LLC, Change Healthcare Technologies, LLC and Change Healthcare Ireland Limited.</w:t>
              </w:r>
            </w:hyperlink>
          </w:p>
        </w:tc>
        <w:tc>
          <w:tcPr>
            <w:tcW w:w="3120" w:type="dxa"/>
            <w:vAlign w:val="bottom"/>
            <w:gridSpan w:val="21"/>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280" w:type="dxa"/>
            <w:vAlign w:val="bottom"/>
          </w:tcPr>
          <w:p>
            <w:pPr>
              <w:spacing w:after="0"/>
              <w:rPr>
                <w:sz w:val="17"/>
                <w:szCs w:val="17"/>
                <w:color w:val="auto"/>
              </w:rPr>
            </w:pPr>
          </w:p>
        </w:tc>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Fourth Amended and Restated Charter of HealthStream, Inc.</w:t>
              </w:r>
            </w:hyperlink>
          </w:p>
        </w:tc>
        <w:tc>
          <w:tcPr>
            <w:tcW w:w="4980" w:type="dxa"/>
            <w:vAlign w:val="bottom"/>
            <w:gridSpan w:val="24"/>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w w:val="96"/>
              </w:rPr>
              <w:t>3.2 (3) *</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Second Amended and Restated Bylaws of HealthStream, Inc.</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Form of certificate representing the common stock, no par value per share, of HealthStream, Inc.</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80" w:type="dxa"/>
            <w:vAlign w:val="bottom"/>
          </w:tcPr>
          <w:p>
            <w:pPr>
              <w:spacing w:after="0"/>
              <w:rPr>
                <w:sz w:val="17"/>
                <w:szCs w:val="17"/>
                <w:color w:val="auto"/>
              </w:rPr>
            </w:pPr>
          </w:p>
        </w:tc>
        <w:tc>
          <w:tcPr>
            <w:tcW w:w="6960" w:type="dxa"/>
            <w:vAlign w:val="bottom"/>
            <w:tcBorders>
              <w:top w:val="single" w:sz="8" w:color="0000EE"/>
            </w:tcBorders>
            <w:gridSpan w:val="20"/>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0">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1">
              <w:r>
                <w:rPr>
                  <w:rFonts w:ascii="Arial" w:cs="Arial" w:eastAsia="Arial" w:hAnsi="Arial"/>
                  <w:sz w:val="18"/>
                  <w:szCs w:val="18"/>
                  <w:color w:val="0000EE"/>
                </w:rPr>
                <w:t>3.2</w:t>
              </w:r>
            </w:hyperlink>
            <w:r>
              <w:rPr>
                <w:rFonts w:ascii="Arial" w:cs="Arial" w:eastAsia="Arial" w:hAnsi="Arial"/>
                <w:sz w:val="18"/>
                <w:szCs w:val="18"/>
                <w:color w:val="auto"/>
              </w:rPr>
              <w:t>.</w:t>
            </w:r>
          </w:p>
        </w:tc>
        <w:tc>
          <w:tcPr>
            <w:tcW w:w="2340" w:type="dxa"/>
            <w:vAlign w:val="bottom"/>
            <w:gridSpan w:val="20"/>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4.3 (4)</w:t>
            </w:r>
          </w:p>
        </w:tc>
        <w:tc>
          <w:tcPr>
            <w:tcW w:w="1280" w:type="dxa"/>
            <w:vAlign w:val="bottom"/>
          </w:tcPr>
          <w:p>
            <w:pPr>
              <w:spacing w:after="0"/>
              <w:rPr>
                <w:sz w:val="17"/>
                <w:szCs w:val="17"/>
                <w:color w:val="auto"/>
              </w:rPr>
            </w:pPr>
          </w:p>
        </w:tc>
        <w:tc>
          <w:tcPr>
            <w:tcW w:w="36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Description of Capital Stock of HealthStream, Inc.</w:t>
              </w:r>
            </w:hyperlink>
          </w:p>
        </w:tc>
        <w:tc>
          <w:tcPr>
            <w:tcW w:w="5640" w:type="dxa"/>
            <w:vAlign w:val="bottom"/>
            <w:gridSpan w:val="26"/>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Form of Indemnification Agreement</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Contribution Agreement dated as of December 29, 2021 between HealthStream, Inc. and Robert A. Frist, Jr.</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86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80" w:type="dxa"/>
            <w:vAlign w:val="bottom"/>
          </w:tcPr>
          <w:p>
            <w:pPr>
              <w:spacing w:after="0"/>
              <w:rPr>
                <w:sz w:val="17"/>
                <w:szCs w:val="17"/>
                <w:color w:val="auto"/>
              </w:rPr>
            </w:pPr>
          </w:p>
        </w:tc>
        <w:tc>
          <w:tcPr>
            <w:tcW w:w="78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Executive Employment Agreement, dated July 21, 2005, between HealthStream, Inc. and Robert A. Frist, Jr.</w:t>
              </w:r>
            </w:hyperlink>
          </w:p>
        </w:tc>
        <w:tc>
          <w:tcPr>
            <w:tcW w:w="1480" w:type="dxa"/>
            <w:vAlign w:val="bottom"/>
            <w:gridSpan w:val="14"/>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w w:val="99"/>
              </w:rPr>
              <w:t>10.4 (7)</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Revolving Credit Agreement, dated November 24, 2014, by and among HealthStream, Inc., the several banks and other financial</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80" w:type="dxa"/>
            <w:vAlign w:val="bottom"/>
            <w:tcBorders>
              <w:top w:val="single" w:sz="8" w:color="0000EE"/>
            </w:tcBorders>
            <w:gridSpan w:val="39"/>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institutions and lenders from time to time party thereto and SunTrust Bank, as administrative agent, issuing bank, and swingline</w:t>
              </w:r>
            </w:hyperlink>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87">
              <w:r>
                <w:rPr>
                  <w:rFonts w:ascii="Arial" w:cs="Arial" w:eastAsia="Arial" w:hAnsi="Arial"/>
                  <w:sz w:val="18"/>
                  <w:szCs w:val="18"/>
                  <w:color w:val="0000EE"/>
                  <w:w w:val="87"/>
                </w:rPr>
                <w:t>lender</w:t>
              </w:r>
            </w:hyperlink>
          </w:p>
        </w:tc>
        <w:tc>
          <w:tcPr>
            <w:tcW w:w="8740" w:type="dxa"/>
            <w:vAlign w:val="bottom"/>
            <w:tcBorders>
              <w:top w:val="single" w:sz="8" w:color="0000EE"/>
            </w:tcBorders>
            <w:gridSpan w:val="36"/>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80" w:type="dxa"/>
            <w:vAlign w:val="bottom"/>
          </w:tcPr>
          <w:p>
            <w:pPr>
              <w:spacing w:after="0"/>
              <w:rPr>
                <w:sz w:val="17"/>
                <w:szCs w:val="17"/>
                <w:color w:val="auto"/>
              </w:rPr>
            </w:pPr>
          </w:p>
        </w:tc>
        <w:tc>
          <w:tcPr>
            <w:tcW w:w="43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2"/>
              </w:rPr>
              <w:t>Summary of Director and Executive Officer Compensation</w:t>
            </w:r>
          </w:p>
        </w:tc>
        <w:tc>
          <w:tcPr>
            <w:tcW w:w="4980" w:type="dxa"/>
            <w:vAlign w:val="bottom"/>
            <w:gridSpan w:val="24"/>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Letter Agreement, dated as of September 24, 2015, between HealthStream, Inc. and Michael Sousa.</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2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2016 Omnibus Incentive Plan.</w:t>
              </w:r>
            </w:hyperlink>
          </w:p>
        </w:tc>
        <w:tc>
          <w:tcPr>
            <w:tcW w:w="4980" w:type="dxa"/>
            <w:vAlign w:val="bottom"/>
            <w:tcBorders>
              <w:top w:val="single" w:sz="8" w:color="0000EE"/>
            </w:tcBorders>
            <w:gridSpan w:val="15"/>
          </w:tcPr>
          <w:p>
            <w:pPr>
              <w:spacing w:after="0"/>
              <w:rPr>
                <w:sz w:val="17"/>
                <w:szCs w:val="17"/>
                <w:color w:val="auto"/>
              </w:rPr>
            </w:pPr>
          </w:p>
        </w:tc>
        <w:tc>
          <w:tcPr>
            <w:tcW w:w="2120" w:type="dxa"/>
            <w:vAlign w:val="bottom"/>
            <w:gridSpan w:val="19"/>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Form of HealthStream, Inc. Restricted Share Unit Agreement (Officers) under 2016 Omnibus Incentive Plan.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100" w:type="dxa"/>
            <w:vAlign w:val="bottom"/>
            <w:tcBorders>
              <w:lef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w w:val="94"/>
              </w:rPr>
            </w:pPr>
            <w:hyperlink r:id="rId91">
              <w:r>
                <w:rPr>
                  <w:rFonts w:ascii="Arial" w:cs="Arial" w:eastAsia="Arial" w:hAnsi="Arial"/>
                  <w:sz w:val="18"/>
                  <w:szCs w:val="18"/>
                  <w:color w:val="0000EE"/>
                  <w:w w:val="94"/>
                </w:rPr>
                <w:t>Form of HealthStream, Inc. Restricted Share Unit Agreement (Non-Employee Director) under 2016 Omnibus Incentive Plan.</w:t>
              </w:r>
            </w:hyperlink>
          </w:p>
        </w:tc>
      </w:tr>
      <w:tr>
        <w:trPr>
          <w:trHeight w:val="196"/>
        </w:trPr>
        <w:tc>
          <w:tcPr>
            <w:tcW w:w="1920" w:type="dxa"/>
            <w:vAlign w:val="bottom"/>
            <w:gridSpan w:val="2"/>
          </w:tcPr>
          <w:p>
            <w:pPr>
              <w:spacing w:after="0" w:line="196" w:lineRule="exact"/>
              <w:rPr>
                <w:sz w:val="20"/>
                <w:szCs w:val="20"/>
                <w:color w:val="auto"/>
              </w:rPr>
            </w:pPr>
            <w:r>
              <w:rPr>
                <w:rFonts w:ascii="Arial" w:cs="Arial" w:eastAsia="Arial" w:hAnsi="Arial"/>
                <w:sz w:val="18"/>
                <w:szCs w:val="18"/>
                <w:color w:val="auto"/>
              </w:rPr>
              <w:t>10.10 (11)</w:t>
            </w:r>
          </w:p>
        </w:tc>
        <w:tc>
          <w:tcPr>
            <w:tcW w:w="90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Lease Agreement, dated April 3, 2017, by and between HealthStream, Inc. and Capitol View Joint Venture.</w:t>
              </w:r>
            </w:hyperlink>
          </w:p>
        </w:tc>
        <w:tc>
          <w:tcPr>
            <w:tcW w:w="280" w:type="dxa"/>
            <w:vAlign w:val="bottom"/>
            <w:gridSpan w:val="5"/>
          </w:tcPr>
          <w:p>
            <w:pPr>
              <w:spacing w:after="0"/>
              <w:rPr>
                <w:sz w:val="17"/>
                <w:szCs w:val="17"/>
                <w:color w:val="auto"/>
              </w:rPr>
            </w:pPr>
          </w:p>
        </w:tc>
      </w:tr>
      <w:tr>
        <w:trPr>
          <w:trHeight w:val="20"/>
        </w:trPr>
        <w:tc>
          <w:tcPr>
            <w:tcW w:w="19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100" w:type="dxa"/>
            <w:vAlign w:val="bottom"/>
            <w:tcBorders>
              <w:lef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920" w:type="dxa"/>
            <w:vAlign w:val="bottom"/>
            <w:gridSpan w:val="2"/>
          </w:tcPr>
          <w:p>
            <w:pPr>
              <w:spacing w:after="0" w:line="196" w:lineRule="exact"/>
              <w:rPr>
                <w:sz w:val="20"/>
                <w:szCs w:val="20"/>
                <w:color w:val="auto"/>
              </w:rPr>
            </w:pPr>
            <w:r>
              <w:rPr>
                <w:rFonts w:ascii="Arial" w:cs="Arial" w:eastAsia="Arial" w:hAnsi="Arial"/>
                <w:sz w:val="18"/>
                <w:szCs w:val="18"/>
                <w:color w:val="auto"/>
              </w:rPr>
              <w:t>10.11 (12)</w:t>
            </w:r>
          </w:p>
        </w:tc>
        <w:tc>
          <w:tcPr>
            <w:tcW w:w="9300" w:type="dxa"/>
            <w:vAlign w:val="bottom"/>
            <w:gridSpan w:val="40"/>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First Amendment to Revolving Credit Agreement, dated November 13, 2017, by and between HealthStream, Inc. and SunTrust</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1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Bank.</w:t>
              </w:r>
            </w:hyperlink>
          </w:p>
        </w:tc>
        <w:tc>
          <w:tcPr>
            <w:tcW w:w="140" w:type="dxa"/>
            <w:vAlign w:val="bottom"/>
            <w:gridSpan w:val="3"/>
          </w:tcPr>
          <w:p>
            <w:pPr>
              <w:spacing w:after="0"/>
              <w:rPr>
                <w:sz w:val="17"/>
                <w:szCs w:val="17"/>
                <w:color w:val="auto"/>
              </w:rPr>
            </w:pPr>
          </w:p>
        </w:tc>
      </w:tr>
      <w:tr>
        <w:trPr>
          <w:trHeight w:val="20"/>
        </w:trPr>
        <w:tc>
          <w:tcPr>
            <w:tcW w:w="19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920" w:type="dxa"/>
            <w:vAlign w:val="bottom"/>
            <w:gridSpan w:val="2"/>
          </w:tcPr>
          <w:p>
            <w:pPr>
              <w:spacing w:after="0" w:line="196" w:lineRule="exact"/>
              <w:rPr>
                <w:sz w:val="20"/>
                <w:szCs w:val="20"/>
                <w:color w:val="auto"/>
              </w:rPr>
            </w:pPr>
            <w:r>
              <w:rPr>
                <w:rFonts w:ascii="Arial" w:cs="Arial" w:eastAsia="Arial" w:hAnsi="Arial"/>
                <w:sz w:val="18"/>
                <w:szCs w:val="18"/>
                <w:color w:val="auto"/>
              </w:rPr>
              <w:t>10.12 (13)</w:t>
            </w:r>
          </w:p>
        </w:tc>
        <w:tc>
          <w:tcPr>
            <w:tcW w:w="904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Second Amendment to Revolving Credit Agreement, dated as of December 31, 2018, by and between HealthStream, Inc. and</w:t>
              </w:r>
            </w:hyperlink>
          </w:p>
        </w:tc>
        <w:tc>
          <w:tcPr>
            <w:tcW w:w="260" w:type="dxa"/>
            <w:vAlign w:val="bottom"/>
            <w:gridSpan w:val="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SunTrust Bank.</w:t>
              </w:r>
            </w:hyperlink>
          </w:p>
        </w:tc>
      </w:tr>
      <w:tr>
        <w:trPr>
          <w:trHeight w:val="20"/>
        </w:trPr>
        <w:tc>
          <w:tcPr>
            <w:tcW w:w="1920" w:type="dxa"/>
            <w:vAlign w:val="bottom"/>
            <w:gridSpan w:val="2"/>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196"/>
        </w:trPr>
        <w:tc>
          <w:tcPr>
            <w:tcW w:w="1920" w:type="dxa"/>
            <w:vAlign w:val="bottom"/>
            <w:gridSpan w:val="2"/>
          </w:tcPr>
          <w:p>
            <w:pPr>
              <w:spacing w:after="0" w:line="196" w:lineRule="exact"/>
              <w:rPr>
                <w:sz w:val="20"/>
                <w:szCs w:val="20"/>
                <w:color w:val="auto"/>
              </w:rPr>
            </w:pPr>
            <w:r>
              <w:rPr>
                <w:rFonts w:ascii="Arial" w:cs="Arial" w:eastAsia="Arial" w:hAnsi="Arial"/>
                <w:sz w:val="18"/>
                <w:szCs w:val="18"/>
                <w:color w:val="auto"/>
              </w:rPr>
              <w:t>10.13 (14)</w:t>
            </w:r>
          </w:p>
        </w:tc>
        <w:tc>
          <w:tcPr>
            <w:tcW w:w="9300" w:type="dxa"/>
            <w:vAlign w:val="bottom"/>
            <w:gridSpan w:val="40"/>
          </w:tcPr>
          <w:p>
            <w:pPr>
              <w:spacing w:after="0" w:line="19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Third Amendment to Revolving Credit Agreement, dated as of October 28, 2020, by and between HealthStream, Inc. and</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7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SunTrust Bank.</w:t>
              </w:r>
            </w:hyperlink>
          </w:p>
        </w:tc>
        <w:tc>
          <w:tcPr>
            <w:tcW w:w="560" w:type="dxa"/>
            <w:vAlign w:val="bottom"/>
            <w:gridSpan w:val="9"/>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280" w:type="dxa"/>
            <w:vAlign w:val="bottom"/>
          </w:tcPr>
          <w:p>
            <w:pPr>
              <w:spacing w:after="0"/>
              <w:rPr>
                <w:sz w:val="17"/>
                <w:szCs w:val="17"/>
                <w:color w:val="auto"/>
              </w:rPr>
            </w:pPr>
          </w:p>
        </w:tc>
        <w:tc>
          <w:tcPr>
            <w:tcW w:w="88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Form of HealthStream, Inc. Restricted Share Unit Agreement (Performance) under 2016 Omnibus Incentive Plan between</w:t>
              </w:r>
            </w:hyperlink>
          </w:p>
        </w:tc>
        <w:tc>
          <w:tcPr>
            <w:tcW w:w="500" w:type="dxa"/>
            <w:vAlign w:val="bottom"/>
            <w:gridSpan w:val="8"/>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HealthStream, Inc. and J. Edward Pearson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280" w:type="dxa"/>
            <w:vAlign w:val="bottom"/>
          </w:tcPr>
          <w:p>
            <w:pPr>
              <w:spacing w:after="0"/>
              <w:rPr>
                <w:sz w:val="17"/>
                <w:szCs w:val="17"/>
                <w:color w:val="auto"/>
              </w:rPr>
            </w:pPr>
          </w:p>
        </w:tc>
        <w:tc>
          <w:tcPr>
            <w:tcW w:w="88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Form of HealthStream, Inc. Restricted Share Unit Agreement (Performance) under 2016 Omnibus Incentive Plan between</w:t>
              </w:r>
            </w:hyperlink>
          </w:p>
        </w:tc>
        <w:tc>
          <w:tcPr>
            <w:tcW w:w="500" w:type="dxa"/>
            <w:vAlign w:val="bottom"/>
            <w:gridSpan w:val="8"/>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7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HealthStream, Inc. and Michael Sousa</w:t>
              </w:r>
            </w:hyperlink>
          </w:p>
        </w:tc>
        <w:tc>
          <w:tcPr>
            <w:tcW w:w="6520" w:type="dxa"/>
            <w:vAlign w:val="bottom"/>
            <w:gridSpan w:val="30"/>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280" w:type="dxa"/>
            <w:vAlign w:val="bottom"/>
          </w:tcPr>
          <w:p>
            <w:pPr>
              <w:spacing w:after="0"/>
              <w:rPr>
                <w:sz w:val="17"/>
                <w:szCs w:val="17"/>
                <w:color w:val="auto"/>
              </w:rPr>
            </w:pPr>
          </w:p>
        </w:tc>
        <w:tc>
          <w:tcPr>
            <w:tcW w:w="76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Form of HealthStream, Inc. Non-Qualified Stock Option Agreement under 2016 Omnibus Incentive Plan.</w:t>
              </w:r>
            </w:hyperlink>
          </w:p>
        </w:tc>
        <w:tc>
          <w:tcPr>
            <w:tcW w:w="1680" w:type="dxa"/>
            <w:vAlign w:val="bottom"/>
            <w:gridSpan w:val="16"/>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28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HealthStream, Inc. 2022 Cash Incentive Bonus Plan</w:t>
              </w:r>
            </w:hyperlink>
          </w:p>
        </w:tc>
        <w:tc>
          <w:tcPr>
            <w:tcW w:w="5540" w:type="dxa"/>
            <w:vAlign w:val="bottom"/>
            <w:gridSpan w:val="25"/>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280" w:type="dxa"/>
            <w:vAlign w:val="bottom"/>
          </w:tcPr>
          <w:p>
            <w:pPr>
              <w:spacing w:after="0"/>
              <w:rPr>
                <w:sz w:val="17"/>
                <w:szCs w:val="17"/>
                <w:color w:val="auto"/>
              </w:rPr>
            </w:pPr>
          </w:p>
        </w:tc>
        <w:tc>
          <w:tcPr>
            <w:tcW w:w="81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Form of HealthStream, Inc. Restricted Share Unit Agreement (Performance) under 2016 Omnibus Incentive Plan</w:t>
              </w:r>
            </w:hyperlink>
          </w:p>
        </w:tc>
        <w:tc>
          <w:tcPr>
            <w:tcW w:w="1120" w:type="dxa"/>
            <w:vAlign w:val="bottom"/>
            <w:gridSpan w:val="11"/>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280" w:type="dxa"/>
            <w:vAlign w:val="bottom"/>
          </w:tcPr>
          <w:p>
            <w:pPr>
              <w:spacing w:after="0"/>
              <w:rPr>
                <w:sz w:val="17"/>
                <w:szCs w:val="17"/>
                <w:color w:val="auto"/>
              </w:rPr>
            </w:pPr>
          </w:p>
        </w:tc>
        <w:tc>
          <w:tcPr>
            <w:tcW w:w="888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Form of HealthStream, Inc. Restricted Share Unit Agreement (Performance) which were contingent upon approval of 2022</w:t>
              </w:r>
            </w:hyperlink>
          </w:p>
        </w:tc>
        <w:tc>
          <w:tcPr>
            <w:tcW w:w="420" w:type="dxa"/>
            <w:vAlign w:val="bottom"/>
            <w:gridSpan w:val="6"/>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Omnibus Incentive Plan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280" w:type="dxa"/>
            <w:vAlign w:val="bottom"/>
          </w:tcPr>
          <w:p>
            <w:pPr>
              <w:spacing w:after="0"/>
              <w:rPr>
                <w:sz w:val="17"/>
                <w:szCs w:val="17"/>
                <w:color w:val="auto"/>
              </w:rPr>
            </w:pPr>
          </w:p>
        </w:tc>
        <w:tc>
          <w:tcPr>
            <w:tcW w:w="882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Form of HealthStream, Inc. Restricted Share Unit Agreement (Time Based) which were contingent upon approval of 2022</w:t>
              </w:r>
            </w:hyperlink>
          </w:p>
        </w:tc>
        <w:tc>
          <w:tcPr>
            <w:tcW w:w="480" w:type="dxa"/>
            <w:vAlign w:val="bottom"/>
            <w:gridSpan w:val="7"/>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Omnibus Incentive Plan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HealthStream, Inc. 2022 Omnibus Incentive Plan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80" w:type="dxa"/>
            <w:vAlign w:val="bottom"/>
            <w:gridSpan w:val="8"/>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280" w:type="dxa"/>
            <w:vAlign w:val="bottom"/>
          </w:tcPr>
          <w:p>
            <w:pPr>
              <w:spacing w:after="0"/>
              <w:rPr>
                <w:sz w:val="17"/>
                <w:szCs w:val="17"/>
                <w:color w:val="auto"/>
              </w:rPr>
            </w:pPr>
          </w:p>
        </w:tc>
        <w:tc>
          <w:tcPr>
            <w:tcW w:w="816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0"/>
              </w:rPr>
              <w:t>Form of HealthStream, Inc. Restricted Share Unit Agreement (Performance) under 2022 Omnibus Incentive Plan</w:t>
            </w:r>
          </w:p>
        </w:tc>
        <w:tc>
          <w:tcPr>
            <w:tcW w:w="1140" w:type="dxa"/>
            <w:vAlign w:val="bottom"/>
            <w:gridSpan w:val="12"/>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28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Subsidiaries of HealthStream, Inc.</w:t>
            </w:r>
          </w:p>
        </w:tc>
        <w:tc>
          <w:tcPr>
            <w:tcW w:w="6820" w:type="dxa"/>
            <w:vAlign w:val="bottom"/>
            <w:gridSpan w:val="32"/>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sz w:val="20"/>
                <w:szCs w:val="20"/>
                <w:color w:val="auto"/>
              </w:rPr>
            </w:pPr>
            <w:r>
              <w:rPr>
                <w:rFonts w:ascii="Arial" w:cs="Arial" w:eastAsia="Arial" w:hAnsi="Arial"/>
                <w:sz w:val="18"/>
                <w:szCs w:val="18"/>
                <w:color w:val="0000EE"/>
              </w:rPr>
              <w:t>Consent of Independent Registered Public Accounting Firm</w:t>
            </w:r>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20" w:type="dxa"/>
            <w:vAlign w:val="bottom"/>
            <w:tcBorders>
              <w:right w:val="single" w:sz="8" w:color="0000EE"/>
            </w:tcBorders>
            <w:gridSpan w:val="16"/>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17"/>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280" w:type="dxa"/>
            <w:vAlign w:val="bottom"/>
          </w:tcPr>
          <w:p>
            <w:pPr>
              <w:spacing w:after="0"/>
              <w:rPr>
                <w:sz w:val="17"/>
                <w:szCs w:val="17"/>
                <w:color w:val="auto"/>
              </w:rPr>
            </w:pPr>
          </w:p>
        </w:tc>
        <w:tc>
          <w:tcPr>
            <w:tcW w:w="9300" w:type="dxa"/>
            <w:vAlign w:val="bottom"/>
            <w:gridSpan w:val="40"/>
          </w:tcPr>
          <w:p>
            <w:pPr>
              <w:spacing w:after="0" w:line="196" w:lineRule="exact"/>
              <w:rPr>
                <w:sz w:val="20"/>
                <w:szCs w:val="20"/>
                <w:color w:val="auto"/>
              </w:rPr>
            </w:pPr>
            <w:r>
              <w:rPr>
                <w:rFonts w:ascii="Arial" w:cs="Arial" w:eastAsia="Arial" w:hAnsi="Arial"/>
                <w:sz w:val="18"/>
                <w:szCs w:val="18"/>
                <w:color w:val="0000EE"/>
              </w:rPr>
              <w:t>Certification of the Chief Executive Officer Pursuant to Section 302 of the Sarbanes-Oxley Act of 2002</w:t>
            </w: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8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1"/>
              </w:rPr>
              <w:t>Certification of the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1840" w:type="dxa"/>
            <w:vAlign w:val="bottom"/>
            <w:gridSpan w:val="17"/>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-4765675</wp:posOffset>
            </wp:positionV>
            <wp:extent cx="76835"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-4628515</wp:posOffset>
            </wp:positionV>
            <wp:extent cx="76835" cy="85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-4491355</wp:posOffset>
            </wp:positionV>
            <wp:extent cx="76835"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-3942715</wp:posOffset>
            </wp:positionV>
            <wp:extent cx="76835"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-3805555</wp:posOffset>
            </wp:positionV>
            <wp:extent cx="76835"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-3668395</wp:posOffset>
            </wp:positionV>
            <wp:extent cx="76835"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-3531235</wp:posOffset>
            </wp:positionV>
            <wp:extent cx="76835"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-3394075</wp:posOffset>
            </wp:positionV>
            <wp:extent cx="76835"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-2296795</wp:posOffset>
            </wp:positionV>
            <wp:extent cx="76835"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-2022475</wp:posOffset>
            </wp:positionV>
            <wp:extent cx="76835"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-1748155</wp:posOffset>
            </wp:positionV>
            <wp:extent cx="76835"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-1610995</wp:posOffset>
            </wp:positionV>
            <wp:extent cx="76835"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-1473835</wp:posOffset>
            </wp:positionV>
            <wp:extent cx="76835"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-1336675</wp:posOffset>
            </wp:positionV>
            <wp:extent cx="76835"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-1062355</wp:posOffset>
            </wp:positionV>
            <wp:extent cx="76835"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-788035</wp:posOffset>
            </wp:positionV>
            <wp:extent cx="76835"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-650875</wp:posOffset>
            </wp:positionV>
            <wp:extent cx="76835"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7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40" w:type="dxa"/>
            <w:vAlign w:val="bottom"/>
          </w:tcPr>
          <w:p>
            <w:pPr>
              <w:spacing w:after="0"/>
              <w:rPr>
                <w:sz w:val="17"/>
                <w:szCs w:val="17"/>
                <w:color w:val="auto"/>
              </w:rPr>
            </w:pPr>
          </w:p>
        </w:tc>
        <w:tc>
          <w:tcPr>
            <w:tcW w:w="9320" w:type="dxa"/>
            <w:vAlign w:val="bottom"/>
            <w:gridSpan w:val="2"/>
          </w:tcPr>
          <w:p>
            <w:pPr>
              <w:spacing w:after="0" w:line="196" w:lineRule="exact"/>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920" w:type="dxa"/>
            <w:vAlign w:val="bottom"/>
            <w:gridSpan w:val="2"/>
          </w:tcPr>
          <w:p>
            <w:pPr>
              <w:spacing w:after="0" w:line="20" w:lineRule="exact"/>
              <w:rPr>
                <w:sz w:val="1"/>
                <w:szCs w:val="1"/>
                <w:color w:val="auto"/>
              </w:rPr>
            </w:pPr>
          </w:p>
        </w:tc>
        <w:tc>
          <w:tcPr>
            <w:tcW w:w="87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2"/>
        </w:trPr>
        <w:tc>
          <w:tcPr>
            <w:tcW w:w="192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9320" w:type="dxa"/>
            <w:vAlign w:val="bottom"/>
            <w:gridSpan w:val="2"/>
          </w:tcPr>
          <w:p>
            <w:pPr>
              <w:spacing w:after="0"/>
              <w:rPr>
                <w:sz w:val="20"/>
                <w:szCs w:val="20"/>
                <w:color w:val="auto"/>
              </w:rPr>
            </w:pPr>
            <w:r>
              <w:rPr>
                <w:rFonts w:ascii="Arial" w:cs="Arial" w:eastAsia="Arial" w:hAnsi="Arial"/>
                <w:sz w:val="18"/>
                <w:szCs w:val="18"/>
                <w:color w:val="auto"/>
                <w:w w:val="95"/>
              </w:rPr>
              <w:t>XBRL Instance Document - the instance document does not appear in the Interactive Data File because its XBRL tags are</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101.1 CAL</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101.1 DEF</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101.1 PRE</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in Inline XBRL and included in Exhibit 101.1)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to Registrant’s Registration Statement on Form S-1, as amended (Reg. No. 333-88939).</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Management contract or compensatory plan or arrangement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February 12, 2018.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November 30, 2020.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October 23, 2015.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3"/>
              </w:rPr>
              <w:t>Incorporated by reference from exhibit filed on our Annual Report on Form 10-K, for the year ended December 31, 2019, filed</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with the SEC on February 26, 2020.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3"/>
              </w:rPr>
              <w:t>Incorporated by reference from exhibit filed on our Annual Report on Form 10-K, for the year ended December 31, 2021, filed</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with the SEC on February 28, 2022.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July 25, 2005.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November 25, 2014.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Quarterly Report on Form 10-Q, for the quarterly period ended</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September 30, 2015, filed with the SEC on October 30, 2015.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May 31, 2016.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4"/>
              </w:rPr>
              <w:t>Incorporated by reference from exhibit filed on our Quarterly Report on Form 10-Q, for the quarterly period ended March 31,</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2017, filed with the SEC on May 1, 2017.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5"/>
              </w:rPr>
              <w:t>Incorporated by reference from exhibit filed on our Quarterly Report on Form 10-Q, for the quarterly period ended June 30,</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2017, filed with the SEC on July 31, 2017.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November 14, 2017.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January 2, 2019.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October 28, 2020.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May 16, 2018.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3"/>
              </w:rPr>
              <w:t>Incorporated by reference from exhibit filed on our Annual Report on Form 10-K, for the year ended December 31, 2020, filed</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with the SEC on February 26, 2021.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4"/>
              </w:rPr>
              <w:t>Incorporated by reference from exhibit filed on our Quarterly Report on Form 10-Q, for the quarterly period ended March 31,</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2022, filed with the SEC on April 28, 2022.</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filed on our Current Report on Form 8-K, dated May 31,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-3565525</wp:posOffset>
            </wp:positionV>
            <wp:extent cx="76835"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28th day of February 2023.</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/s/ 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-10160</wp:posOffset>
            </wp:positionV>
            <wp:extent cx="19424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Robert A. Frist, Jr.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60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Title(s)</w:t>
            </w:r>
          </w:p>
        </w:tc>
        <w:tc>
          <w:tcPr>
            <w:tcW w:w="188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A. FRIST, JR.</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and</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Robert A. Frist, Jr.</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Chairman (Principal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SCOTT A. ROBERTS</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Senior Vice President</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Scott A. Roberts</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THOMPSON DENT</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Thompson Dent</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FRANK GORDON</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Frank Gordon</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TERRY ALLISON RAPPUHN</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Terry Allison Rappuhn</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JEFFREY L. MCLAREN</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Jeffrey L. McLaren</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LINDA REBROVICK</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Linda Rebrovick</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SHMERLING</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Michael Shmerling</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WILLIAM STEAD</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William Stead</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DEBORAH TAYLOR TATE</w:t>
            </w: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February 28, 2023</w:t>
            </w:r>
          </w:p>
        </w:tc>
      </w:tr>
      <w:tr>
        <w:trPr>
          <w:trHeight w:val="224"/>
        </w:trPr>
        <w:tc>
          <w:tcPr>
            <w:tcW w:w="2820" w:type="dxa"/>
            <w:vAlign w:val="bottom"/>
            <w:gridSpan w:val="3"/>
          </w:tcPr>
          <w:p>
            <w:pPr>
              <w:spacing w:after="0"/>
              <w:rPr>
                <w:sz w:val="20"/>
                <w:szCs w:val="20"/>
                <w:color w:val="auto"/>
              </w:rPr>
            </w:pPr>
            <w:r>
              <w:rPr>
                <w:rFonts w:ascii="Arial" w:cs="Arial" w:eastAsia="Arial" w:hAnsi="Arial"/>
                <w:sz w:val="18"/>
                <w:szCs w:val="18"/>
                <w:color w:val="auto"/>
              </w:rPr>
              <w:t>Deborah Taylor Tate</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gridSpan w:val="2"/>
          </w:tcPr>
          <w:p>
            <w:pPr>
              <w:ind w:left="2720"/>
              <w:spacing w:after="0"/>
              <w:rPr>
                <w:sz w:val="20"/>
                <w:szCs w:val="20"/>
                <w:color w:val="auto"/>
              </w:rPr>
            </w:pPr>
            <w:r>
              <w:rPr>
                <w:rFonts w:ascii="Arial" w:cs="Arial" w:eastAsia="Arial" w:hAnsi="Arial"/>
                <w:sz w:val="18"/>
                <w:szCs w:val="18"/>
                <w:color w:val="auto"/>
              </w:rPr>
              <w:t>69</w:t>
            </w: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Director Compensation</w:t>
      </w:r>
      <w:r>
        <w:rPr>
          <w:rFonts w:ascii="Arial" w:cs="Arial" w:eastAsia="Arial" w:hAnsi="Arial"/>
          <w:sz w:val="18"/>
          <w:szCs w:val="18"/>
          <w:color w:val="auto"/>
        </w:rPr>
        <w:t>. Directors who are employees of the Company do not receive additional compensation for serving as directors of the Company. For fiscal year 2022, each director received an annual retainer of $10,000, except for the Audit Committee Chair and Nominating and Corporate Governance Chair, who received an additional annual retainer of $7,500, and the Compensation Committee Chair, who received an additional annual retainer of $2,000. Non-employee directors also received a $20,000 flat-fee, except for members of the Audit Committee who received $22,500, for board and committee meeting attendance and participation in lieu of per meeting fees.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cash compensation set forth above, each non-employee director is eligible to receive a nondiscretionary annual grant of restricted share units. The restricted share units are granted annually and vest ratably over a three-year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Director compensation for 2023 has not yet been determined by the Compensation Committee.</w:t>
      </w:r>
    </w:p>
    <w:p>
      <w:pPr>
        <w:spacing w:after="0" w:line="221" w:lineRule="exact"/>
        <w:rPr>
          <w:sz w:val="20"/>
          <w:szCs w:val="20"/>
          <w:color w:val="auto"/>
        </w:rPr>
      </w:pPr>
    </w:p>
    <w:p>
      <w:pPr>
        <w:jc w:val="both"/>
        <w:ind w:firstLine="8"/>
        <w:spacing w:after="0" w:line="266" w:lineRule="auto"/>
        <w:tabs>
          <w:tab w:leader="none" w:pos="21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Executive Officer Compensation</w:t>
      </w:r>
      <w:r>
        <w:rPr>
          <w:rFonts w:ascii="Arial" w:cs="Arial" w:eastAsia="Arial" w:hAnsi="Arial"/>
          <w:sz w:val="18"/>
          <w:szCs w:val="18"/>
          <w:color w:val="auto"/>
        </w:rPr>
        <w:t>. The following table sets forth the current base salaries and fiscal 2022 performance bonuses to be provided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upon review and approval by the Compensation Committee, including the individuals who the Company expects to be its Named Executive Officers for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1500" w:type="dxa"/>
            <w:vAlign w:val="bottom"/>
          </w:tcPr>
          <w:p>
            <w:pPr>
              <w:spacing w:after="0"/>
              <w:rPr>
                <w:sz w:val="20"/>
                <w:szCs w:val="20"/>
                <w:color w:val="auto"/>
              </w:rPr>
            </w:pP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Current Base Salary</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3"/>
              </w:rPr>
              <w:t>Fiscal 2022 Bonus Amount</w:t>
            </w:r>
          </w:p>
        </w:tc>
      </w:tr>
      <w:tr>
        <w:trPr>
          <w:trHeight w:val="195"/>
        </w:trPr>
        <w:tc>
          <w:tcPr>
            <w:tcW w:w="3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A. Frist, Jr.</w:t>
            </w:r>
          </w:p>
        </w:tc>
        <w:tc>
          <w:tcPr>
            <w:tcW w:w="15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380,000</w:t>
            </w:r>
          </w:p>
        </w:tc>
        <w:tc>
          <w:tcPr>
            <w:tcW w:w="900" w:type="dxa"/>
            <w:vAlign w:val="bottom"/>
            <w:tcBorders>
              <w:top w:val="single" w:sz="8" w:color="auto"/>
            </w:tcBorders>
          </w:tcPr>
          <w:p>
            <w:pPr>
              <w:jc w:val="right"/>
              <w:ind w:right="630"/>
              <w:spacing w:after="0" w:line="195"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160,088</w:t>
            </w:r>
          </w:p>
        </w:tc>
        <w:tc>
          <w:tcPr>
            <w:tcW w:w="20" w:type="dxa"/>
            <w:vAlign w:val="bottom"/>
          </w:tcPr>
          <w:p>
            <w:pPr>
              <w:spacing w:after="0"/>
              <w:rPr>
                <w:sz w:val="16"/>
                <w:szCs w:val="16"/>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J. Edward Pearson</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375,000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157,982</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Michael Sousa</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375,000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157,982</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Scott A. Roberts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300,000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96,386</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Jeffrey D. Cunningham</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315,000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101,205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Michael M. Collier</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330,000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122,524</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Trisha L. Coady</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310,000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99,599</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 Scott McQuigg</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305,000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97,992</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Kevin O’Hara</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305,000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97,992</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Scott Fenstermacher</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225,000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 salaries for 2023, bonus targets for 2023 cash bonuses, and 2023 equity grants for executive officers have not yet been determined by the Compensation Committee.</w:t>
      </w:r>
    </w:p>
    <w:p>
      <w:pPr>
        <w:spacing w:after="0" w:line="166" w:lineRule="exact"/>
        <w:rPr>
          <w:sz w:val="20"/>
          <w:szCs w:val="20"/>
          <w:color w:val="auto"/>
        </w:rPr>
      </w:pPr>
    </w:p>
    <w:p>
      <w:pPr>
        <w:ind w:firstLine="8"/>
        <w:spacing w:after="0" w:line="282" w:lineRule="auto"/>
        <w:tabs>
          <w:tab w:leader="none" w:pos="283"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Director and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will be contained in the Company’s 2023 Proxy Statement.</w:t>
      </w:r>
    </w:p>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color w:val="auto"/>
        </w:rPr>
        <w:t>Exhibit 10.22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jc w:val="both"/>
        <w:ind w:firstLine="162"/>
        <w:spacing w:after="0" w:line="222" w:lineRule="auto"/>
        <w:rPr>
          <w:sz w:val="20"/>
          <w:szCs w:val="20"/>
          <w:color w:val="auto"/>
        </w:rPr>
      </w:pPr>
      <w:r>
        <w:rPr>
          <w:rFonts w:ascii="Arial" w:cs="Arial" w:eastAsia="Arial" w:hAnsi="Arial"/>
          <w:sz w:val="17"/>
          <w:szCs w:val="17"/>
          <w:color w:val="auto"/>
        </w:rPr>
        <w:t>This RESTRICTED SHARE UNIT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 23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day of February, 2023, between HealthStream, Inc., a Tennessee corporation (together with its Subsidiaries and Affiliates, the “</w:t>
      </w:r>
      <w:r>
        <w:rPr>
          <w:rFonts w:ascii="Arial" w:cs="Arial" w:eastAsia="Arial" w:hAnsi="Arial"/>
          <w:sz w:val="17"/>
          <w:szCs w:val="17"/>
          <w:u w:val="single" w:color="auto"/>
          <w:color w:val="auto"/>
        </w:rPr>
        <w:t>Company</w:t>
      </w:r>
      <w:r>
        <w:rPr>
          <w:rFonts w:ascii="Arial" w:cs="Arial" w:eastAsia="Arial" w:hAnsi="Arial"/>
          <w:sz w:val="17"/>
          <w:szCs w:val="17"/>
          <w:color w:val="auto"/>
        </w:rPr>
        <w:t>”), and [ ] (the “</w:t>
      </w:r>
      <w:r>
        <w:rPr>
          <w:rFonts w:ascii="Arial" w:cs="Arial" w:eastAsia="Arial" w:hAnsi="Arial"/>
          <w:sz w:val="17"/>
          <w:szCs w:val="17"/>
          <w:u w:val="single" w:color="auto"/>
          <w:color w:val="auto"/>
        </w:rPr>
        <w:t>Grantee</w:t>
      </w:r>
      <w:r>
        <w:rPr>
          <w:rFonts w:ascii="Arial" w:cs="Arial" w:eastAsia="Arial" w:hAnsi="Arial"/>
          <w:sz w:val="17"/>
          <w:szCs w:val="17"/>
          <w:color w:val="auto"/>
        </w:rPr>
        <w:t>”). Capitalized terms not otherwise defined herein shall have the meaning ascribed to such terms in the HealthStream, Inc. 2022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would be to the advantage and best interest of the Company and its shareholders to grant an award of the RSUs (as defined below) as a “Restricted Share Unit Award” as defined by and pursuant to the terms of the Plan, and pursuant to the terms set forth herein;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 Award.</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Company hereby grants to the Grantee an award (“</w:t>
      </w:r>
      <w:r>
        <w:rPr>
          <w:rFonts w:ascii="Arial" w:cs="Arial" w:eastAsia="Arial" w:hAnsi="Arial"/>
          <w:sz w:val="16"/>
          <w:szCs w:val="16"/>
          <w:u w:val="single" w:color="auto"/>
          <w:color w:val="auto"/>
        </w:rPr>
        <w:t>Award</w:t>
      </w:r>
      <w:r>
        <w:rPr>
          <w:rFonts w:ascii="Arial" w:cs="Arial" w:eastAsia="Arial" w:hAnsi="Arial"/>
          <w:sz w:val="16"/>
          <w:szCs w:val="16"/>
          <w:color w:val="auto"/>
        </w:rPr>
        <w:t>”) of [____] Restricted Share Units (“</w:t>
      </w:r>
      <w:r>
        <w:rPr>
          <w:rFonts w:ascii="Arial" w:cs="Arial" w:eastAsia="Arial" w:hAnsi="Arial"/>
          <w:sz w:val="16"/>
          <w:szCs w:val="16"/>
          <w:u w:val="single" w:color="auto"/>
          <w:color w:val="auto"/>
        </w:rPr>
        <w:t>RSUs</w:t>
      </w:r>
      <w:r>
        <w:rPr>
          <w:rFonts w:ascii="Arial" w:cs="Arial" w:eastAsia="Arial" w:hAnsi="Arial"/>
          <w:sz w:val="16"/>
          <w:szCs w:val="16"/>
          <w:color w:val="auto"/>
        </w:rPr>
        <w:t>”) on the terms and conditions set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forth in this Agreement and as otherwise provided in the Plan. Each RSU shall have a value equal to the Fair Market Value of one Share. A bookkeeping account will be maintained by the Company to keep track of the RSUs.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184"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Vesting</w:t>
      </w:r>
      <w:r>
        <w:rPr>
          <w:rFonts w:ascii="Arial" w:cs="Arial" w:eastAsia="Arial" w:hAnsi="Arial"/>
          <w:sz w:val="16"/>
          <w:szCs w:val="16"/>
          <w:color w:val="auto"/>
        </w:rPr>
        <w:t>. The RSUs subject to this Award shall vest as follows, subject to the time-based vesting condition set forth in the last sentence of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Catch-Up Provision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(all such vesting dates as set forth below, the “</w:t>
      </w:r>
      <w:r>
        <w:rPr>
          <w:rFonts w:ascii="Arial" w:cs="Arial" w:eastAsia="Arial" w:hAnsi="Arial"/>
          <w:sz w:val="17"/>
          <w:szCs w:val="17"/>
          <w:u w:val="single" w:color="auto"/>
          <w:color w:val="auto"/>
        </w:rPr>
        <w:t>Vesting Dates</w:t>
      </w:r>
      <w:r>
        <w:rPr>
          <w:rFonts w:ascii="Arial" w:cs="Arial" w:eastAsia="Arial" w:hAnsi="Arial"/>
          <w:sz w:val="17"/>
          <w:szCs w:val="17"/>
          <w:color w:val="auto"/>
        </w:rPr>
        <w:t>”):</w:t>
      </w:r>
    </w:p>
    <w:p>
      <w:pPr>
        <w:spacing w:after="0" w:line="222" w:lineRule="exact"/>
        <w:rPr>
          <w:sz w:val="20"/>
          <w:szCs w:val="20"/>
          <w:color w:val="auto"/>
        </w:rPr>
      </w:pPr>
    </w:p>
    <w:p>
      <w:pPr>
        <w:ind w:firstLine="1304"/>
        <w:spacing w:after="0" w:line="342" w:lineRule="auto"/>
        <w:tabs>
          <w:tab w:leader="none" w:pos="17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Up to [_____] RSUs (15% of the total RSUs) shall vest on February 23, 2024, based on the extent of the satisfaction of the Performance Criteria (as defined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the period beginning on January 1, 2023 and ending December 31, 2023, as referenced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1304"/>
        <w:spacing w:after="0" w:line="277" w:lineRule="auto"/>
        <w:tabs>
          <w:tab w:leader="none" w:pos="17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February 23, 2025, based on the extent of the satisfaction of the Performance Criteria for the period beginning on January 1, 2024 and ending December 31, 2024,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17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February 23, 2026, based on the extent of the satisfaction of the performance criteria for the period beginning on January 1, 2025 and ending December 31, 2025,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304"/>
        <w:spacing w:after="0" w:line="277" w:lineRule="auto"/>
        <w:tabs>
          <w:tab w:leader="none" w:pos="17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February 23, 2027, based on the extent of the satisfaction of the performance criteria for the period beginning on January 1, 2026 and ending December 31, 2026,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firstLine="1304"/>
        <w:spacing w:after="0" w:line="277" w:lineRule="auto"/>
        <w:tabs>
          <w:tab w:leader="none" w:pos="17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Up to [ ] RSUs (25% of the total RSUs) shall vest on February 23, 2028, based on the extent of the satisfaction of the performance criteria for the period beginning on January 1, 2027 and ending December 31, 2027,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the foregoing or anything contained herein to the contrary (but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below), this Award shall not become vested as to any additional RSUs following the Grantee’s termination of employment with the Company for any reason and Grantee shall forfeit any unvested RSUs as of the date of such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except as may otherwise be determined by the Committee, in the event that there is a Change in Control (as defined in the Plan) that is consummated prior to February 23, 2028, then upon the occurrence of such Change in Control, this Award shall become vested (i) immediately prior to a Change in Control as to 100% of the RSUs otherwise eligible for vesting in the then current Performance Period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for which the Vesting Date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has not yet occurred, (ii) immediately prior to the Change in Control as to 100% of the RSUs otherwise eligible for vesting in the next Subsequent Performance Period for which the Vesting Date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has not yet occurred, and (iii) in the event that the Change in Control has been consummated following the end of a calendar year but prior to the next Vesting Date (i.e., on which vesting would occur based on the performance for such calendar year), then the RSUs will vest for such calendar year immediately prior to the consummation of the Change in Control based on the extent of the satisfaction of the performance criteria for such calendar year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656"/>
        <w:spacing w:after="0" w:line="255" w:lineRule="auto"/>
        <w:tabs>
          <w:tab w:leader="none" w:pos="9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except as may otherwise be determined by the Committee and except as with regard to vesting that occurs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above, no RSUs shall vest pursuant to this Agreement due to a Change in Control that is consummated prior to February 23, 2028, and the RSUs that have not vested pursuant to Section 2.2(a) above in connection with any Change in Control shall be forfeited immediately prior to the Change in Control. It is further understood and agreed that, in such circumstance, Grantee will not be entitled to any RSUs that have not vested preceding the occurrence of the Change in Control other than as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above even if such RSUs are subject to the Catch-Up Provision.</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Grantee shall be entitled to settlement of the RSUs subject to this Award at the time that such RSUs vest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as applicable. Such settlement shall be made as promptly as practicable thereafter (but in no event after the fifteenth day following the applicable vesting date, or in the case of a Change in Control, the date of the occurrence of the Change in Control). Any settlement of RSUs granted pursuant to this Award shall be made in Shares through the issuance to the Grantee of a stock certificate (or evidence such Shares have been registered in the name of the Grantee with the transfer agent of the Company) for a number of Shares equal to the number of such vested RSUs. The Committee may, in its discretion, provide that the ownership of Shares upon the vesting of the RSUs shall be evidenced by a “book entry” (i.e., a computerized or manual entry) in the records of the Company or its designated agent in the name of the Grantee who has become vested in such Shares. The Grantee will not be entitled to any dividend equivalent or voting rights with regard to the RSUs.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Withholding Obligations</w:t>
      </w:r>
      <w:r>
        <w:rPr>
          <w:rFonts w:ascii="Arial" w:cs="Arial" w:eastAsia="Arial" w:hAnsi="Arial"/>
          <w:sz w:val="16"/>
          <w:szCs w:val="16"/>
          <w:color w:val="auto"/>
        </w:rPr>
        <w:t xml:space="preserve">. Prior to the settlement of any RSUs subject to this Award, Grantee shall (i) provide full payment (in cash or by check or by a combination thereof) to satisfy the Withholding Tax Obligation (as defined below) with respect to which the Award or portion thereof shall settle or (ii) otherwise satisfy the Withholding Tax Obligation in any manner determined to be satisfactory by the Committee, which may include (x) subject to compliance with applicable legal requirements, indication that the Grantee elects to tender to the Company Shares owned by the Grantee (or by the Grantee and his or her spouse jointly) and purchased and held for the requisite period of time as may be required (unless otherwise determined by the Committee) to avoid the Company’s incurring an adverse accounting charge, based on the Fair Market Value of such Shares on the payment date necessary to satisfy the Withholding Tax Obligation that would otherwise be required to be paid by the Grantee to the Company pursuant to clause (i)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or (y) a reduction in the number of Shares that would otherwise be issued to the Grantee upon settlement of the Award (or portion thereof) by a number of Shares having an aggregate Fair Market Value, on the date of such issuance, equal to the payment to satisfy the Withholding Tax Obligation that would otherwise be required to be made by the Grantee to the Company pursuant to clause (i)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Any social security calculation or other adjustments discovered after the net Share payment described in clause (ii)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For purposes hereof, the “Withholding Tax Obligation” means the minimum amount necessary to satisfy Federal, state, local or foreign withholding tax requirements, if any, in connection with vesting of the Award; provided, however, that, unless otherwise determined by the Committee, the Grantee may elect to withhold an additional amount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the year of vesting.</w:t>
      </w:r>
    </w:p>
    <w:p>
      <w:pPr>
        <w:spacing w:after="0" w:line="171" w:lineRule="exact"/>
        <w:rPr>
          <w:sz w:val="20"/>
          <w:szCs w:val="20"/>
          <w:color w:val="auto"/>
        </w:rPr>
      </w:pPr>
    </w:p>
    <w:p>
      <w:pPr>
        <w:ind w:right="20" w:firstLine="656"/>
        <w:spacing w:after="0" w:line="277" w:lineRule="auto"/>
        <w:tabs>
          <w:tab w:leader="none" w:pos="87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an officer or employee of the Company.</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87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Administration Subject to the Plan</w:t>
      </w:r>
      <w:r>
        <w:rPr>
          <w:rFonts w:ascii="Arial" w:cs="Arial" w:eastAsia="Arial" w:hAnsi="Arial"/>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jc w:val="both"/>
        <w:ind w:firstLine="656"/>
        <w:spacing w:after="0" w:line="263" w:lineRule="auto"/>
        <w:tabs>
          <w:tab w:leader="none" w:pos="88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3" w:lineRule="exact"/>
        <w:rPr>
          <w:rFonts w:ascii="Arial" w:cs="Arial" w:eastAsia="Arial" w:hAnsi="Arial"/>
          <w:sz w:val="18"/>
          <w:szCs w:val="18"/>
          <w:color w:val="auto"/>
        </w:rPr>
      </w:pPr>
    </w:p>
    <w:p>
      <w:pPr>
        <w:jc w:val="both"/>
        <w:ind w:firstLine="656"/>
        <w:spacing w:after="0" w:line="285" w:lineRule="auto"/>
        <w:tabs>
          <w:tab w:leader="none" w:pos="873"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w:t>
      </w:r>
    </w:p>
    <w:p>
      <w:pPr>
        <w:spacing w:after="0" w:line="1" w:lineRule="exact"/>
        <w:rPr>
          <w:rFonts w:ascii="Arial" w:cs="Arial" w:eastAsia="Arial" w:hAnsi="Arial"/>
          <w:sz w:val="16"/>
          <w:szCs w:val="16"/>
          <w:color w:val="auto"/>
        </w:rPr>
      </w:pPr>
    </w:p>
    <w:p>
      <w:pPr>
        <w:jc w:val="both"/>
        <w:ind w:firstLine="8"/>
        <w:spacing w:after="0" w:line="284" w:lineRule="auto"/>
        <w:tabs>
          <w:tab w:leader="none" w:pos="244"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75" w:lineRule="exact"/>
        <w:rPr>
          <w:rFonts w:ascii="Arial" w:cs="Arial" w:eastAsia="Arial" w:hAnsi="Arial"/>
          <w:sz w:val="16"/>
          <w:szCs w:val="16"/>
          <w:color w:val="auto"/>
        </w:rPr>
      </w:pPr>
    </w:p>
    <w:p>
      <w:pPr>
        <w:ind w:firstLine="656"/>
        <w:spacing w:after="0" w:line="308" w:lineRule="auto"/>
        <w:tabs>
          <w:tab w:leader="none" w:pos="873"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146" w:lineRule="exact"/>
        <w:rPr>
          <w:rFonts w:ascii="Arial" w:cs="Arial" w:eastAsia="Arial" w:hAnsi="Arial"/>
          <w:sz w:val="17"/>
          <w:szCs w:val="17"/>
          <w:color w:val="auto"/>
        </w:rPr>
      </w:pPr>
    </w:p>
    <w:p>
      <w:pPr>
        <w:jc w:val="both"/>
        <w:ind w:firstLine="656"/>
        <w:spacing w:after="0" w:line="257" w:lineRule="auto"/>
        <w:tabs>
          <w:tab w:leader="none" w:pos="873"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7" w:lineRule="exact"/>
        <w:rPr>
          <w:rFonts w:ascii="Arial" w:cs="Arial" w:eastAsia="Arial" w:hAnsi="Arial"/>
          <w:sz w:val="18"/>
          <w:szCs w:val="18"/>
          <w:color w:val="auto"/>
        </w:rPr>
      </w:pPr>
    </w:p>
    <w:p>
      <w:pPr>
        <w:ind w:firstLine="656"/>
        <w:spacing w:after="0" w:line="308" w:lineRule="auto"/>
        <w:tabs>
          <w:tab w:leader="none" w:pos="99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5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9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ind w:left="-656" w:firstLine="656"/>
        <w:spacing w:after="0" w:line="277" w:lineRule="auto"/>
        <w:tabs>
          <w:tab w:leader="none" w:pos="30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Grantee shall not have voting or any other rights as a shareholder of the Company with respect to the RSUs. Grantee will obtain voting and other rights as a shareholder of the Company upon the settlement of the RSUs in Shares.</w:t>
      </w:r>
    </w:p>
    <w:p>
      <w:pPr>
        <w:spacing w:after="0" w:line="170" w:lineRule="exact"/>
        <w:rPr>
          <w:rFonts w:ascii="Arial" w:cs="Arial" w:eastAsia="Arial" w:hAnsi="Arial"/>
          <w:sz w:val="18"/>
          <w:szCs w:val="18"/>
          <w:color w:val="auto"/>
        </w:rPr>
      </w:pPr>
    </w:p>
    <w:p>
      <w:pPr>
        <w:jc w:val="both"/>
        <w:ind w:left="-656" w:firstLine="656"/>
        <w:spacing w:after="0" w:line="269" w:lineRule="auto"/>
        <w:tabs>
          <w:tab w:leader="none" w:pos="334"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Recoupment</w:t>
      </w:r>
      <w:r>
        <w:rPr>
          <w:rFonts w:ascii="Arial" w:cs="Arial" w:eastAsia="Arial" w:hAnsi="Arial"/>
          <w:sz w:val="17"/>
          <w:szCs w:val="17"/>
          <w:color w:val="auto"/>
        </w:rPr>
        <w:t>. The Award granted pursuant to this Agreement, and any prior awards granted to Grantee under the Plan, shall be subject to forfeiture, repayment, reimbursement or other recoupment (i) to the extent provided in the Company’s current Compensation Recoupment Policy, as it may be amended from time to time (the “</w:t>
      </w:r>
      <w:r>
        <w:rPr>
          <w:rFonts w:ascii="Arial" w:cs="Arial" w:eastAsia="Arial" w:hAnsi="Arial"/>
          <w:sz w:val="17"/>
          <w:szCs w:val="17"/>
          <w:u w:val="single" w:color="auto"/>
          <w:color w:val="auto"/>
        </w:rPr>
        <w:t>Current Recoupment Policy</w:t>
      </w:r>
      <w:r>
        <w:rPr>
          <w:rFonts w:ascii="Arial" w:cs="Arial" w:eastAsia="Arial" w:hAnsi="Arial"/>
          <w:sz w:val="17"/>
          <w:szCs w:val="17"/>
          <w:color w:val="auto"/>
        </w:rPr>
        <w:t>”), (ii) to the extent that Grantee in the future becomes subject to any other recoupment or clawback policy hereafter adopted by the Company, including any such policy (or amende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final rules and final Nasdaq listing standards, the “</w:t>
      </w:r>
      <w:r>
        <w:rPr>
          <w:rFonts w:ascii="Arial" w:cs="Arial" w:eastAsia="Arial" w:hAnsi="Arial"/>
          <w:sz w:val="17"/>
          <w:szCs w:val="17"/>
          <w:u w:val="single" w:color="auto"/>
          <w:color w:val="auto"/>
        </w:rPr>
        <w:t>Dodd-Frank Clawback Requirements</w:t>
      </w:r>
      <w:r>
        <w:rPr>
          <w:rFonts w:ascii="Arial" w:cs="Arial" w:eastAsia="Arial" w:hAnsi="Arial"/>
          <w:sz w:val="17"/>
          <w:szCs w:val="17"/>
          <w:color w:val="auto"/>
        </w:rPr>
        <w:t>”) (such policies referenced in clause (i) or this clause (ii), collectively, the “</w:t>
      </w:r>
      <w:r>
        <w:rPr>
          <w:rFonts w:ascii="Arial" w:cs="Arial" w:eastAsia="Arial" w:hAnsi="Arial"/>
          <w:sz w:val="17"/>
          <w:szCs w:val="17"/>
          <w:u w:val="single" w:color="auto"/>
          <w:color w:val="auto"/>
        </w:rPr>
        <w:t>Policies</w:t>
      </w:r>
      <w:r>
        <w:rPr>
          <w:rFonts w:ascii="Arial" w:cs="Arial" w:eastAsia="Arial" w:hAnsi="Arial"/>
          <w:sz w:val="17"/>
          <w:szCs w:val="17"/>
          <w:color w:val="auto"/>
        </w:rPr>
        <w:t>”), and (iii) to the extent otherwise provided under applicable legal requirements, SEC rules or Nasdaq listing standards which impose mandatory recoupment as in effect from time to time (including pursuant to the Dodd-Frank Clawback Requirements). The Company may utilize any method of recovery specified in the Policies in connection with any such recoupment pursuant to the terms of the Policies.</w:t>
      </w:r>
    </w:p>
    <w:p>
      <w:pPr>
        <w:spacing w:after="0" w:line="185" w:lineRule="exact"/>
        <w:rPr>
          <w:rFonts w:ascii="Arial" w:cs="Arial" w:eastAsia="Arial" w:hAnsi="Arial"/>
          <w:sz w:val="17"/>
          <w:szCs w:val="17"/>
          <w:color w:val="auto"/>
        </w:rPr>
      </w:pPr>
    </w:p>
    <w:p>
      <w:pPr>
        <w:ind w:left="-656" w:firstLine="656"/>
        <w:spacing w:after="0" w:line="277" w:lineRule="auto"/>
        <w:tabs>
          <w:tab w:leader="none" w:pos="30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given under this Agreement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0584"/>
          </w:cols>
          <w:pgMar w:left="976" w:top="584" w:right="339" w:bottom="1440" w:gutter="0" w:footer="0" w:header="0"/>
        </w:sectPr>
      </w:pPr>
    </w:p>
    <w:p>
      <w:pPr>
        <w:spacing w:after="0" w:line="386"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To the Company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500 11</w:t>
      </w:r>
      <w:r>
        <w:rPr>
          <w:rFonts w:ascii="Arial" w:cs="Arial" w:eastAsia="Arial" w:hAnsi="Arial"/>
          <w:sz w:val="12"/>
          <w:szCs w:val="12"/>
          <w:color w:val="auto"/>
        </w:rPr>
        <w:t>th</w:t>
      </w:r>
      <w:r>
        <w:rPr>
          <w:rFonts w:ascii="Arial" w:cs="Arial" w:eastAsia="Arial" w:hAnsi="Arial"/>
          <w:sz w:val="16"/>
          <w:szCs w:val="16"/>
          <w:color w:val="auto"/>
        </w:rPr>
        <w:t xml:space="preserve"> Avenue North, Suite 1000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200" w:lineRule="exact"/>
        <w:rPr>
          <w:sz w:val="20"/>
          <w:szCs w:val="20"/>
          <w:color w:val="auto"/>
        </w:rPr>
      </w:pPr>
    </w:p>
    <w:p>
      <w:pPr>
        <w:sectPr>
          <w:pgSz w:w="11900" w:h="16838" w:orient="portrait"/>
          <w:cols w:equalWidth="0" w:num="2">
            <w:col w:w="1224" w:space="560"/>
            <w:col w:w="8800"/>
          </w:cols>
          <w:pgMar w:left="976" w:top="584" w:right="339" w:bottom="1440" w:gutter="0" w:footer="0" w:header="0"/>
          <w:type w:val="continuous"/>
        </w:sectPr>
      </w:pPr>
    </w:p>
    <w:p>
      <w:pPr>
        <w:spacing w:after="0" w:line="11" w:lineRule="exact"/>
        <w:rPr>
          <w:sz w:val="20"/>
          <w:szCs w:val="20"/>
          <w:color w:val="auto"/>
        </w:rPr>
      </w:pPr>
    </w:p>
    <w:p>
      <w:pPr>
        <w:jc w:val="center"/>
        <w:ind w:left="4"/>
        <w:spacing w:after="0"/>
        <w:rPr>
          <w:sz w:val="20"/>
          <w:szCs w:val="20"/>
          <w:color w:val="auto"/>
        </w:rPr>
      </w:pPr>
      <w:r>
        <w:rPr>
          <w:rFonts w:ascii="Arial" w:cs="Arial" w:eastAsia="Arial" w:hAnsi="Arial"/>
          <w:sz w:val="15"/>
          <w:szCs w:val="15"/>
          <w:i w:val="1"/>
          <w:iCs w:val="1"/>
          <w:color w:val="auto"/>
        </w:rPr>
        <w:t>To the Grantee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124" w:space="680"/>
            <w:col w:w="8780"/>
          </w:cols>
          <w:pgMar w:left="976"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84"/>
        <w:spacing w:after="0"/>
        <w:rPr>
          <w:sz w:val="20"/>
          <w:szCs w:val="20"/>
          <w:color w:val="auto"/>
        </w:rPr>
      </w:pPr>
      <w:r>
        <w:rPr>
          <w:rFonts w:ascii="Arial" w:cs="Arial" w:eastAsia="Arial" w:hAnsi="Arial"/>
          <w:sz w:val="16"/>
          <w:szCs w:val="16"/>
          <w:color w:val="auto"/>
        </w:rPr>
        <w:t>{signature page follows}</w:t>
      </w:r>
    </w:p>
    <w:p>
      <w:pPr>
        <w:spacing w:after="0" w:line="241" w:lineRule="exact"/>
        <w:rPr>
          <w:sz w:val="20"/>
          <w:szCs w:val="20"/>
          <w:color w:val="auto"/>
        </w:rPr>
      </w:pPr>
    </w:p>
    <w:p>
      <w:pPr>
        <w:jc w:val="center"/>
        <w:ind w:right="656"/>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75565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color w:val="auto"/>
        </w:rPr>
        <w:t>IN WITNESS WHEREOF, the parties have caused this Agreement to be duly executed effective as of the day and year first above written.</w:t>
      </w:r>
    </w:p>
    <w:p>
      <w:pPr>
        <w:sectPr>
          <w:pgSz w:w="11900" w:h="16838" w:orient="portrait"/>
          <w:cols w:equalWidth="0" w:num="1">
            <w:col w:w="9960"/>
          </w:cols>
          <w:pgMar w:left="980" w:top="584" w:right="9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HEALTHSTREAM, INC.:</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6"/>
          <w:szCs w:val="16"/>
          <w:u w:val="single" w:color="auto"/>
          <w:color w:val="auto"/>
        </w:rPr>
        <w:t>___________________________________</w:t>
      </w:r>
    </w:p>
    <w:p>
      <w:pPr>
        <w:spacing w:after="0" w:line="46" w:lineRule="exact"/>
        <w:rPr>
          <w:sz w:val="20"/>
          <w:szCs w:val="20"/>
          <w:color w:val="auto"/>
        </w:rPr>
      </w:pPr>
    </w:p>
    <w:p>
      <w:pPr>
        <w:ind w:left="3620" w:hanging="384"/>
        <w:spacing w:after="0"/>
        <w:tabs>
          <w:tab w:leader="none" w:pos="3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75565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584" w:right="95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Criteria</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purposes of this Award, performance will be measured over the following five performance periods (the “</w:t>
      </w:r>
      <w:r>
        <w:rPr>
          <w:rFonts w:ascii="Arial" w:cs="Arial" w:eastAsia="Arial" w:hAnsi="Arial"/>
          <w:sz w:val="18"/>
          <w:szCs w:val="18"/>
          <w:u w:val="single" w:color="auto"/>
          <w:color w:val="auto"/>
        </w:rPr>
        <w:t>Performance Periods</w:t>
      </w:r>
      <w:r>
        <w:rPr>
          <w:rFonts w:ascii="Arial" w:cs="Arial" w:eastAsia="Arial" w:hAnsi="Arial"/>
          <w:sz w:val="18"/>
          <w:szCs w:val="18"/>
          <w:color w:val="auto"/>
        </w:rPr>
        <w:t>”): (i) the period beginning on January 1, 2023 and ending on December 31, 2023 (the “</w:t>
      </w:r>
      <w:r>
        <w:rPr>
          <w:rFonts w:ascii="Arial" w:cs="Arial" w:eastAsia="Arial" w:hAnsi="Arial"/>
          <w:sz w:val="18"/>
          <w:szCs w:val="18"/>
          <w:u w:val="single" w:color="auto"/>
          <w:color w:val="auto"/>
        </w:rPr>
        <w:t>Initial Performance Period</w:t>
      </w:r>
      <w:r>
        <w:rPr>
          <w:rFonts w:ascii="Arial" w:cs="Arial" w:eastAsia="Arial" w:hAnsi="Arial"/>
          <w:sz w:val="18"/>
          <w:szCs w:val="18"/>
          <w:color w:val="auto"/>
        </w:rPr>
        <w:t>”; all Performance Periods other than the Initial Performance Period, “</w:t>
      </w:r>
      <w:r>
        <w:rPr>
          <w:rFonts w:ascii="Arial" w:cs="Arial" w:eastAsia="Arial" w:hAnsi="Arial"/>
          <w:sz w:val="18"/>
          <w:szCs w:val="18"/>
          <w:u w:val="single" w:color="auto"/>
          <w:color w:val="auto"/>
        </w:rPr>
        <w:t>Subsequent Performance Periods</w:t>
      </w:r>
      <w:r>
        <w:rPr>
          <w:rFonts w:ascii="Arial" w:cs="Arial" w:eastAsia="Arial" w:hAnsi="Arial"/>
          <w:sz w:val="18"/>
          <w:szCs w:val="18"/>
          <w:color w:val="auto"/>
        </w:rPr>
        <w:t>”), (ii) the period beginning on January 1, 2024, and ending on December 31, 2024, (iii) the period beginning on January 1, 2025, and ending on December 31, 2025, (iv) the period beginning on January 1, 2026 and ending on December 31, 2026, and (v) the period beginning on January 1, 2027 and ending on December 31, 2027. For purposes of this Award, the performance criteria referenced herein for any Performance Period is referred to as the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each of the Performance Periods, the Committee shall determine (the “</w:t>
      </w:r>
      <w:r>
        <w:rPr>
          <w:rFonts w:ascii="Arial" w:cs="Arial" w:eastAsia="Arial" w:hAnsi="Arial"/>
          <w:sz w:val="17"/>
          <w:szCs w:val="17"/>
          <w:u w:val="single" w:color="auto"/>
          <w:color w:val="auto"/>
        </w:rPr>
        <w:t>Determination</w:t>
      </w:r>
      <w:r>
        <w:rPr>
          <w:rFonts w:ascii="Arial" w:cs="Arial" w:eastAsia="Arial" w:hAnsi="Arial"/>
          <w:sz w:val="17"/>
          <w:szCs w:val="17"/>
          <w:color w:val="auto"/>
        </w:rPr>
        <w:t>”) the Performance Criteria on an annual basis, and it is anticipated that the Performance Criteria will be based on one or more annual financial performance targets of the Company, which annual financial performance targets may include, among other things, Adjusted EBITDA and revenue thresholds of the Company (the “</w:t>
      </w:r>
      <w:r>
        <w:rPr>
          <w:rFonts w:ascii="Arial" w:cs="Arial" w:eastAsia="Arial" w:hAnsi="Arial"/>
          <w:sz w:val="17"/>
          <w:szCs w:val="17"/>
          <w:u w:val="single" w:color="auto"/>
          <w:color w:val="auto"/>
        </w:rPr>
        <w:t>Financial Metric</w:t>
      </w:r>
      <w:r>
        <w:rPr>
          <w:rFonts w:ascii="Arial" w:cs="Arial" w:eastAsia="Arial" w:hAnsi="Arial"/>
          <w:sz w:val="17"/>
          <w:szCs w:val="17"/>
          <w:color w:val="auto"/>
        </w:rPr>
        <w:t>”) as determined by the Committee in connection with the Determination. Determination of the Performance Criteria for each of the Performance Periods shall be determined by the Committee within 90 calendar days following the beginning of each Performance Period.</w:t>
      </w:r>
    </w:p>
    <w:p>
      <w:pPr>
        <w:spacing w:after="0" w:line="17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performance achieved in the applicable Performance Period meets or exceeds the established target goal level as established by the Committee, 100% of the RSUs eligible to vest in respect of such Performance Period pursuant to Section 2.1 shall vest and settle pursuant to the terms of this Agreement. If the performance achieved in the applicable Performance Period is less than the established target level as established by the Committee, none of the RSUs eligible to vest in respect of such Performance Period pursuant to Section 2.1 shall vest and settle pursuant to the terms of this Agreement. In addition, except as otherwise determined by the Committee, the impact of any acquisitions or divestitures that are pursued or completed during any Performance Period shall be excluded from the calculation of the Financial Metric for such Performance Period pursuant to the terms of this Agreement, including, without limitation, any expenses associated with acquisitions or divestitures pursued or completed during Performance Period and operating income (loss), Adjusted EBITDA and revenue, as applicable, resulting from acquisitions and divestitures completed during such Performance Period.</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in connection with making the Determination for each corresponding Subsequent Performance Period, the Committee will establish criteria by which RSUs (if any) that have not vested with respect to the prior year’s Performance Period may vest in part or in full on the Vesting Date for the Subsequent Performance Period to the extent that the Performance Criteria for such Subsequent Performance Period is exceeded by an amount as determined at such time by the Committee in connection with the Determination (the “</w:t>
      </w:r>
      <w:r>
        <w:rPr>
          <w:rFonts w:ascii="Arial" w:cs="Arial" w:eastAsia="Arial" w:hAnsi="Arial"/>
          <w:sz w:val="18"/>
          <w:szCs w:val="18"/>
          <w:u w:val="single" w:color="auto"/>
          <w:color w:val="auto"/>
        </w:rPr>
        <w:t>Catch-Up Provision</w:t>
      </w:r>
      <w:r>
        <w:rPr>
          <w:rFonts w:ascii="Arial" w:cs="Arial" w:eastAsia="Arial" w:hAnsi="Arial"/>
          <w:sz w:val="18"/>
          <w:szCs w:val="18"/>
          <w:color w:val="auto"/>
        </w:rPr>
        <w:t>”); provided, however, that in the event that RSUs do not vest in any calendar year and thus are available to vest in the succeeding calendar year (the “</w:t>
      </w:r>
      <w:r>
        <w:rPr>
          <w:rFonts w:ascii="Arial" w:cs="Arial" w:eastAsia="Arial" w:hAnsi="Arial"/>
          <w:sz w:val="18"/>
          <w:szCs w:val="18"/>
          <w:u w:val="single" w:color="auto"/>
          <w:color w:val="auto"/>
        </w:rPr>
        <w:t>Succeeding Year</w:t>
      </w:r>
      <w:r>
        <w:rPr>
          <w:rFonts w:ascii="Arial" w:cs="Arial" w:eastAsia="Arial" w:hAnsi="Arial"/>
          <w:sz w:val="18"/>
          <w:szCs w:val="18"/>
          <w:color w:val="auto"/>
        </w:rPr>
        <w:t>”) pursuant to the Catch-Up Provision, and subsequently do not vest in such Succeeding Year, then such RSUs will not be eligible to vest in any subsequent calendar year that follows such Succeeding Year.</w:t>
      </w:r>
    </w:p>
    <w:p>
      <w:pPr>
        <w:sectPr>
          <w:pgSz w:w="11900" w:h="16838" w:orient="portrait"/>
          <w:cols w:equalWidth="0" w:num="1">
            <w:col w:w="11240"/>
          </w:cols>
          <w:pgMar w:left="320" w:top="580"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6000" w:type="dxa"/>
            <w:vAlign w:val="bottom"/>
            <w:gridSpan w:val="2"/>
          </w:tcPr>
          <w:p>
            <w:pPr>
              <w:ind w:left="2380"/>
              <w:spacing w:after="0"/>
              <w:rPr>
                <w:sz w:val="20"/>
                <w:szCs w:val="20"/>
                <w:color w:val="auto"/>
              </w:rPr>
            </w:pPr>
            <w:r>
              <w:rPr>
                <w:rFonts w:ascii="Arial" w:cs="Arial" w:eastAsia="Arial" w:hAnsi="Arial"/>
                <w:sz w:val="18"/>
                <w:szCs w:val="18"/>
                <w:b w:val="1"/>
                <w:bCs w:val="1"/>
                <w:color w:val="auto"/>
              </w:rPr>
              <w:t>SUBSIDIARIES OF HEALTHSTREAM, INC.</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r>
      <w:tr>
        <w:trPr>
          <w:trHeight w:val="216"/>
        </w:trPr>
        <w:tc>
          <w:tcPr>
            <w:tcW w:w="1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93"/>
              </w:rPr>
              <w:t>Incorporation or</w:t>
            </w:r>
          </w:p>
        </w:tc>
      </w:tr>
      <w:tr>
        <w:trPr>
          <w:trHeight w:val="190"/>
        </w:trPr>
        <w:tc>
          <w:tcPr>
            <w:tcW w:w="1440" w:type="dxa"/>
            <w:vAlign w:val="bottom"/>
          </w:tcPr>
          <w:p>
            <w:pPr>
              <w:spacing w:after="0"/>
              <w:rPr>
                <w:sz w:val="16"/>
                <w:szCs w:val="16"/>
                <w:color w:val="auto"/>
              </w:rPr>
            </w:pPr>
          </w:p>
        </w:tc>
        <w:tc>
          <w:tcPr>
            <w:tcW w:w="2760" w:type="dxa"/>
            <w:vAlign w:val="bottom"/>
          </w:tcPr>
          <w:p>
            <w:pPr>
              <w:spacing w:after="0" w:line="190" w:lineRule="exact"/>
              <w:rPr>
                <w:sz w:val="20"/>
                <w:szCs w:val="20"/>
                <w:color w:val="auto"/>
              </w:rPr>
            </w:pPr>
            <w:r>
              <w:rPr>
                <w:rFonts w:ascii="Arial" w:cs="Arial" w:eastAsia="Arial" w:hAnsi="Arial"/>
                <w:sz w:val="18"/>
                <w:szCs w:val="18"/>
                <w:color w:val="auto"/>
                <w:w w:val="90"/>
              </w:rPr>
              <w:t>Names Under Which We Do Business</w:t>
            </w:r>
          </w:p>
        </w:tc>
        <w:tc>
          <w:tcPr>
            <w:tcW w:w="3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gridSpan w:val="2"/>
          </w:tcPr>
          <w:p>
            <w:pPr>
              <w:jc w:val="center"/>
              <w:ind w:right="580"/>
              <w:spacing w:after="0" w:line="190" w:lineRule="exact"/>
              <w:rPr>
                <w:sz w:val="20"/>
                <w:szCs w:val="20"/>
                <w:color w:val="auto"/>
              </w:rPr>
            </w:pPr>
            <w:r>
              <w:rPr>
                <w:rFonts w:ascii="Arial" w:cs="Arial" w:eastAsia="Arial" w:hAnsi="Arial"/>
                <w:sz w:val="18"/>
                <w:szCs w:val="18"/>
                <w:color w:val="auto"/>
                <w:w w:val="92"/>
              </w:rPr>
              <w:t>Organization</w:t>
            </w:r>
          </w:p>
        </w:tc>
      </w:tr>
      <w:tr>
        <w:trPr>
          <w:trHeight w:val="20"/>
        </w:trPr>
        <w:tc>
          <w:tcPr>
            <w:tcW w:w="14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18"/>
                <w:szCs w:val="18"/>
                <w:color w:val="auto"/>
              </w:rPr>
              <w:t>VerityStream, Inc. (f/k/a Echo, Inc.)</w:t>
            </w:r>
          </w:p>
        </w:tc>
        <w:tc>
          <w:tcPr>
            <w:tcW w:w="580" w:type="dxa"/>
            <w:vAlign w:val="bottom"/>
          </w:tcPr>
          <w:p>
            <w:pPr>
              <w:spacing w:after="0"/>
              <w:rPr>
                <w:sz w:val="24"/>
                <w:szCs w:val="2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83"/>
              </w:rPr>
              <w:t>Tennessee</w:t>
            </w: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HealthStream Information Solutions Company</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Nova Scotia, Canada</w:t>
            </w: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HSTM Group Australia PTY Limited</w:t>
            </w:r>
          </w:p>
        </w:tc>
        <w:tc>
          <w:tcPr>
            <w:tcW w:w="580" w:type="dxa"/>
            <w:vAlign w:val="bottom"/>
          </w:tcPr>
          <w:p>
            <w:pPr>
              <w:spacing w:after="0"/>
              <w:rPr>
                <w:sz w:val="24"/>
                <w:szCs w:val="2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Australia</w:t>
            </w: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HSTM Group New Zealand</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90"/>
              </w:rPr>
              <w:t>New Zealand</w:t>
            </w:r>
          </w:p>
        </w:tc>
      </w:tr>
    </w:tbl>
    <w:p>
      <w:pPr>
        <w:sectPr>
          <w:pgSz w:w="11900" w:h="16838" w:orient="portrait"/>
          <w:cols w:equalWidth="0" w:num="1">
            <w:col w:w="11240"/>
          </w:cols>
          <w:pgMar w:left="320" w:top="1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980" w:hanging="486"/>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Registration Statement (Form S-3 ASR No. 333-230169) of HealthStream, Inc. for the registration of shares of its common stock; and</w:t>
      </w:r>
    </w:p>
    <w:p>
      <w:pPr>
        <w:spacing w:after="0" w:line="47" w:lineRule="exact"/>
        <w:rPr>
          <w:rFonts w:ascii="Arial" w:cs="Arial" w:eastAsia="Arial" w:hAnsi="Arial"/>
          <w:sz w:val="17"/>
          <w:szCs w:val="17"/>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333-265242) pertaining to the HealthStream, Inc. 2022 Omnibus Incentive Plan</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our reports dated February 28, 2023, with respect to the consolidated financial statements of HealthStream, Inc. and the effectiveness of internal control over financial reporting of HealthStream, Inc. included in this Annual Report (Form 10-K) of HealthStream, Inc. for the year ended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Robert A. Frist, Jr.,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80" w:right="160" w:firstLine="3"/>
        <w:spacing w:after="0" w:line="263" w:lineRule="auto"/>
        <w:tabs>
          <w:tab w:leader="none" w:pos="8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40" w:firstLine="3"/>
        <w:spacing w:after="0" w:line="263" w:lineRule="auto"/>
        <w:tabs>
          <w:tab w:leader="none" w:pos="8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right="680" w:firstLine="3"/>
        <w:spacing w:after="0" w:line="342" w:lineRule="auto"/>
        <w:tabs>
          <w:tab w:leader="none" w:pos="865"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60" w:firstLine="3"/>
        <w:spacing w:after="0" w:line="263" w:lineRule="auto"/>
        <w:tabs>
          <w:tab w:leader="none" w:pos="8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60" w:firstLine="3"/>
        <w:spacing w:after="0" w:line="277" w:lineRule="auto"/>
        <w:tabs>
          <w:tab w:leader="none" w:pos="8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firstLine="3"/>
        <w:spacing w:after="0" w:line="277" w:lineRule="auto"/>
        <w:tabs>
          <w:tab w:leader="none" w:pos="8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color w:val="auto"/>
              </w:rPr>
              <w:t>Date : February 28, 2023</w:t>
            </w:r>
          </w:p>
        </w:tc>
        <w:tc>
          <w:tcPr>
            <w:tcW w:w="200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22"/>
        </w:trPr>
        <w:tc>
          <w:tcPr>
            <w:tcW w:w="340" w:type="dxa"/>
            <w:vAlign w:val="bottom"/>
            <w:tcBorders>
              <w:top w:val="single" w:sz="8" w:color="auto"/>
            </w:tcBorders>
          </w:tcPr>
          <w:p>
            <w:pPr>
              <w:spacing w:after="0"/>
              <w:rPr>
                <w:sz w:val="19"/>
                <w:szCs w:val="19"/>
                <w:color w:val="auto"/>
              </w:rPr>
            </w:pPr>
          </w:p>
        </w:tc>
        <w:tc>
          <w:tcPr>
            <w:tcW w:w="5280" w:type="dxa"/>
            <w:vAlign w:val="bottom"/>
          </w:tcPr>
          <w:p>
            <w:pPr>
              <w:spacing w:after="0"/>
              <w:rPr>
                <w:sz w:val="19"/>
                <w:szCs w:val="19"/>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A. Frist, Jr.</w:t>
            </w:r>
          </w:p>
        </w:tc>
      </w:tr>
      <w:tr>
        <w:trPr>
          <w:trHeight w:val="230"/>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A. Roberts, certify that:</w:t>
      </w:r>
    </w:p>
    <w:p>
      <w:pPr>
        <w:spacing w:after="0" w:line="23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80" w:right="160" w:firstLine="3"/>
        <w:spacing w:after="0" w:line="263" w:lineRule="auto"/>
        <w:tabs>
          <w:tab w:leader="none" w:pos="86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40" w:firstLine="3"/>
        <w:spacing w:after="0" w:line="263" w:lineRule="auto"/>
        <w:tabs>
          <w:tab w:leader="none" w:pos="8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right="680" w:firstLine="3"/>
        <w:spacing w:after="0" w:line="342" w:lineRule="auto"/>
        <w:tabs>
          <w:tab w:leader="none" w:pos="86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60" w:firstLine="3"/>
        <w:spacing w:after="0" w:line="263" w:lineRule="auto"/>
        <w:tabs>
          <w:tab w:leader="none" w:pos="8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60" w:firstLine="3"/>
        <w:spacing w:after="0" w:line="277" w:lineRule="auto"/>
        <w:tabs>
          <w:tab w:leader="none" w:pos="86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firstLine="3"/>
        <w:spacing w:after="0" w:line="277" w:lineRule="auto"/>
        <w:tabs>
          <w:tab w:leader="none" w:pos="8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color w:val="auto"/>
              </w:rPr>
              <w:t>Date : February 28, 2023</w:t>
            </w:r>
          </w:p>
        </w:tc>
        <w:tc>
          <w:tcPr>
            <w:tcW w:w="1880" w:type="dxa"/>
            <w:vAlign w:val="bottom"/>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222"/>
        </w:trPr>
        <w:tc>
          <w:tcPr>
            <w:tcW w:w="340" w:type="dxa"/>
            <w:vAlign w:val="bottom"/>
            <w:tcBorders>
              <w:top w:val="single" w:sz="8" w:color="auto"/>
            </w:tcBorders>
          </w:tcPr>
          <w:p>
            <w:pPr>
              <w:spacing w:after="0"/>
              <w:rPr>
                <w:sz w:val="19"/>
                <w:szCs w:val="19"/>
                <w:color w:val="auto"/>
              </w:rPr>
            </w:pPr>
          </w:p>
        </w:tc>
        <w:tc>
          <w:tcPr>
            <w:tcW w:w="528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A. Roberts</w:t>
            </w:r>
          </w:p>
        </w:tc>
      </w:tr>
      <w:tr>
        <w:trPr>
          <w:trHeight w:val="230"/>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2022, as filed with the Securities and Exchange Commission on the date hereof (the “Report”), Robert A. Frist, Jr., Chief Executive Officer of the Company certifies, pursuant to 18 U.S.C. §1350, as adopted pursuant to §906 of the Sarbanes-Oxley Act of 2002, that:</w:t>
      </w:r>
    </w:p>
    <w:p>
      <w:pPr>
        <w:spacing w:after="0" w:line="184" w:lineRule="exact"/>
        <w:rPr>
          <w:sz w:val="20"/>
          <w:szCs w:val="20"/>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408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1640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2022, as filed with the Securities and Exchange Commission on the date hereof (the “Report”), Scott A. Roberts, Chief Financial Officer of the Company certifies, pursuant to 18 U.S.C. § 1350, as adopted pursuant to §906 of the Sarbanes-Oxley Act of 2002, that:</w:t>
      </w:r>
    </w:p>
    <w:p>
      <w:pPr>
        <w:spacing w:after="0" w:line="184" w:lineRule="exact"/>
        <w:rPr>
          <w:sz w:val="20"/>
          <w:szCs w:val="20"/>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080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A. Roberts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endash "/>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2"/>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upperLetter"/>
      <w:start w:val="35"/>
    </w:lvl>
  </w:abstractNum>
  <w:abstractNum w:abstractNumId="22">
    <w:nsid w:val="8138641"/>
    <w:multiLevelType w:val="hybridMultilevel"/>
    <w:lvl w:ilvl="0">
      <w:lvlJc w:val="left"/>
      <w:lvlText w:val="%1."/>
      <w:numFmt w:val="upperLetter"/>
      <w:start w:val="6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decimal"/>
      <w:start w:val="3"/>
    </w:lvl>
  </w:abstractNum>
  <w:abstractNum w:abstractNumId="28">
    <w:nsid w:val="4516DDE9"/>
    <w:multiLevelType w:val="hybridMultilevel"/>
    <w:lvl w:ilvl="0">
      <w:lvlJc w:val="left"/>
      <w:lvlText w:val="%1"/>
      <w:numFmt w:val="lowerRoman"/>
      <w:start w:val="1"/>
    </w:lvl>
    <w:lvl w:ilvl="1">
      <w:lvlJc w:val="left"/>
      <w:lvlText w:val="%2."/>
      <w:numFmt w:val="decimal"/>
      <w:start w:val="6"/>
    </w:lvl>
  </w:abstractNum>
  <w:abstractNum w:abstractNumId="29">
    <w:nsid w:val="3006C83E"/>
    <w:multiLevelType w:val="hybridMultilevel"/>
    <w:lvl w:ilvl="0">
      <w:lvlJc w:val="left"/>
      <w:lvlText w:val="(%1)"/>
      <w:numFmt w:val="lowerRoman"/>
      <w:start w:val="1"/>
    </w:lvl>
    <w:lvl w:ilvl="1">
      <w:lvlJc w:val="left"/>
      <w:lvlText w:val="%2."/>
      <w:numFmt w:val="decimal"/>
      <w:start w:val="8"/>
    </w:lvl>
  </w:abstractNum>
  <w:abstractNum w:abstractNumId="30">
    <w:nsid w:val="614FD4A1"/>
    <w:multiLevelType w:val="hybridMultilevel"/>
    <w:lvl w:ilvl="0">
      <w:lvlJc w:val="left"/>
      <w:lvlText w:val="%1."/>
      <w:numFmt w:val="decimal"/>
      <w:start w:val="13"/>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04" Type="http://schemas.openxmlformats.org/officeDocument/2006/relationships/image" Target="media/image71.jpeg"/><Relationship Id="rId105" Type="http://schemas.openxmlformats.org/officeDocument/2006/relationships/image" Target="media/image72.jpeg"/><Relationship Id="rId106" Type="http://schemas.openxmlformats.org/officeDocument/2006/relationships/image" Target="media/image73.jpeg"/><Relationship Id="rId107" Type="http://schemas.openxmlformats.org/officeDocument/2006/relationships/image" Target="media/image74.jpeg"/><Relationship Id="rId108" Type="http://schemas.openxmlformats.org/officeDocument/2006/relationships/image" Target="media/image75.jpeg"/><Relationship Id="rId109" Type="http://schemas.openxmlformats.org/officeDocument/2006/relationships/image" Target="media/image76.jpeg"/><Relationship Id="rId110" Type="http://schemas.openxmlformats.org/officeDocument/2006/relationships/image" Target="media/image77.jpeg"/><Relationship Id="rId111" Type="http://schemas.openxmlformats.org/officeDocument/2006/relationships/image" Target="media/image78.jpeg"/><Relationship Id="rId112" Type="http://schemas.openxmlformats.org/officeDocument/2006/relationships/image" Target="media/image79.jpeg"/><Relationship Id="rId113" Type="http://schemas.openxmlformats.org/officeDocument/2006/relationships/image" Target="media/image80.jpeg"/><Relationship Id="rId114" Type="http://schemas.openxmlformats.org/officeDocument/2006/relationships/image" Target="media/image81.jpeg"/><Relationship Id="rId115" Type="http://schemas.openxmlformats.org/officeDocument/2006/relationships/image" Target="media/image82.jpeg"/><Relationship Id="rId116" Type="http://schemas.openxmlformats.org/officeDocument/2006/relationships/image" Target="media/image83.jpeg"/><Relationship Id="rId117" Type="http://schemas.openxmlformats.org/officeDocument/2006/relationships/image" Target="media/image84.jpeg"/><Relationship Id="rId118" Type="http://schemas.openxmlformats.org/officeDocument/2006/relationships/image" Target="media/image85.jpeg"/><Relationship Id="rId119" Type="http://schemas.openxmlformats.org/officeDocument/2006/relationships/image" Target="media/image86.jpeg"/><Relationship Id="rId120" Type="http://schemas.openxmlformats.org/officeDocument/2006/relationships/image" Target="media/image87.jpeg"/><Relationship Id="rId121" Type="http://schemas.openxmlformats.org/officeDocument/2006/relationships/image" Target="media/image88.png"/><Relationship Id="rId122" Type="http://schemas.openxmlformats.org/officeDocument/2006/relationships/image" Target="media/image89.jpe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78" Type="http://schemas.openxmlformats.org/officeDocument/2006/relationships/hyperlink" Target="http://www.sec.gov/Archives/edgar/data/1095565/000119312518040420/d539001dex21.htm" TargetMode="External"/><Relationship Id="rId79" Type="http://schemas.openxmlformats.org/officeDocument/2006/relationships/hyperlink" Target="http://www.sec.gov/Archives/edgar/data/1095565/000156459020055624/hstm-ex21_35.htm" TargetMode="External"/><Relationship Id="rId80" Type="http://schemas.openxmlformats.org/officeDocument/2006/relationships/hyperlink" Target="http://www.sec.gov/Archives/edgar/data/1095565/000095014499011846/0000950144-99-011846.txt" TargetMode="External"/><Relationship Id="rId81" Type="http://schemas.openxmlformats.org/officeDocument/2006/relationships/hyperlink" Target="http://www.sec.gov/Archives/edgar/data/1095565/000119312515351970/d98731dex31.htm" TargetMode="External"/><Relationship Id="rId82" Type="http://schemas.openxmlformats.org/officeDocument/2006/relationships/hyperlink" Target="http://www.sec.gov/Archives/edgar/data/1095565/000095014400004319/0000950144-00-004319.txt" TargetMode="External"/><Relationship Id="rId83" Type="http://schemas.openxmlformats.org/officeDocument/2006/relationships/hyperlink" Target="http://www.sec.gov/Archives/edgar/data/1095565/000156459020006849/hstm-ex43_225.htm" TargetMode="External"/><Relationship Id="rId84" Type="http://schemas.openxmlformats.org/officeDocument/2006/relationships/hyperlink" Target="http://www.sec.gov/Archives/edgar/data/1095565/000143774922004615/ex_337991.htm" TargetMode="External"/><Relationship Id="rId85" Type="http://schemas.openxmlformats.org/officeDocument/2006/relationships/hyperlink" Target="http://www.sec.gov/Archives/edgar/data/1095565/000143774922004615/ex_336955.htm" TargetMode="External"/><Relationship Id="rId86" Type="http://schemas.openxmlformats.org/officeDocument/2006/relationships/hyperlink" Target="http://www.sec.gov/Archives/edgar/data/1095565/000095014405007684/g96421exv10w1.txt" TargetMode="External"/><Relationship Id="rId87" Type="http://schemas.openxmlformats.org/officeDocument/2006/relationships/hyperlink" Target="http://www.sec.gov/Archives/edgar/data/1095565/000119312514425153/d827074dex101.htm" TargetMode="External"/><Relationship Id="rId88" Type="http://schemas.openxmlformats.org/officeDocument/2006/relationships/hyperlink" Target="http://www.sec.gov/Archives/edgar/data/1095565/000119312515360248/d81538dex101.htm" TargetMode="External"/><Relationship Id="rId89" Type="http://schemas.openxmlformats.org/officeDocument/2006/relationships/hyperlink" Target="http://www.sec.gov/Archives/edgar/data/1095565/000119312516608509/d201384dex101.htm" TargetMode="External"/><Relationship Id="rId90" Type="http://schemas.openxmlformats.org/officeDocument/2006/relationships/hyperlink" Target="http://www.sec.gov/Archives/edgar/data/1095565/000119312517151764/d371755dex101.htm" TargetMode="External"/><Relationship Id="rId91" Type="http://schemas.openxmlformats.org/officeDocument/2006/relationships/hyperlink" Target="http://www.sec.gov/Archives/edgar/data/1095565/000119312517151764/d371755dex102.htm" TargetMode="External"/><Relationship Id="rId92" Type="http://schemas.openxmlformats.org/officeDocument/2006/relationships/hyperlink" Target="http://www.sec.gov/Archives/edgar/data/1095565/000119312517242423/d408430dex101.htm" TargetMode="External"/><Relationship Id="rId93" Type="http://schemas.openxmlformats.org/officeDocument/2006/relationships/hyperlink" Target="http://www.sec.gov/Archives/edgar/data/1095565/000129993317001158/exhibit1.htm" TargetMode="External"/><Relationship Id="rId94" Type="http://schemas.openxmlformats.org/officeDocument/2006/relationships/hyperlink" Target="http://www.sec.gov/Archives/edgar/data/1095565/000156459019000062/hstm-ex101_7.htm" TargetMode="External"/><Relationship Id="rId95" Type="http://schemas.openxmlformats.org/officeDocument/2006/relationships/hyperlink" Target="http://www.sec.gov/Archives/edgar/data/1095565/000156459020048433/hstm-ex101_33.htm" TargetMode="External"/><Relationship Id="rId96" Type="http://schemas.openxmlformats.org/officeDocument/2006/relationships/hyperlink" Target="http://www.sec.gov/Archives/edgar/data/1095565/000119312518164769/d569040dex101.htm" TargetMode="External"/><Relationship Id="rId97" Type="http://schemas.openxmlformats.org/officeDocument/2006/relationships/hyperlink" Target="http://www.sec.gov/Archives/edgar/data/1095565/000119312518164769/d569040dex102.htm" TargetMode="External"/><Relationship Id="rId98" Type="http://schemas.openxmlformats.org/officeDocument/2006/relationships/hyperlink" Target="http://www.sec.gov/Archives/edgar/data/1095565/000156459021008985/hstm-ex1019_66.htm" TargetMode="External"/><Relationship Id="rId99" Type="http://schemas.openxmlformats.org/officeDocument/2006/relationships/hyperlink" Target="http://www.sec.gov/Archives/edgar/data/1095565/000143774922010086/ex_358139.htm" TargetMode="External"/><Relationship Id="rId100" Type="http://schemas.openxmlformats.org/officeDocument/2006/relationships/hyperlink" Target="http://www.sec.gov/Archives/edgar/data/1095565/000143774922010086/ex_365233.htm" TargetMode="External"/><Relationship Id="rId101" Type="http://schemas.openxmlformats.org/officeDocument/2006/relationships/hyperlink" Target="http://www.sec.gov/Archives/edgar/data/1095565/000143774922010086/ex_365234.htm" TargetMode="External"/><Relationship Id="rId102" Type="http://schemas.openxmlformats.org/officeDocument/2006/relationships/hyperlink" Target="http://www.sec.gov/Archives/edgar/data/1095565/000143774922010086/ex_365235.htm" TargetMode="External"/><Relationship Id="rId103" Type="http://schemas.openxmlformats.org/officeDocument/2006/relationships/hyperlink" Target="http://www.sec.gov/Archives/edgar/data/1095565/000143774922013659/ex_37977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2023-02-28T19:36:30Z</dcterms:created>
  <dcterms:modified xsi:type="dcterms:W3CDTF">2023-02-28T19:36:30Z</dcterms:modified>
</cp:coreProperties>
</file>