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296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-5080</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HEALTHSTREAM,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610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Tennessee</w:t>
            </w:r>
          </w:p>
        </w:tc>
        <w:tc>
          <w:tcPr>
            <w:tcW w:w="1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62-1443555</w:t>
            </w:r>
          </w:p>
        </w:tc>
      </w:tr>
      <w:tr>
        <w:trPr>
          <w:trHeight w:val="149"/>
        </w:trPr>
        <w:tc>
          <w:tcPr>
            <w:tcW w:w="6100" w:type="dxa"/>
            <w:vAlign w:val="bottom"/>
          </w:tcPr>
          <w:p>
            <w:pPr>
              <w:jc w:val="center"/>
              <w:ind w:right="34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00" w:type="dxa"/>
            <w:vAlign w:val="bottom"/>
          </w:tcPr>
          <w:p>
            <w:pPr>
              <w:jc w:val="center"/>
              <w:ind w:right="34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10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8"/>
              </w:rPr>
              <w:t>209 10th Avenue South, Suite 450</w:t>
            </w:r>
          </w:p>
        </w:tc>
        <w:tc>
          <w:tcPr>
            <w:tcW w:w="1500" w:type="dxa"/>
            <w:vAlign w:val="bottom"/>
          </w:tcPr>
          <w:p>
            <w:pPr>
              <w:spacing w:after="0"/>
              <w:rPr>
                <w:sz w:val="24"/>
                <w:szCs w:val="24"/>
                <w:color w:val="auto"/>
              </w:rPr>
            </w:pPr>
          </w:p>
        </w:tc>
      </w:tr>
      <w:tr>
        <w:trPr>
          <w:trHeight w:val="227"/>
        </w:trPr>
        <w:tc>
          <w:tcPr>
            <w:tcW w:w="610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Nashville, Tennessee</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37203</w:t>
            </w:r>
          </w:p>
        </w:tc>
      </w:tr>
      <w:tr>
        <w:trPr>
          <w:trHeight w:val="190"/>
        </w:trPr>
        <w:tc>
          <w:tcPr>
            <w:tcW w:w="6100" w:type="dxa"/>
            <w:vAlign w:val="bottom"/>
          </w:tcPr>
          <w:p>
            <w:pPr>
              <w:jc w:val="center"/>
              <w:ind w:right="34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100" w:type="dxa"/>
            <w:vAlign w:val="bottom"/>
          </w:tcPr>
          <w:p>
            <w:pPr>
              <w:jc w:val="right"/>
              <w:ind w:right="1359"/>
              <w:spacing w:after="0"/>
              <w:rPr>
                <w:sz w:val="20"/>
                <w:szCs w:val="20"/>
                <w:color w:val="auto"/>
              </w:rPr>
            </w:pPr>
            <w:r>
              <w:rPr>
                <w:rFonts w:ascii="Times New Roman" w:cs="Times New Roman" w:eastAsia="Times New Roman" w:hAnsi="Times New Roman"/>
                <w:sz w:val="18"/>
                <w:szCs w:val="18"/>
                <w:b w:val="1"/>
                <w:bCs w:val="1"/>
                <w:color w:val="auto"/>
              </w:rPr>
              <w:t>(615) 301-3100</w:t>
            </w:r>
          </w:p>
        </w:tc>
        <w:tc>
          <w:tcPr>
            <w:tcW w:w="1500" w:type="dxa"/>
            <w:vAlign w:val="bottom"/>
          </w:tcPr>
          <w:p>
            <w:pPr>
              <w:spacing w:after="0"/>
              <w:rPr>
                <w:sz w:val="24"/>
                <w:szCs w:val="24"/>
                <w:color w:val="auto"/>
              </w:rPr>
            </w:pPr>
          </w:p>
        </w:tc>
      </w:tr>
      <w:tr>
        <w:trPr>
          <w:trHeight w:val="190"/>
        </w:trPr>
        <w:tc>
          <w:tcPr>
            <w:tcW w:w="6100" w:type="dxa"/>
            <w:vAlign w:val="bottom"/>
          </w:tcPr>
          <w:p>
            <w:pPr>
              <w:jc w:val="center"/>
              <w:ind w:left="19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00" w:type="dxa"/>
            <w:vAlign w:val="bottom"/>
          </w:tcPr>
          <w:p>
            <w:pPr>
              <w:spacing w:after="0"/>
              <w:rPr>
                <w:sz w:val="16"/>
                <w:szCs w:val="16"/>
                <w:color w:val="auto"/>
              </w:rPr>
            </w:pP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340" w:type="dxa"/>
            <w:vAlign w:val="bottom"/>
            <w:vMerge w:val="restart"/>
          </w:tcPr>
          <w:p>
            <w:pPr>
              <w:ind w:left="1740"/>
              <w:spacing w:after="0"/>
              <w:rPr>
                <w:sz w:val="20"/>
                <w:szCs w:val="20"/>
                <w:color w:val="auto"/>
              </w:rPr>
            </w:pPr>
            <w:r>
              <w:rPr>
                <w:rFonts w:ascii="Times New Roman" w:cs="Times New Roman" w:eastAsia="Times New Roman" w:hAnsi="Times New Roman"/>
                <w:sz w:val="18"/>
                <w:szCs w:val="18"/>
                <w:b w:val="1"/>
                <w:bCs w:val="1"/>
                <w:color w:val="auto"/>
                <w:w w:val="81"/>
              </w:rPr>
              <w:t>Common</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120" w:type="dxa"/>
            <w:vAlign w:val="bottom"/>
            <w:gridSpan w:val="6"/>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234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700" w:type="dxa"/>
            <w:vAlign w:val="bottom"/>
            <w:gridSpan w:val="4"/>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40" w:type="dxa"/>
            <w:vAlign w:val="bottom"/>
            <w:vMerge w:val="continue"/>
          </w:tcPr>
          <w:p>
            <w:pPr>
              <w:spacing w:after="0"/>
              <w:rPr>
                <w:sz w:val="20"/>
                <w:szCs w:val="20"/>
                <w:color w:val="auto"/>
              </w:rPr>
            </w:pPr>
          </w:p>
        </w:tc>
        <w:tc>
          <w:tcPr>
            <w:tcW w:w="2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Stock, No Par Value</w:t>
            </w:r>
          </w:p>
        </w:tc>
        <w:tc>
          <w:tcPr>
            <w:tcW w:w="238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27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340" w:type="dxa"/>
            <w:vAlign w:val="bottom"/>
          </w:tcPr>
          <w:p>
            <w:pPr>
              <w:spacing w:after="0"/>
              <w:rPr>
                <w:sz w:val="24"/>
                <w:szCs w:val="24"/>
                <w:color w:val="auto"/>
              </w:rPr>
            </w:pPr>
          </w:p>
        </w:tc>
        <w:tc>
          <w:tcPr>
            <w:tcW w:w="618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52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6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840" w:type="dxa"/>
            <w:vAlign w:val="bottom"/>
            <w:gridSpan w:val="2"/>
            <w:vMerge w:val="restart"/>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6"/>
        </w:trPr>
        <w:tc>
          <w:tcPr>
            <w:tcW w:w="8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Yes</w:t>
            </w:r>
          </w:p>
        </w:tc>
        <w:tc>
          <w:tcPr>
            <w:tcW w:w="280" w:type="dxa"/>
            <w:vAlign w:val="bottom"/>
            <w:vMerge w:val="continue"/>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of 15(d) of the Act.  Yes</w:t>
            </w:r>
          </w:p>
        </w:tc>
        <w:tc>
          <w:tcPr>
            <w:tcW w:w="380" w:type="dxa"/>
            <w:vAlign w:val="bottom"/>
          </w:tcPr>
          <w:p>
            <w:pPr>
              <w:jc w:val="center"/>
              <w:ind w:right="50"/>
              <w:spacing w:after="0" w:line="181" w:lineRule="exact"/>
              <w:rPr>
                <w:sz w:val="20"/>
                <w:szCs w:val="20"/>
                <w:color w:val="auto"/>
              </w:rPr>
            </w:pPr>
            <w:r>
              <w:rPr>
                <w:rFonts w:ascii="MS PGothic" w:cs="MS PGothic" w:eastAsia="MS PGothic" w:hAnsi="MS PGothic"/>
                <w:sz w:val="18"/>
                <w:szCs w:val="18"/>
                <w:color w:val="auto"/>
                <w:w w:val="88"/>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4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78" w:lineRule="exact"/>
        <w:rPr>
          <w:sz w:val="24"/>
          <w:szCs w:val="24"/>
          <w:color w:val="auto"/>
        </w:rPr>
      </w:pPr>
    </w:p>
    <w:p>
      <w:pPr>
        <w:ind w:right="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0" w:lineRule="exact"/>
        <w:rPr>
          <w:sz w:val="24"/>
          <w:szCs w:val="24"/>
          <w:color w:val="auto"/>
        </w:rPr>
      </w:pPr>
    </w:p>
    <w:p>
      <w:pPr>
        <w:spacing w:after="0" w:line="207" w:lineRule="exact"/>
        <w:tabs>
          <w:tab w:leader="none" w:pos="1900" w:val="left"/>
          <w:tab w:leader="none" w:pos="8840" w:val="left"/>
          <w:tab w:leader="none" w:pos="1124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420"/>
          </w:cols>
          <w:pgMar w:left="240" w:top="226" w:right="239" w:bottom="0" w:gutter="0" w:footer="0" w:header="0"/>
        </w:sectPr>
      </w:pPr>
    </w:p>
    <w:bookmarkStart w:id="1" w:name="page2"/>
    <w:bookmarkEnd w:id="1"/>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3" w:lineRule="exact"/>
        <w:rPr>
          <w:sz w:val="20"/>
          <w:szCs w:val="20"/>
          <w:color w:val="auto"/>
        </w:rPr>
      </w:pPr>
    </w:p>
    <w:p>
      <w:pPr>
        <w:sectPr>
          <w:pgSz w:w="11900" w:h="16838" w:orient="portrait"/>
          <w:cols w:equalWidth="0" w:num="4">
            <w:col w:w="1540" w:space="380"/>
            <w:col w:w="6220" w:space="720"/>
            <w:col w:w="1980" w:space="420"/>
            <w:col w:w="160"/>
          </w:cols>
          <w:pgMar w:left="240" w:top="91" w:right="239" w:bottom="1440" w:gutter="0" w:footer="0" w:header="0"/>
        </w:sectPr>
      </w:pP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7" w:lineRule="exact"/>
        <w:rPr>
          <w:sz w:val="20"/>
          <w:szCs w:val="20"/>
          <w:color w:val="auto"/>
        </w:rPr>
      </w:pPr>
    </w:p>
    <w:p>
      <w:pPr>
        <w:sectPr>
          <w:pgSz w:w="11900" w:h="16838" w:orient="portrait"/>
          <w:cols w:equalWidth="0" w:num="4">
            <w:col w:w="7420" w:space="180"/>
            <w:col w:w="260" w:space="80"/>
            <w:col w:w="160" w:space="180"/>
            <w:col w:w="3140"/>
          </w:cols>
          <w:pgMar w:left="240" w:top="91" w:right="239" w:bottom="1440" w:gutter="0" w:footer="0" w:header="0"/>
          <w:type w:val="continuous"/>
        </w:sectPr>
      </w:pPr>
    </w:p>
    <w:p>
      <w:pPr>
        <w:spacing w:after="0" w:line="3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Common Stock issued and outstanding and held by non-affiliates of the Registrant, based upon the closing sales price for the Common Stock on the NASDAQ Global Select Market on June 30, 2016 was approximately $674.6 million. All executive officers and directors of the registrant have been deemed, solely for the purpose of the foregoing calculation, to be “affiliates” of the registrant.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24, 2017, there were 31,777,141 shares of the Registrant’s common stock outstanding.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Portions of the Registrant’s definitive Proxy Statement for its 2017 Annual Meeting of Shareholders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40" w:type="dxa"/>
            <w:vAlign w:val="bottom"/>
            <w:gridSpan w:val="8"/>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40" w:type="dxa"/>
            <w:vAlign w:val="bottom"/>
            <w:gridSpan w:val="8"/>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40" w:type="dxa"/>
            <w:vAlign w:val="bottom"/>
            <w:gridSpan w:val="8"/>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0180" w:type="dxa"/>
            <w:vAlign w:val="bottom"/>
            <w:gridSpan w:val="19"/>
          </w:tcPr>
          <w:p>
            <w:pPr>
              <w:spacing w:after="0" w:line="194"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Risk Factors</w:t>
              </w:r>
            </w:hyperlink>
          </w:p>
        </w:tc>
        <w:tc>
          <w:tcPr>
            <w:tcW w:w="926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Unresolved Staff Comments</w:t>
              </w:r>
            </w:hyperlink>
          </w:p>
        </w:tc>
        <w:tc>
          <w:tcPr>
            <w:tcW w:w="812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Properties</w:t>
              </w:r>
            </w:hyperlink>
          </w:p>
        </w:tc>
        <w:tc>
          <w:tcPr>
            <w:tcW w:w="942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0180" w:type="dxa"/>
            <w:vAlign w:val="bottom"/>
            <w:gridSpan w:val="19"/>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Legal Proceedings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0180" w:type="dxa"/>
            <w:vAlign w:val="bottom"/>
            <w:gridSpan w:val="19"/>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Mine Safety Disclosures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2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10180" w:type="dxa"/>
            <w:vAlign w:val="bottom"/>
            <w:gridSpan w:val="19"/>
          </w:tcPr>
          <w:p>
            <w:pPr>
              <w:spacing w:after="0" w:line="194"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2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10180" w:type="dxa"/>
            <w:vAlign w:val="bottom"/>
            <w:gridSpan w:val="19"/>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Quantitative and Qualitative Disclosures About Market Risk</w:t>
              </w:r>
            </w:hyperlink>
          </w:p>
        </w:tc>
        <w:tc>
          <w:tcPr>
            <w:tcW w:w="372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82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10180" w:type="dxa"/>
            <w:vAlign w:val="bottom"/>
            <w:gridSpan w:val="19"/>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Changes in and Disagreements with Accountants on Accounting and Financial Disclosure</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37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0180" w:type="dxa"/>
            <w:vAlign w:val="bottom"/>
            <w:gridSpan w:val="19"/>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2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10180" w:type="dxa"/>
            <w:vAlign w:val="bottom"/>
            <w:gridSpan w:val="19"/>
          </w:tcPr>
          <w:p>
            <w:pPr>
              <w:spacing w:after="0" w:line="194"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Directors, Executive Officers and Corporate Governance</w:t>
              </w:r>
            </w:hyperlink>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608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28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Certain Relationships and Related Transactions, and Director Independence</w:t>
              </w:r>
            </w:hyperlink>
          </w:p>
        </w:tc>
        <w:tc>
          <w:tcPr>
            <w:tcW w:w="472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10180" w:type="dxa"/>
            <w:vAlign w:val="bottom"/>
            <w:gridSpan w:val="19"/>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Principal Accounting Fees and Services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2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10180" w:type="dxa"/>
            <w:vAlign w:val="bottom"/>
            <w:gridSpan w:val="19"/>
          </w:tcPr>
          <w:p>
            <w:pPr>
              <w:spacing w:after="0" w:line="194"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Exhibits, Financial Statement Schedules</w:t>
              </w:r>
            </w:hyperlink>
          </w:p>
        </w:tc>
        <w:tc>
          <w:tcPr>
            <w:tcW w:w="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290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Signatures</w:t>
              </w:r>
            </w:hyperlink>
          </w:p>
        </w:tc>
        <w:tc>
          <w:tcPr>
            <w:tcW w:w="728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455" w:right="2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21E of the Securities Exchange Act of 1934. Such forward-looking statements include, among others, those statements including the words “expects,” “anticipates,” “intends,” “believes,” “may,” “will,” “should,” “continue” and similar language or the negative of such terms or other comparable terminology. Forward-looking statements involve known and unknown risks, uncertainties, and other factors that may cause our actual results, performance, or achievements to be materially different from future results, performance, or achievements expressed or implied by the forward-looking statements included herein. Factors that might cause or contribute to such differences include, but are not limited to, those discussed in the section “Risk Factors” in Item 1A of this Annual Report on Form 10-K and elsewhere in this document. In addition, factors that we are not currently aware of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 10-K. HealthStream undertakes no obligation to publicly release any revisions to the forward-looking statements or reflect events or circumstances after the date of this document.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HISTORY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HealthStream, Inc. (HealthStream or the Company) provides workforce, patient experience, and provider solutions for healthcare organizations—all designed to support the people that deliver patient care which, in turn, supports the improvement of business and clinical outcomes. Delivered primarily as Software-as-a-Service (“SaaS”), our solutions focus on some of the most significant challenges facing the healthcare workforce and healthcare organizations today, including the need to effectively manage, retain, engage, and develop healthcare workforce talent; meet rigorous compliance requirements; efficiently manage ongoing medical staff credentialing and privileging processes; and deliver optimal patient experiences of care in healthcare organizations.</w:t>
      </w:r>
    </w:p>
    <w:p>
      <w:pPr>
        <w:spacing w:after="0" w:line="1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With 27 years of experience, HealthStream is recognized as a leading innovator and thought leader in the healthcare industry for its healthcare workforce solutions. Using technology to enhance learning and productivity, HealthStream pioneered the delivery of online learning for hospitals’ required regulatory training as Internet-based training was first introduced. Stemming from that early success, demand for expanded learning solutions led the Company to build what is now a full eco-system of diverse HR and clinical-focused applications, courseware, assessments, and talent management programs. At year-end 2016 —with over 4.5 million healthcare professionals subscribing to HealthStream’s platform through their respective organizations, HealthStream is a leading provider in workforce development in the healthcare industry.</w:t>
      </w:r>
    </w:p>
    <w:p>
      <w:pPr>
        <w:spacing w:after="0" w:line="188"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With its singular healthcare focus, HealthStream understands that healthcare organizations want to provide their patients with an engaged, confident, and competent workforce that delivers optimal patient experiences. HealthStream’s solutions offer organizations a robust array of products and services that provide targeted insights to take actions that produce sustainable performance improvements. Moreover, HealthStream’s vast database of healthcare workforce benchmarks offer organizations a powerful tool to compare, assess, and fine-tune their strategies for managing initiatives to success.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HealthStream believes that the key to quality patient care is—and always has been—a result of the people who deliver care. To that end, the Company’s solutions support the recruiting, retaining, engaging, assessing, and developing the healthcare workforce, including medical staff who provide patient care in our customers’ organizations.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Headquartered in Nashville, Tennessee, the Company was incorporated in 1990 and began providing its SaaS-based workforce solutions in 1999, its survey and research solutions in 2005, and its provider solutions in 2012. Including additional offices in Laurel, Maryland; Nashville, Tennessee; Jericho, New York; Brentwood, Tennessee; San Diego, California; Chicago, Illinois; Boulder, Colorado; and Pensacola, Florida, HealthStream had 1,010 full-time and 110 part-time employees as of December 31, 2016. Our business has evolved from an initial focus on technology-based training to a company providing workforce development, patient experience, and provider solutions to the nation’s healthcare providers.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According to the Centers for Medicare and Medicaid Services (CMS), spending in the healthcare industry reached approximately $3.2 trillion in 2015, or 17.8% of the U.S. gross domestic product. Hospital care expenditures accounted for approximately 32.3% of the $3.2 trillion industry. According to the Bureau of Labor Statistics, approximately 18.7 million professionals are employed in the healthcare segment of the domestic economy, with approximately 5.3 million employed in acute-care hospitals and approximately 3.3 million employed in post-acute-care organizations, our primary target markets for our products. As of December 31, 2016, approximately 4.55 million healthcare professionals were subscribers to our SaaS-based solutions, which include 4.47 million subscribers already implemented and 86,000 subscribers in the process of implementation.</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of the approximately 5.3 million hospital-based healthcare professionals that work in the nation’s approximately 5,000 acute-care hospitals are required by federal and state mandates and accrediting bodies to complete training in a number of areas. This training includes safety training mandated by both the Occupational Safety and Health Administration (OSHA) and The Joint Commission (an independent, not-for-profit organization that accredits and certifies healthcare organizations and programs in the United States), as well as training on patient information confidentiality required under the Health Insurance Portability and Accountability Act (HIPAA).</w:t>
      </w:r>
    </w:p>
    <w:p>
      <w:pPr>
        <w:sectPr>
          <w:pgSz w:w="11900" w:h="16838" w:orient="portrait"/>
          <w:cols w:equalWidth="0" w:num="1">
            <w:col w:w="11420"/>
          </w:cols>
          <w:pgMar w:left="240" w:top="455"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hospitals, staffing issues and personnel shortages have also contributed to the need for facility based workforce development as well as additional assessment and competency based training. An ongoing nursing shortage, for example, is resulting in skill gaps and rising costs. The U.S. Bureau of Labor Statistics projects the need for 525,000 replacement nurses over the next several years, bringing the total number of openings for nurses due to growth and replacements to 1.05 million by 2022. We believe that offering training and education for hospital personnel is increasingly being utilized as a retention and recruitment incentive.</w:t>
      </w:r>
    </w:p>
    <w:p>
      <w:pPr>
        <w:spacing w:after="0" w:line="18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Many healthcare professionals use continuing education to keep abreast of the latest developments and meet licensing and certification requirements. Continuing education is required for nurses, emergency medical services personnel, first responder personnel, radiologic personnel, and physicians. Pharmaceutical and medical device companies must also provide their medical industry sales representatives with training mandated for the healthcare industry and training for new products. Such companies also provide support and content for education and training of audiences that use their products in healthcare organizations.</w:t>
      </w:r>
    </w:p>
    <w:p>
      <w:pPr>
        <w:spacing w:after="0" w:line="18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 large portion of the nation’s hospitals utilize research and survey tools to gain insight about patients’ experiences, to assess workforce competency and engagement, to determine the status of physician relations, and to measure the perceptions about the hospitals in the communities they serve. Industry-wide interest is increasing in research due in part, to the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(Consumer Assessment of Healthcare Providers and Systems) Hospital Survey launched by CMS in partnership with the Agency for Healthcare Research and Quality (AHRQ). Hospitals must submit data to CMS for required quality measures— which for inpatients includes the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Survey—in order to receive the full market basket increase to their reimbursement payment rates from CMS for the following federal fiscal year. We are designated as a certified vendor for and offer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 services.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healthcare education and training industry is highly fragmented, varies significantly in delivery methods (i.e., online products, live events, written materials, and manikins for simulation-based training), and is composed of a wide variety of entities competing for customers. The sheer volume of healthcare information available to satisfy continuing education needs, rapid advances in medical developments, and the time constraints that healthcare professionals face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or by attending conferences and seminars. In addition, other healthcare workers and pharmaceutical and medical device manufacturers’ sales and internal regulatory personnel usually fulfill their training from external vendors or internal training departments. While these approaches satisfy the ongoing education and training requirements, they are typically costly and inconvenient. In addition, live courses are often limited in the breadth of offerings and do not provide a method for tracking training completion. The results of these traditional methods, both from a business and compliance standpoint, are difficult to track and measure. While hospitals and health systems occasionally survey their patients, physicians, and employees using their own internal resources, the practice is limited since they do not typically possess the valuable comparative benchmarking data that is available from independent survey research vendors.</w:t>
      </w:r>
    </w:p>
    <w:p>
      <w:pPr>
        <w:spacing w:after="0" w:line="19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Provider data management has become more complex and arduous for healthcare organizations. Spurred by The Joint Commission Medical Staff standards and other regulatory requirements, credentialing and privileging has been transformed from a periodic review to continuous, evidence-driven analysis of professional competency and provider performance. This transformation requires ongoing, automatic monitoring of licenses, sanctions, and exclusions, as well as expanding the scope of review at initial credentialing and re-credentialing. In addition, provider enrollment processes have compounded in difficulty. For example, a single provider may need to enroll annually with some 30-40 payers, with each payer application often taking two to four hours to complete.</w:t>
      </w:r>
    </w:p>
    <w:p>
      <w:pPr>
        <w:spacing w:after="0" w:line="1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Finally, the hospital industry continues to operate under intense pressure to reduce costs as a result of reductions in government reimbursement rates and increased focus on cost containment consistent with participation of patients in managed care programs. In addition, hospitals, as well as pharmaceutical and medical device companies,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HEALTHSTREAM’S SOLUTIONS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HealthStream’s products and services are organized into three segments—Workforce Solutions, Patient Experience Solutions, and Provider Solutions—that collectively help healthcare organizations meet their ongoing talent management, training, education, assessment, competency management, compliance, provider credentialing &amp; privileging management, and provider enrollment needs. HealthStream’s solutions are provided to a wide range of customers within the healthcare industry across the continuum of care.</w:t>
      </w:r>
    </w:p>
    <w:p>
      <w:pPr>
        <w:spacing w:after="0" w:line="176"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HealthStream Workforce Solutions</w:t>
      </w:r>
      <w:r>
        <w:rPr>
          <w:rFonts w:ascii="Times New Roman" w:cs="Times New Roman" w:eastAsia="Times New Roman" w:hAnsi="Times New Roman"/>
          <w:sz w:val="18"/>
          <w:szCs w:val="18"/>
          <w:color w:val="auto"/>
        </w:rPr>
        <w:t>— Our workforce development solutions, which are comprised primarily of SaaS, subscription-based products, are 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healthcare organizations to meet a broad range of their talent management, training, certification, competency assessment, performance appraisal, and development needs. Our numerous content libraries allow our customers to subscribe to a wide array of additional courseware, which includes content from leading healthcare and nursing associations, medical and healthcare publishers, and other content providers. Additionally, medical device companies and other industry partners offer online training support through HealthStream’s platform for their products and they sponsor continuing education directly to healthcare workers.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December 31, 2016, HealthStream had approximately 4.55 million “total subscribers” to its subscription-based solutions. Each individual end-user who utilizes at least one HealthStream subscription-based solution is counted as one subscriber, regardless of the number of subscriptions contracted by or for that end-user. Our subscription-based solutions include any one or a combination of our many platform applications, plus courseware, or content. For example, we deliver courseware to our customers primarily through our learning application, the HealthStream Learning Center™ (HLC), while we deliver competency management and performance appraisal tools through our applications known as the HealthStream Competency Center (HCC) and HealthStream Performance Center (HPC), respectively, which are all on our SaaS-based platform, along with a series of other applications.</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Pricing for the HLC, HCC, and HPC are subscription based, with fees based on the number of subscribers, courseware provided, and other factors. We offer training, implementation, and account management services to facilitate adoption of our subscription-based solutions. Fees for training are based on the time and efforts of the personnel involved. Implementation fees vary based on the size, scope, and complexity of the project. Our SaaS-based platform and subscription-based solutions are hosted in a central data center that allows authorized subscribers Internet access to our services, thereby eliminating the need for onsite local implementations of installed workforce development products. During 2016, 2015, and 2014, our subscription-based workforce solutions accounted for approximately 71%, 74%, and 76% of consolidated revenues, respectively.</w:t>
      </w:r>
    </w:p>
    <w:p>
      <w:pPr>
        <w:spacing w:after="0" w:line="18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Other Applications on our Platform</w:t>
      </w:r>
      <w:r>
        <w:rPr>
          <w:rFonts w:ascii="Times New Roman" w:cs="Times New Roman" w:eastAsia="Times New Roman" w:hAnsi="Times New Roman"/>
          <w:sz w:val="18"/>
          <w:szCs w:val="18"/>
          <w:color w:val="auto"/>
        </w:rPr>
        <w:t>—HealthStream offers an array of other applications on our platform, each serving a unique function for hospitals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systems. Each application on our platform has its own value proposition and revenue stream. Examples of individual applications that are offered on our platform include applications for recruiting and applicant tracking; learning; performance appraisal; compensation management; succession planning; competency management; credentialing and privileging; provider enrollment; disclosure management; clinical development; simulation-based education; and industry-sponsored training.</w:t>
      </w:r>
    </w:p>
    <w:p>
      <w:pPr>
        <w:spacing w:after="0" w:line="17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HealthStream Patient Experience Solutions</w:t>
      </w:r>
      <w:r>
        <w:rPr>
          <w:rFonts w:ascii="Times New Roman" w:cs="Times New Roman" w:eastAsia="Times New Roman" w:hAnsi="Times New Roman"/>
          <w:sz w:val="18"/>
          <w:szCs w:val="18"/>
          <w:color w:val="auto"/>
        </w:rPr>
        <w:t>—Our patient experience solutions complement our workforce solutions’ product and service offerings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providing customers with Patient Insights™, Employee Insights™, Physician Insights™, and Community Insights™ surveys, data analyses of survey results, and other research-based measurement tools. Our services are designed to provide thorough analyses with insightful recommendations for change; benchmarking capability using our comprehensive databases; and consulting services to identify solutions for our customers based on their survey results. Clients are able to access and analyze their survey results data through Insights Online™, our secure web-based reporting platform.</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a CMS-approved vendor, HealthStream offers its customers full services to meet their Consumer Assessment of Healthcare Providers and Systems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program requirements. Along with the Hospital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Survey, which is mandatory for hospitals the Company offers a range of solutions for other mandated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reporting, including those for accountable care organizations participating in Medicare initiatives, certain medical groups, home health organizations, hospice, and in-center hemodialysis. Other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survey services are offered for fulfilling voluntary reporting needs for pediatrics, emergency departments, and outpatient surgery.</w:t>
      </w:r>
    </w:p>
    <w:p>
      <w:pPr>
        <w:spacing w:after="0" w:line="18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All of our survey and research solutions focus on providing statistically valid data to assist our customers with their decision making related to their organization’s performance improvement objectives. In addition to collecting and reporting data, we provide analysis and consulting to help customers understand and improve their survey results and patient experiences and the underlying impact on their business. Pricing for these services is based on the survey type, delivery method, size of the survey instrument, sample size, frequency of survey cycles, and other factors. During 2016, 2015, and 2014, our Patient Insights™ survey product accounted for approximately 12%, 13%, and 14% of consolidated revenues, respectively.</w:t>
      </w:r>
    </w:p>
    <w:p>
      <w:pPr>
        <w:spacing w:after="0" w:line="18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HealthStream Provider Solutions </w:t>
      </w:r>
      <w:r>
        <w:rPr>
          <w:rFonts w:ascii="Times New Roman" w:cs="Times New Roman" w:eastAsia="Times New Roman" w:hAnsi="Times New Roman"/>
          <w:sz w:val="18"/>
          <w:szCs w:val="18"/>
          <w:color w:val="auto"/>
        </w:rPr>
        <w:t>– Our provider solutions are offered through our business segment that is branded in the marketplace as “Echo,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HealthStream Company.” Echo solutions enable healthcare organizations to launch paperless credentialing processes, reduce provider enrollment timelines, accelerate the provider onboarding process, and drive improvement through validated provider profiles. More than 2,000 healthcare organizations in the U.S. use one or more Echo products.</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EchoCredentialing™ is a comprehensive platform that manages medical staff credentialing and privileging processes. Healthcare organizations leverage EchoCredentialing to support enterprise-wide or regional Credentialing Verification Organizations (CVOs), unified privileging, peer review, one-click integration with CVO services, and the move to paperless processes. EchoOneApp™ is a provider enrollment platform, which includes automatic form population directly from a continuously updated library of more than 3,500 preformatted payer form templates as well as online form integration with CAQH, CMS, the Provider Enrollment, Chain and Ownership System (PECOS), and state-based payer enrollment sites. EchoAccess™ is our enterprise class platform to support hospital call centers with physician referral, call triage, provider directories, class enrollment, and discharge planning functionalities. EchoAnalytics™ offers a wide array of validation tools and EchoOnboarding™ consists of an onboarding dashboard with a workflow functionality, along with onboarding navigator tools to facilitate coordination of the provider onboarding process.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acquired Health Care Compliance Strategies, Inc. (HCCS) in March 2014, acquired HealthLine Systems, LLC (HLS) in March 2015, acquired Performance Management Services, Inc. in June 2016, acquired the remaining ownership interest in Nursing Registry Consultants Corporation in July 2016, and acquired Morrisey Associates, Inc. (MAI) in August 2016. For additional information regarding acquisitions, please see Note 5 of the Consolidated Financial Statements and Item 7, “Management’s Discussion and Analysis of Financial Condition and Results of Operations” included elsewhere in this report.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We provide our solutions to customers across a broad range of entities within the healthcare industry, including private, not for profit, and government entities, as well as pharmaceutical and medical device companies. We derive a substantial portion of our revenues from a relatively small number of customers, although no single customer represented more than 10 percent of our revenues during 2016, 2015, or 2014. Customers that have purchased or contracted for products and services from HealthStream include: Ardent Health Services; Saint Luke’s Health System; HCA Holdings, Inc.; Community Health Systems, Inc.; McLaren Health Care Corporation; Sutter Health; and Tenet Healthcare Corporation.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market our products and services primarily through our direct sales teams, which are based out of our corporate headquarters in Nashville, Tennessee and in our additional offices located in Laurel, Maryland; Jericho, New York; Brentwood, Tennessee; San Diego, California; Chicago, Illinois and Pensacola, Florida as well as remote home office sales locations. As of December 31, 2016, our HealthStream Workforce Solutions sales personnel consisted of 119 employees who carried sales quotas; our HealthStream Patient Experience Solutions sales personnel consisted of 16 employees who carried sales quotas; and our Provider Solutions sales personnel consisted of 28 employees who carried sales quotas. We also have 13 employees who support our sales teams with sales force productivity and optimization, onboarding, training, and administration services.</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 a variety of marketing programs to promote our products and services, including product catalogs, user groups—including our customer Summit, trade shows, internet promotion and demonstrations, telemarketing campaigns, public relations, distribution of product-specific literature, direct mail, and advertising.</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Over most of the last fifteen years, we have hosted a conference in Nashville, Tennessee known as the “Summit.” We have utilized this client conference to reach out to existing and potential customers and business partners, provide training and educational services, and to demonstrate our new and existing product offerings. We have marketing teams that are responsible for these initiatives and for working with and supporting our product management and sales teams. At December 31, 2016, our marketing personnel consisted of 34 employees.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TECHNOLOGY</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our ability to establish and maintain long-term customer relationships, adoption of our products and services, recurring sales, and development and maintenance of new and existing products are dependent on the strength of our operations, customer service, product development and maintenance, training, and other support teams. As of December 31, 2016, our Workforce Solutions operations team consisted of 306 employees associated with customer support, implementation services, product development and quality assurance, training, and project management; our Patient Experience Solutions operations team consisted of 379 employees (of which 204 employees worked in our interviewing centers) associated with phone interviewing, distributing and processing paper-based survey instruments, patient experience coaching and consulting, data analysis and reporting of survey results, and project management; and our Provider Solutions operations team consisted of 153 employees associated with implementation services, data integration, product development and quality assurance, credentials verification, consulting, and other functions.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services are designed to be reliable, secure, and scalable. Our software is a combination of proprietary and commercially available software and operating systems. Our software solutions support hosting and management of content, publication of our websites, execution of courseware, registration and tracking of users, collection, sampling, and analysis of survey data, tracking and reporting of physician credentialing and provider enrollment information, and reporting of information for both internal and external use. We designed the platforms that provide our services to allow each component to be independently scaled by adding commercially available hardware and a combination of commercially available and proprietary software components.</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software applications, servers, and network infrastructure that deliver our services are hosted by a combination of third-party data center providers and HealthStream owned data centers. We maintain fully redundant disaster recovery data centers which are located in geographically separate locations. Our technology equipment is maintained in secure, limited access environments, supported by redundant power, environmental conditioning, and network connectivity, and we follow industry best practices for backup and disaster recovery. Company personnel monitor all servers, networks, and systems on a continuous basis, and we employ enterprise firewall systems and data abstraction to protect our databases, customer information, and courseware library from unauthorized access.</w:t>
      </w:r>
    </w:p>
    <w:p>
      <w:pPr>
        <w:sectPr>
          <w:pgSz w:w="11900" w:h="16838" w:orient="portrait"/>
          <w:cols w:equalWidth="0" w:num="1">
            <w:col w:w="11400"/>
          </w:cols>
          <w:pgMar w:left="240" w:top="455" w:right="259"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competing healthcare education delivery methods in the industry, we also have direct competitors. In our Workforce Solutions business segment, a number of companies offer competitive learning management products and talent management modules to the healthcare industry. We compete with companies such as Cornerstone OnDemand, Healthcare Source, Oracle, SABA, SAP, Workday, and SumTotal Systems that provide their services to multiple industries, including healthcare. We also compete with large medical publishers that have operating units that offer learning management systems that focus on healthcare, such as Reed Elsevier Group’s MC Strategies, Wolters Kluwer, and Relias Learning, which is owned by Bertelsmann. In our Patient Experience Solutions business segment, we face competition from large nationally recognized research firms such as Gallup, National Research Corporation, Press Ganey Associates, Studer Group, Professional Research Consultants, Inc., and others. Our Patient Experience business also experiences direct competition from vendors who provide research services to other industries including Kenexa, which is now owned by IBM, and Foresight, which is now owned by TNS Global. In our Provider Solutions business segment, we see competition primarily from several large companies, such as MD-Staff and Cactus from symplr.</w:t>
      </w:r>
    </w:p>
    <w:p>
      <w:pPr>
        <w:spacing w:after="0" w:line="18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believe our Workforce Solutions, which include both products and services that facilitate training, assessment, and development for healthcare professionals, a wide assortment of courseware, a mechanism for measuring satisfaction and/or other results, and the ability to provide all our services on a single platform over the Internet, provide us with a competitive advantage. In our Patient Experience business segment, we believe our large proprietary database of survey results, technology infrastructure designed to automate the processing of survey results, proprietary core survey instruments and action plan development methodology, and our ability to quickly deliver relevant online courseware targeted at addressing survey related findings provide us with a competitive advantage. In our Provider Solutions business segment, we believe the scope and quality of our products, capability to connect medical staff credentialing with provider enrollment, and innovative new predictive analytics provide us with a competitive advantage. We believe that the principal competitive factors affecting the marketing of our Workforce, Patient Experience, and Provider Solutions to the healthcare industry include:</w:t>
      </w:r>
    </w:p>
    <w:p>
      <w:pPr>
        <w:spacing w:after="0" w:line="91" w:lineRule="exact"/>
        <w:rPr>
          <w:sz w:val="20"/>
          <w:szCs w:val="20"/>
          <w:color w:val="auto"/>
        </w:rPr>
      </w:pPr>
    </w:p>
    <w:p>
      <w:pPr>
        <w:ind w:left="900" w:right="100" w:hanging="446"/>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of our SaaS-based platform and applications, including reporting, management functionality, ability to manage a variety of events or modalities, courseware assignment, curriculum management, documenting competency assessments and performance appraisals, scalability, and the ability to track utilization and results;</w:t>
      </w:r>
    </w:p>
    <w:p>
      <w:pPr>
        <w:spacing w:after="0" w:line="81"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and variety of Internet-based learning courseware available, including mandated content for OSHA, The Joint Commission, patient safety, and HIPAA requirements, ICD-10 training, competency-based content, courseware scenarios that drive simulators, courseware that provides CPR certification, as well as the ability of our customers to create and host their own web-enabled courseware;</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singular focus on the healthcare industry and our deep healthcare expertise;</w:t>
      </w:r>
    </w:p>
    <w:p>
      <w:pPr>
        <w:spacing w:after="0" w:line="130" w:lineRule="exact"/>
        <w:rPr>
          <w:rFonts w:ascii="Times New Roman" w:cs="Times New Roman" w:eastAsia="Times New Roman" w:hAnsi="Times New Roman"/>
          <w:sz w:val="18"/>
          <w:szCs w:val="18"/>
          <w:color w:val="auto"/>
        </w:rPr>
      </w:pPr>
    </w:p>
    <w:p>
      <w:pPr>
        <w:ind w:left="900" w:right="340" w:hanging="446"/>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and quality of professional services offered, including survey execution, implementation, benchmarking, training and the expertise and technical knowledge of the customers’ employees;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which supports a return on investment to customers when compared to other alternative delivery methods;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efforts;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reputation.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these capabilities provide us with the ability to improve the quality of healthcare by assessing and developing the people who deliver care.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OF THE INTERNET AND THE HEALTHCARE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the Internet and the Privacy and Security of Personal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and regulations that govern our business may change rapidly. The following are some of the evolving areas of law that are relevant to our business:</w:t>
      </w:r>
    </w:p>
    <w:p>
      <w:pPr>
        <w:spacing w:after="0" w:line="129" w:lineRule="exact"/>
        <w:rPr>
          <w:sz w:val="20"/>
          <w:szCs w:val="20"/>
          <w:color w:val="auto"/>
        </w:rPr>
      </w:pPr>
    </w:p>
    <w:p>
      <w:pPr>
        <w:ind w:left="900" w:right="120" w:hanging="446"/>
        <w:spacing w:after="0" w:line="267"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Privacy and Security Laws. </w:t>
      </w:r>
      <w:r>
        <w:rPr>
          <w:rFonts w:ascii="Times New Roman" w:cs="Times New Roman" w:eastAsia="Times New Roman" w:hAnsi="Times New Roman"/>
          <w:sz w:val="18"/>
          <w:szCs w:val="18"/>
          <w:color w:val="auto"/>
        </w:rPr>
        <w:t>Federal, state and foreign privacy and security regulations and other laws restricting the collection, use, security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of personal information limit our ability to collect information or use and disclose the information in our databases or derived from other sources to generate revenues. It may be costly to implement security or other measures designed to comply with any new legislation.</w:t>
      </w:r>
    </w:p>
    <w:p>
      <w:pPr>
        <w:spacing w:after="0" w:line="78" w:lineRule="exact"/>
        <w:rPr>
          <w:rFonts w:ascii="Times New Roman" w:cs="Times New Roman" w:eastAsia="Times New Roman" w:hAnsi="Times New Roman"/>
          <w:sz w:val="18"/>
          <w:szCs w:val="18"/>
          <w:color w:val="auto"/>
        </w:rPr>
      </w:pPr>
    </w:p>
    <w:p>
      <w:pPr>
        <w:ind w:left="900" w:hanging="446"/>
        <w:spacing w:after="0" w:line="267"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Content Regulation. </w:t>
      </w:r>
      <w:r>
        <w:rPr>
          <w:rFonts w:ascii="Times New Roman" w:cs="Times New Roman" w:eastAsia="Times New Roman" w:hAnsi="Times New Roman"/>
          <w:sz w:val="18"/>
          <w:szCs w:val="18"/>
          <w:color w:val="auto"/>
        </w:rPr>
        <w:t>Both foreign and domestic governments have adopted and proposed laws governing the content of material transmitted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Internet. These include laws relating to obscenity, indecency, libel and defamation. We could be liable if content delivered by us violates these regulations.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hanging="446"/>
        <w:spacing w:after="0" w:line="254"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Security Accountability Regulation. </w:t>
      </w:r>
      <w:r>
        <w:rPr>
          <w:rFonts w:ascii="Times New Roman" w:cs="Times New Roman" w:eastAsia="Times New Roman" w:hAnsi="Times New Roman"/>
          <w:sz w:val="18"/>
          <w:szCs w:val="18"/>
          <w:color w:val="auto"/>
        </w:rPr>
        <w:t>As a business associate of certain of our customers, we are required to report certain breaches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protected health information to our customers, which must in turn notify affected individuals, the U.S. Department of Health and Human Services (HHS) and, in certain situations involving large breaches, the media. All non-permitted uses or disclosures of unsecured, protected health information are presumed to be breaches unless the covered entity or business associate establishes that there is a low probability the information has been compromised. In addition, we are subject to certain state laws that relate to privacy or the reporting of security breaches. For example, California law requires notification of security breaches involving personal information and medical information. We may incur costs to comply with these privacy and security requirements. Because there is little guidance related to many of these laws, it is difficult to estimate the cost of our compliance with these laws. Further, Congress has considered bills that would require companies to engage independent third parties to audit the companies’ computer information security. If the Company is required to report a breach of security or if one of the Company’s customers is required to report a breach of security by the Company, the Company’s business could be negatively impacted.</w:t>
      </w:r>
    </w:p>
    <w:p>
      <w:pPr>
        <w:spacing w:after="0" w:line="91" w:lineRule="exact"/>
        <w:rPr>
          <w:rFonts w:ascii="Times New Roman" w:cs="Times New Roman" w:eastAsia="Times New Roman" w:hAnsi="Times New Roman"/>
          <w:sz w:val="18"/>
          <w:szCs w:val="18"/>
          <w:color w:val="auto"/>
        </w:rPr>
      </w:pPr>
    </w:p>
    <w:p>
      <w:pPr>
        <w:ind w:left="900" w:right="280" w:hanging="446"/>
        <w:spacing w:after="0" w:line="282"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Sales and Use Tax. </w:t>
      </w:r>
      <w:r>
        <w:rPr>
          <w:rFonts w:ascii="Times New Roman" w:cs="Times New Roman" w:eastAsia="Times New Roman" w:hAnsi="Times New Roman"/>
          <w:sz w:val="17"/>
          <w:szCs w:val="17"/>
          <w:color w:val="auto"/>
        </w:rPr>
        <w:t>Through December 31, 2016, we collected sales, use or other taxes on taxable transactions in states in which we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or have a significant level of sales activity. While HealthStream expects that this approach is appropriate, other states or foreign jurisdictions may seek to impose tax collection obligations on companies like us that engage in online commerce. If they do, these obligations could limit the growth of electronic commerce in general and limit our ability to profit from the sale of our services over the Internet.</w:t>
      </w:r>
    </w:p>
    <w:p>
      <w:pPr>
        <w:spacing w:after="0" w:line="1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Laws and regulations directly applicable to content regulation, e-commerce, Internet communications, and the privacy and security of personal information are becoming more prevalent. Congress continues considering laws regarding Internet taxation. The dynamic nature of this regulatory environment increases the uncertainty regarding the marketplace impact of such regulation. The enactment of any additional laws or regulations may increase our cost of conducting business or otherwise harm our business, financial condition and operating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Education, Training and Other Services for Healthcare Professionals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Occupational Safety and Health Administration (OSHA). </w:t>
      </w:r>
      <w:r>
        <w:rPr>
          <w:rFonts w:ascii="Times New Roman" w:cs="Times New Roman" w:eastAsia="Times New Roman" w:hAnsi="Times New Roman"/>
          <w:sz w:val="18"/>
          <w:szCs w:val="18"/>
          <w:color w:val="auto"/>
        </w:rPr>
        <w:t>OSHA regulations require employers to provide training to employees to minimize the risk of injury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various potential workplace hazards. Employers in the healthcare industry are required to provide training with respect to various topics, including blood borne pathogens exposure control, laboratory safety and tuberculosis infection control. OSHA regulations require employers to keep records of their employees’ completion of training with respect to these workplace hazards.</w:t>
      </w:r>
    </w:p>
    <w:p>
      <w:pPr>
        <w:spacing w:after="0" w:line="1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The Joint Commission. </w:t>
      </w:r>
      <w:r>
        <w:rPr>
          <w:rFonts w:ascii="Times New Roman" w:cs="Times New Roman" w:eastAsia="Times New Roman" w:hAnsi="Times New Roman"/>
          <w:sz w:val="18"/>
          <w:szCs w:val="18"/>
          <w:color w:val="auto"/>
        </w:rPr>
        <w:t>The Joint Commission accreditation and certification standards require employers in the healthcare industry provide certain workplace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and patient interaction training to employees. Training required by The Joint Commission may include programs on infection control, patient bill of rights, radiation safety, and incident reporting. Healthcare organizations are required to provide and document training on these topics to receive accreditation from The Joint Commission. In addition, The Joint Commission imposes continuing education requirements on physicians that relate to each physician’s specific staff appointments.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Health Insurance Portability and Accountability Act (HIPAA). </w:t>
      </w:r>
      <w:r>
        <w:rPr>
          <w:rFonts w:ascii="Times New Roman" w:cs="Times New Roman" w:eastAsia="Times New Roman" w:hAnsi="Times New Roman"/>
          <w:sz w:val="18"/>
          <w:szCs w:val="18"/>
          <w:color w:val="auto"/>
        </w:rPr>
        <w:t>HIPAA regulations require certain organizations (known as covered entities), including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providers and health plans, to adopt safeguards regarding the use and disclosure of health-related information. HIPAA regulations also require these organizations to provide reasonable and appropriate safeguards to protect the privacy, integrity and confidentiality of individually identifiable healthcare information. Covered entities are required to establish, maintain and provide training with regard to their policies and procedures for protecting the integrity and confidentiality of individually identifiable healthcare information and must document training on these topics to support their compliance. Certain HIPAA privacy and security requirements apply to entities (known as business associates) that handle individually identifiable healthcare information on behalf of covered entities or other business associates. Covered entities, business associates and their subcontractors may be directly subject to criminal and civil sanctions for violations of HIPAA privacy and security standards.</w:t>
      </w:r>
    </w:p>
    <w:p>
      <w:pPr>
        <w:spacing w:after="0" w:line="1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The American Nurses Credentialing Center (ANCC). </w:t>
      </w:r>
      <w:r>
        <w:rPr>
          <w:rFonts w:ascii="Times New Roman" w:cs="Times New Roman" w:eastAsia="Times New Roman" w:hAnsi="Times New Roman"/>
          <w:sz w:val="17"/>
          <w:szCs w:val="17"/>
          <w:color w:val="auto"/>
        </w:rPr>
        <w:t>ANCC, a subsidiary of the American Nurses Association (ANA), provides individuals and organizations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throughout the nursing profession with the resources they need to achieve practice excellence. ANCC’s internationally renowned credentialing programs certify nurses in specialty practice areas; recognize healthcare organizations for promoting safe, positive work environments through the Magnet Recognition Program</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and the Pathway to Excellence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Program; and accredit providers of continuing nursing education. In addition, ANCC’s Institute for Credentialing Innovation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offers an array of informational and educational services and products to support its core credentialing programs. ANCC certification exams validate nurses’ skills, knowledge, and abilities. More than a quarter million nurses have been certified by ANCC since 1990. More than 80,000 advanced practice nurses are currently certified by ANCC. The ANCC Magnet Recognition Program</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recognizes healthcare organizations that provide the very best in nursing care and professionalism in nursing practice. The program also provides a vehicle for disseminating best practices and strategies among nursing systems. The ANCC Magnet Recognition Program is a highly regarded standard for nursing excellence. The Pathway to Excellence</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xml:space="preserve"> Program recognizes the essential elements of a high standard nursing practice environment. The designation is earned by healthcare organizations that create work environments where nurses can develop professionally. The award substantiates the professional satisfaction of nurses and identifies best places to work.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Continuing Nursing Education (CNE). </w:t>
      </w:r>
      <w:r>
        <w:rPr>
          <w:rFonts w:ascii="Times New Roman" w:cs="Times New Roman" w:eastAsia="Times New Roman" w:hAnsi="Times New Roman"/>
          <w:sz w:val="18"/>
          <w:szCs w:val="18"/>
          <w:color w:val="auto"/>
        </w:rPr>
        <w:t>State nurse practice laws typically authorize the state’s board of nursing to establish CNE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nurses. The state board of nursing establishes the state’s CNE requirements for professional nurses. CNE credits are provided through accredited providers that have been approved by the ANCC Commission on Accreditation and/or the state board of nursing. We are an accredited provider of CNE by the ANCC. CNE requirements vary widely from state to state. Thirty-four states require registered nurses to certify that they have accumulated a minimum number of CNE credits in order to maintain their licenses. In some states, the CNE requirement only applies to re-licensure of advance practice nurses, or additional CNEs may be required of this category of nurses. Required CNE ranges from 12 to 45 credits annually, with reporting generally on a bi-annual basis. Board certifications (e.g., Certified Nurse Operating Room (CNOR) – certification of perioperative nursing) also require CNE credits, with certain percentages required in specific categories based on the certification type.</w:t>
      </w:r>
    </w:p>
    <w:p>
      <w:pPr>
        <w:spacing w:after="0" w:line="18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Continuing Medical Education (CME). </w:t>
      </w:r>
      <w:r>
        <w:rPr>
          <w:rFonts w:ascii="Times New Roman" w:cs="Times New Roman" w:eastAsia="Times New Roman" w:hAnsi="Times New Roman"/>
          <w:sz w:val="18"/>
          <w:szCs w:val="18"/>
          <w:color w:val="auto"/>
        </w:rPr>
        <w:t>State licensing boards, professional organizations and employers require physicians to certify that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accumulated a minimum number of CME hours to maintain their licenses. Generally, each state’s medical practice laws authorize the state’s board of medicine to establish and track CME requirements. Forty-eight state medical licensing boards currently have CME requirements, as well as Puerto Rico, Guam, and the U.S. Virgin Islands. The number of CME hours required by each state ranges from 15 to 50 hours per year. Other sources of CME requirements are state medical societies and practice specialty boards. The failure to obtain the requisite amount and type of CME could result in non-renewal of the physician’s license to practice medicine and/or membership in a medical or practice specialty society. American Medical Association (AMA) classifies CME activities as either Category 1, which includes formal CME activities, or Category 2, which include self-designated credit for informal activities that meet certain requirements. CME providers that sponsor educational activities can only designate those activities for </w:t>
      </w:r>
      <w:r>
        <w:rPr>
          <w:rFonts w:ascii="Times New Roman" w:cs="Times New Roman" w:eastAsia="Times New Roman" w:hAnsi="Times New Roman"/>
          <w:sz w:val="18"/>
          <w:szCs w:val="18"/>
          <w:i w:val="1"/>
          <w:iCs w:val="1"/>
          <w:color w:val="auto"/>
        </w:rPr>
        <w:t>AMA PRA Category 1 Credit™</w:t>
      </w:r>
      <w:r>
        <w:rPr>
          <w:rFonts w:ascii="Times New Roman" w:cs="Times New Roman" w:eastAsia="Times New Roman" w:hAnsi="Times New Roman"/>
          <w:sz w:val="18"/>
          <w:szCs w:val="18"/>
          <w:color w:val="auto"/>
        </w:rPr>
        <w:t xml:space="preserve">. Most agencies nationwide that require CME participation specify </w:t>
      </w:r>
      <w:r>
        <w:rPr>
          <w:rFonts w:ascii="Times New Roman" w:cs="Times New Roman" w:eastAsia="Times New Roman" w:hAnsi="Times New Roman"/>
          <w:sz w:val="18"/>
          <w:szCs w:val="18"/>
          <w:i w:val="1"/>
          <w:iCs w:val="1"/>
          <w:color w:val="auto"/>
        </w:rPr>
        <w:t>AMA PRA Category 1 Credit™</w:t>
      </w:r>
      <w:r>
        <w:rPr>
          <w:rFonts w:ascii="Times New Roman" w:cs="Times New Roman" w:eastAsia="Times New Roman" w:hAnsi="Times New Roman"/>
          <w:sz w:val="18"/>
          <w:szCs w:val="18"/>
          <w:color w:val="auto"/>
        </w:rPr>
        <w:t xml:space="preserve">. Only institutions and organizations accredited to provide CME can designate an activity for </w:t>
      </w:r>
      <w:r>
        <w:rPr>
          <w:rFonts w:ascii="Times New Roman" w:cs="Times New Roman" w:eastAsia="Times New Roman" w:hAnsi="Times New Roman"/>
          <w:sz w:val="18"/>
          <w:szCs w:val="18"/>
          <w:i w:val="1"/>
          <w:iCs w:val="1"/>
          <w:color w:val="auto"/>
        </w:rPr>
        <w:t>AMA PRA Category 1 Credit™</w:t>
      </w:r>
      <w:r>
        <w:rPr>
          <w:rFonts w:ascii="Times New Roman" w:cs="Times New Roman" w:eastAsia="Times New Roman" w:hAnsi="Times New Roman"/>
          <w:sz w:val="18"/>
          <w:szCs w:val="18"/>
          <w:color w:val="auto"/>
        </w:rPr>
        <w:t>. The Accreditation Council for Continuing Medical Education (ACCME) is responsible for awarding accreditation status to state medical societies, medical schools, and other institutions and organizations that provide CME activities for a national audience of physicians. State medical societies, operating under the aegis of the ACCME, accredit institutions and organizations that provide CME activities primarily for physicians within the state or bordering states. We are recognized in many states as an accredited provider of CME by the ACCME.</w:t>
      </w:r>
    </w:p>
    <w:p>
      <w:pPr>
        <w:spacing w:after="0" w:line="18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Centers for Medicare &amp; Medicaid Services (CMS). </w:t>
      </w:r>
      <w:r>
        <w:rPr>
          <w:rFonts w:ascii="Times New Roman" w:cs="Times New Roman" w:eastAsia="Times New Roman" w:hAnsi="Times New Roman"/>
          <w:sz w:val="18"/>
          <w:szCs w:val="18"/>
          <w:color w:val="auto"/>
        </w:rPr>
        <w:t>CMS has articulated three broad aims of its quality strategy: Better Care. Healthier People, Healthier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Communities. Smarter Spending. To achieve this vision, CMS is committed to care that is safe, effective, timely, patient-centered, efficient, and equitable. Value-based purchasing (VBP), which links payment more directly to the quality of care provided, is a strategy that can help to transform the current payment system by rewarding providers for delivering high quality, efficient clinical care. Through a number of public reporting programs, demonstration projects, pilot programs, and other initiative, some voluntary efforts and some mandatory, CMS has launched VBP initiatives in hospitals, physician offices, nursing homes, home health services, and dialysis facilities.</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Consumer Assessment of Healthcare Providers and Systems (CAHPS). </w:t>
      </w:r>
      <w:r>
        <w:rPr>
          <w:rFonts w:ascii="Times New Roman" w:cs="Times New Roman" w:eastAsia="Times New Roman" w:hAnsi="Times New Roman"/>
          <w:sz w:val="18"/>
          <w:szCs w:val="18"/>
          <w:color w:val="auto"/>
        </w:rPr>
        <w:t>CMS has partnered with AHRQ to develop a standardized survey instrument and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 methodology for measuring patients’ perspectives on hospital care. The intent of the survey is to produce comparable data on the patients’ perspectives to allow consumer-based comparisons between hospitals, align incentives to drive hospitals to improve their quality of care, and increase the transparency of hospital reporting. Hospitals must submit data for certain required quality measures—which for inpatients includes the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Survey—in order to receive the full market basket increase to their reimbursement payment rates from CMS. Hospitals that fail to submit this survey data are subject to a 25% reduction of the annual market basket update to impatient reimbursement rates. We have received certified vendor designation and will continue to offer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 services. In addition, we are a certified vendor approved to offer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Home Health Care Survey which is used to measure the experiences of people receiving home health care from Medicare-certified home health agencies. We also offer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Clinician and Group Survey which are used to measure patient experiences with health care providers and staff in doctor’s offices.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Medicare and Medicaid Electronic Health Records (EHR) Incentive Programs. </w:t>
      </w:r>
      <w:r>
        <w:rPr>
          <w:rFonts w:ascii="Times New Roman" w:cs="Times New Roman" w:eastAsia="Times New Roman" w:hAnsi="Times New Roman"/>
          <w:sz w:val="18"/>
          <w:szCs w:val="18"/>
          <w:color w:val="auto"/>
        </w:rPr>
        <w:t>The Medicare and Medicaid EHR Incentive Programs provide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to eligible professionals, eligible hospitals and critical access hospitals (CAHs) as they adopt, implement, upgrade or demonstrate meaningful use of certified EHR technology. By putting into action and meaningfully using an EHR system, providers may reap benefits beyond financial incentives–such as reduction in errors, availability of records and data, reminders and alerts, clinical decision support, and e-prescribing/refill automation.</w:t>
      </w:r>
    </w:p>
    <w:p>
      <w:pPr>
        <w:spacing w:after="0" w:line="18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Allied Disciplines. </w:t>
      </w:r>
      <w:r>
        <w:rPr>
          <w:rFonts w:ascii="Times New Roman" w:cs="Times New Roman" w:eastAsia="Times New Roman" w:hAnsi="Times New Roman"/>
          <w:sz w:val="18"/>
          <w:szCs w:val="18"/>
          <w:color w:val="auto"/>
        </w:rPr>
        <w:t>Various allied health professionals are required to obtain continuing education to maintain their licenses. For example, emergency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personnel may be required to acquire up to 20 continuing education hours per year, all or a portion of which can be fulfilled online. These requirements vary by state and depend on the classification of the employee.</w:t>
      </w:r>
    </w:p>
    <w:p>
      <w:pPr>
        <w:spacing w:after="0" w:line="17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Continuing Education. </w:t>
      </w:r>
      <w:r>
        <w:rPr>
          <w:rFonts w:ascii="Times New Roman" w:cs="Times New Roman" w:eastAsia="Times New Roman" w:hAnsi="Times New Roman"/>
          <w:sz w:val="18"/>
          <w:szCs w:val="18"/>
          <w:color w:val="auto"/>
        </w:rPr>
        <w:t>We are also an accredited provider of continuing education and continuing pharmacy education by the Association of Surgical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Technologists, Inc. (AST) and the Accreditation Council for Pharmacy Education (ACPE), respectively.</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Educational Program Sponsorship and Support</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There are a variety of laws and regulations that affect the relationships between our medical device and pharmaceutical customers and the users of our products and services, including the sponsorship and support of educational programs. For example, the Physician Payment Sunshine Act (“Sunshine Act”) requires manufacturers of drugs, biological devices and medical devices covered by Medicare, Medicaid, or the Children’s Health Insurance Program to report annually to CMS payments and other transfers of value, including educational programs, given by such manufacturers to physicians and teaching hospitals, with limited exceptions. CMS regulations require manufacturers to report the physician’s name, business address and national provider identifier as well as other information including the value, date, form and nature of what is offered. CMS publishes the information on its website. Manufacturers that do not meet the reporting obligations will be subject to significant monetary penalties.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 the Office of Inspector General (OIG) has issued Compliance Program Guidance for Pharmaceutical Manufacturers and for the Durable Medical Equipment, Prosthetics, Orthotics, and Supply Industry (collectively, the Guidelines). The Guidelines address compliance risks raised by the support of continuing educational activities by pharmaceutical and medical device companies. The Guidelines have affected and may continue to affect the type and extent of commercial support we receive for our continuing education activities. The trade associations for the pharmaceutical and medical device industries (PhRMA and AdvaMed, respectively) have also promulgated their own codes of ethics that further restrict the interactions between industry and health care professionals. In addition, the AMA has established its own code of ethics regarding Gifts to Physicians from Industry to provide standards of conduct for the medical profession. The Company follows the rules and guidelines provided by ACCME, ANCC, and other continuing education accrediting bodies to ensure that its continuing education programming is free from commercial bias and consistent with the Guidelines.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 Food and Drug Administration (FDA) and the Federal Trade Commission (FTC)</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indications and, in limited circumstances, to a limited number of indications not approved by the FDA. Therefore, any truthful or untruthful information that promotes the use of pharmaceutical or medical device products that is presented with our services is subject to the FDA and FTC requirements and regulatory oversight including criminal, civil and administrative actions. We believe that banner advertisements, sponsorship links and any educational programs that lack independent editorial control that we may present with our services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addition, the FDA may adopt new regulatory policies that more tightly regulate the format and content of promotional information on the Internet.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OTHER PROPRIETARY RIGHTS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 protect our proprietary rights, we rely generally on copyright, trademark and trade secret laws; confidentiality agreements and procedures with employees, consultants and other third parties; contractual provisions in license agreements with consultants, vendors and customers; and use measures designed to control access to our software, documentation and other proprietary information. We own federal trademark and service mark registrations for several marks, including without limitation “EXCELLENCE THROUGH INSIGHT”, “HEALTHSTREAM”, “HOSPITAL DIRECT”, “OR PROTOCOL”, “PATIENT INSIGHTS”, “PHYSICIAN INSIGHTS”, “INSIGHTS ONLINE”, “INSIGHT INTO ACTION”, “QUALITY CHECK”, “SIMCENTER”, “SIMMANAGER”, and “SIMSTORE.” We also have obtained registration of the “HEALTHSTREAM” mark in certain other countries. Applications for several trademarks are currently pending. However, there can be no assurance that we will be successful in obtaining registration of other trademarks for which we have applied.</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courseware that we license to our customers is developed through a combination of license agreements with publishers and authors, assignments and work-for-hire arrangements with third parties, and development by employees. We require publishers, authors and other third parties to represent and warrant that their content does not infringe on or misappropriate any third-party intellectual property rights and that they have the right to provide their content and have obtained all third-party consents necessary to do so. Our publishers, authors and other third parties also agree to indemnify us against certain liability we might sustain due to the content they provide.</w:t>
      </w:r>
    </w:p>
    <w:p>
      <w:pPr>
        <w:spacing w:after="0" w:line="1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a third party asserts a claim that we have infringed its patents or other intellectual property right, we may be required to redesign our products or enter into royalty or licensing agreements. In addition, we license technologies from third parties for incorporation into our services. Royalty and licensing agreements with these third parties may not be available on terms acceptable to us, if at all. Additionally, despite the steps we have taken to protect our intellectual property and proprietary rights, our efforts may not be adequate. Third parties may infringe or misappropriate our intellectual property, and such violations of our intellectual property are difficult to detect and police. Competitors may also independently develop technologies that are substantially equivalent or superior to the technologies we employ in our products or services. If we fail to protect our proprietary rights adequately, our competitors could offer similar services, potentially significantly harming our competitive position and decreasing our revenues.</w:t>
      </w:r>
    </w:p>
    <w:p>
      <w:pPr>
        <w:sectPr>
          <w:pgSz w:w="11900" w:h="16838" w:orient="portrait"/>
          <w:cols w:equalWidth="0" w:num="1">
            <w:col w:w="11420"/>
          </w:cols>
          <w:pgMar w:left="240" w:top="455"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The Company files reports with the SEC, including annual reports on Form 10-K, quarterly reports on Form 10-Q and other reports from time to time. The public may read and copy any materials we file with the SEC at the SEC’s Public Reference Room at 100 F Street, NE, Washington, DC 20549. The public may obtain information on the operation of the Public Reference Room by calling the SEC at 1-800-SEC-0330. The Company is an electronic filer and the SEC maintains an Internet site at http://www.sec.gov that contains the reports, proxy and information statements, and other information filed electronically.</w:t>
      </w:r>
    </w:p>
    <w:p>
      <w:pPr>
        <w:spacing w:after="0" w:line="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Our website address is www.healthstream.com. Please note that our website address is provided as an inactive textual reference only. We make available, free of charge through our website, our annual report on Form 10-K, quarterly reports on Form 10-Q, current reports on Form 8-K, and all amendments to those reports as soon as reasonably practicable after such material is electronically filed with or furnished to the SEC. The information provided on our website is not part of this report, and is therefore not incorporated by reference unless such information is otherwise specifically referenced elsewhere in this report.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2016, we employed 1,010 full-time and 110 part-time persons. Our success will depend in large part upon our ability to attract and retain qualified employees. We face competition in this regard from other companies, but we believe that we maintain good relations with our employees. We are not subject to any collective bargaining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is a brief summary of the business experience of each of the executive officers of the Company. Executive Officers of the Company are elected by the Board of Directors and serve at the pleasure of the Board of Directors. The following table sets forth certain information regarding the executive officers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580" w:type="dxa"/>
            <w:vAlign w:val="bottom"/>
          </w:tcPr>
          <w:p>
            <w:pPr>
              <w:spacing w:after="0"/>
              <w:rPr>
                <w:sz w:val="16"/>
                <w:szCs w:val="16"/>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00" w:type="dxa"/>
            <w:vAlign w:val="bottom"/>
          </w:tcPr>
          <w:p>
            <w:pPr>
              <w:spacing w:after="0"/>
              <w:rPr>
                <w:sz w:val="16"/>
                <w:szCs w:val="16"/>
                <w:color w:val="auto"/>
              </w:rPr>
            </w:pPr>
          </w:p>
        </w:tc>
        <w:tc>
          <w:tcPr>
            <w:tcW w:w="7120" w:type="dxa"/>
            <w:vAlign w:val="bottom"/>
            <w:tcBorders>
              <w:bottom w:val="single" w:sz="8" w:color="auto"/>
            </w:tcBorders>
          </w:tcPr>
          <w:p>
            <w:pPr>
              <w:ind w:left="33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39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Robert A. Frist, Jr.</w:t>
            </w: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6"/>
                <w:szCs w:val="16"/>
                <w:color w:val="auto"/>
              </w:rPr>
            </w:pPr>
          </w:p>
        </w:tc>
        <w:tc>
          <w:tcPr>
            <w:tcW w:w="7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President and Chairman of the Board of Directors</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Doster</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Technology Officer</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Gerard M. Hayden, Jr.</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Edward Pearson</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Operating Officer</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Schultz</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Sales</w:t>
            </w: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Sousa</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President, Echo, Inc.</w:t>
            </w:r>
          </w:p>
        </w:tc>
      </w:tr>
    </w:tbl>
    <w:p>
      <w:pPr>
        <w:spacing w:after="0" w:line="19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Robert A. Frist, Jr., one of our co-founders, has served as our chief executive officer and chairman of the board of directors since 1990 and president since 2001. Mr. Frist is the company’s chief operating decision maker. He graduated with a Bachelor of Science in business with concentrations in Finance, Economics and Marketing from Trinity University.</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Jeffrey S. Doster joined the Company in May 2008 as senior vice president and chief technology officer. He earned undergraduate degrees in both Economics and Business Administration from Towson University, as well as a Master of Business Administration from Loyola College, in Maryland.</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Gerard M. Hayden, Jr. joined the Company as senior vice president and chief financial officer in May 2008. He earned a Bachelor of Arts from the University of Notre Dame and a Master of Science from Northeastern University.</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J. Edward Pearson joined the Company in June 2006 as senior vice president and was promoted to Chief Operating Officer in 2011. He earned a Bachelor of Business Administration in Accounting from Middle Tennessee State University.</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Thomas Schultz joined the Company in June 2014 as senior vice president of sales. He worked for Lawson Software, a subsidiary of Infor, Inc., in various sales leadership roles for sixteen years prior to joining the Company. He earned a Bachelor of Arts from St. Mary’s University of Minnesota.</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Michael Sousa joined the Company in October 2004, and served as senior vice president of sales from January 2010 to June 2014. In June 2014, he was promoted to senior vice president of business development. In September 2015, he was named president of Echo, Inc., HealthStream’s Provider Solutions business segment, while continuing to serve as a senior vice president of the Company. He earned a Bachelor of Science degree from Boston College and a Master of Business Administration from Boston University.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that the risks and uncertainties described below and elsewhere in this document are the principal material risks facing the Company as of the date of this report. In the future, we may become subject to additional risks that are not currently known to us. Our business, financial condition results of operations and/or prospects could be materially and adversely affected by the occurrence of any of the following risks and uncertainties. Additional risks or uncertainties not presently known to us, or that we currently deem immaterial, also may adversely affect our business, financial condition, results of operations and prospects. The trading price of our common stock could also decline due to the occurrence of any of the following risks or any unknown risks.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effectively execute our growth strategy which could have an adverse effect on our business and competitive position in the industry.</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increasing our market share and presence through sales to new customers, additional sales to existing customers, introductions of new products and services, and maintaining strong relationships with our existing customers. Some of the risks that we may encounter in executing our growth strategy include:</w:t>
      </w:r>
    </w:p>
    <w:p>
      <w:pPr>
        <w:spacing w:after="0" w:line="82" w:lineRule="exact"/>
        <w:rPr>
          <w:sz w:val="20"/>
          <w:szCs w:val="20"/>
          <w:color w:val="auto"/>
        </w:rPr>
      </w:pPr>
    </w:p>
    <w:p>
      <w:pPr>
        <w:ind w:left="460" w:right="60" w:hanging="452"/>
        <w:spacing w:after="0" w:line="282"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delays and difficulties of identifying and developing new products or services and integrating such new products or services into our existing organization;</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leverage our operational and financial systems and processes sufficiently to support our growth;</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from our products to offset investment costs;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identify, manage and exploit existing and emerging market opportunities;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our existing customer relationships;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new and existing competitors;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sales cycles, or customers delaying purchasing decisions or payments due to economic conditions;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spending in our target markets;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market for our products and services to grow to a sufficient size or at a sufficient rate;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hire sufficient number of qualified employees to execute and support the growth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these risks are realized, our business, and our competitive position in the industry, could suffer.</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effectively identify, complete or integrate the operations of acquisitions, joint ventures, collaborative arrangements or other strategic investments, which would inhibit our ability to execute upon our growth strategy.</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part of our growth strategy, we actively review possible acquisitions, joint ventures, collaborative arrangements or strategic investments that complement or enhance our business. We may not be able to identify, complete or integrate the operations of such acquisitions, joint ventures, collaborative arrangements or other strategic investments. In addition, if we finance acquisitions, joint ventures, collaborative arrangements or other strategic initiatives by issuing equity securities, our existing shareholders may be diluted which could affect the market price of our stock. As a result, if we fail to properly evaluate and execute acquisitions and investments, our business prospects may be seriously harmed. Some of the risks that we may encounter in implementing our acquisition, joint venture, collaborative arrangement or strategic investment strategies include:</w:t>
      </w:r>
    </w:p>
    <w:p>
      <w:pPr>
        <w:spacing w:after="0" w:line="93" w:lineRule="exact"/>
        <w:rPr>
          <w:sz w:val="20"/>
          <w:szCs w:val="20"/>
          <w:color w:val="auto"/>
        </w:rPr>
      </w:pPr>
    </w:p>
    <w:p>
      <w:pPr>
        <w:ind w:left="460" w:right="50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delays or difficulties in identifying and integrating acquired companies or joint venture operations, collaborative arrangements or other strategic investments into our organization;</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personnel associated with acquisitions, joint ventures, collaborative arrangements or other strategic investments;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initiatives and/or day-to-day operations to effectively execute our growth strategy; and</w:t>
      </w:r>
    </w:p>
    <w:p>
      <w:pPr>
        <w:spacing w:after="0" w:line="130"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profit, and cash flow from acquisitions, joint ventures, collaborative arrangements or other strategic investments to offset our investment costs.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accurately forecast revenue for certain products and services may be hindered by customer scheduling.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While the revenue we receive from particular products and services in our subscription business may be predictable during the term of the applicable contract, the performance of our subscription business may become more subject to fluctuations between quarterly periods as our solution offerings diversify and become more sophisticated. Our HealthStream Patient Experience Solutions products and services are typically contracted by healthcare organizations for multi-year terms, but the frequency, sample size, and timing of survey cycles can vary from quarter to quarter and year to year. The contract structure for some Patient Experience Solutions products gives customers latitude about when to initiate a survey, which can affect quarterly or annual revenue forecasts. Also, other project-based products, such as coaching, certain content development and professional services, are subject to the customers’ involvement in the provision of the product or service. The timing and magnitude of these project-based product and service contracts may vary widely from quarter to quarter and year to year, and thus may affect our ability to accurately forecast quarterly and annual financial performance. In addition, some products, including those in our Provider Solutions segment, can require significant implementation lead times and resources, which may also impact our ability to accurately forecast financial performance.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accurately forecast revenue may be affected by lengthy and widely varying sales cycles.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period from our initial contact with a potential customer and their first purchase of our solution typically ranges from three to nine months, and in some cases has extended much further. The range in the sales cycle can be impacted by multiple factors, including an increasing trend towards more formal request for proposal processes and more competition within our industry, as well as formal budget timelines which impact timing of purchases by target customers. New products tend to have a longer and more unpredictable revenue ramp period because of varying customer adoption rates. As a result of these factors, we have only limited ability to forecast the timing and type of initial sales. This, in turn, makes it more difficult to forecast quarterly and annual financial performance.</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competitive position against current and potential competitors, especially those with significantly greater financial, technical, marketing, or other resources.</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Several of our competitors and many potential competitors have longer operating histories and significantly greater financial, technical, marketing, or other resources than we do. We encounter direct competition from both large and small talent and human resource management companies and other companies focused on workforce development in the healthcare industry. We also face competition from larger patient experience – focused companies, as well as companies that offer provider solutions. Given the profile and growth of the healthcare industry and the ongoing need for training, simulation, research, credentialing, and other information products and services, it is likely that additional competitors will emerge. We believe we maintain a competitive advantage against our competitors by offering a comprehensive array of products and services; however, our lack of market diversification resulting from our concentration on the healthcare industry may make us susceptible to losing market share to our competitors who also offer solutions, and in some cases a more robust suite of solutions, to a cross-section of industries. These companies may be able to respond more quickly than we can to new or changing opportunities, technologies, standards or customer requirements. Further, most of our customer agreements are for terms ranging from one to four or five years, with no obligation to renew. The short terms of these agreements may enable customers to more easily shift to one of our competitors.</w:t>
      </w:r>
    </w:p>
    <w:p>
      <w:pPr>
        <w:spacing w:after="0" w:line="18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maintain and strengthen our relationships with strategic partners or significant changes in the terms of the agreements we have with them may have an adverse impact on our ability to successfully market our products and services.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entered into contracts with strategic partners, including content, technology, and retail channel vendors. Our ability to increase the sales of our products and services depends in part upon maintaining and strengthening relationships with these current and future strategic partners. Most of these contracts are on a non-exclusive basis. Certain strategic partners may offer products and services from multiple distinct companies, including, in some instances, products or services which may compete with our products and services. Moreover, under contracts with some of our strategic partners, we may be bound by provisions that restrict our ability to market and sell our products and services to certain potential customers. The success of these contractual arrangements will depend in part upon the strategic partners’ own competitive, marketing, and strategic considerations, including the relative advantages for such strategic partners in using alternative products being developed and marketed by them or our competitors, rather than our products and services.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cannot guarantee that we will be able to maintain and strengthen our relationships with strategic partners, that we will be successful in effectively integrating such partners’ products and technology into our own, or that such relationships will be successful in generating additional revenue. If any of these strategic partners have negative experiences with our products and services, or seek to amend or terminate the financial or other terms of the contracts or arrangements we have with them, we may need to increase our organizational focus on the types of services and solutions they sell and alter our development, integration, and/or distribution strategies, which may divert our planned efforts and resources from other projects.</w:t>
      </w:r>
    </w:p>
    <w:p>
      <w:pPr>
        <w:spacing w:after="0" w:line="1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Lastly, we could be subject to claims and liability, as a result of the activities, products, or services of these strategic partners, and/or our acts or omissions with regard to these strategic partners. Even if these claims do not result in liability to us, investigating and defending these claims could be expensive, time-consuming and result in suspension of or interference with certain offerings to our clients and/or adverse publicity that could harm our business.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retain distribution rights from our content partners, which could adversely affect our business and results of operations.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Most of our agreements with content and technology providers are for initial terms of three or more years. These partners may choose not to renew their agreements with us or may terminate the agreements early if we do not fulfill our contractual obligations. If a significant number of our partners terminate or fail to renew their agreements with us on as favorable terms, such as a reduction in our revenue share arrangement, it could result in a reduction in the number of courses and solutions we are able to distribute and decreased revenues. Most of our agreements with our content partners are non-exclusive, and our competitors offer, or could offer, content or solutions that are similar to or the same as ours. If our current partners offer or otherwise make available their products and services to users or our competitors on more favorable terms than those offered to us, or increase our license fees, our competitive position, revenue, and our profit margins and prospects could be harmed. In addition, the failure by our content partners to deliver high-quality content and technology, and to revise their content and technology in response to user demand and evolving healthcare advances and trends could result in customer dissatisfaction and inhibit our ability to attract and retain subscribers.</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new products and services, or enhancements to our existing products and services, or be able to achieve widespread acceptance of new products, services or features, or keep pace with technological developments.</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growth strategy depends in part on our ability to generate revenue growth through sales to new customers as well as increasing sales of additional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customer base. Furthermore, we are not able to accurately predict the volume or speed with which existing and new customers will adopt such new products and services. Because healthcare technology continues to change and evolve, we may be unable to accurately predict and develop new products, features, content and other products to address the needs of the healthcare industry. Further, the new products, services and enhancements we develop may introduce significant defects into or otherwise negatively impact our core software platform. While all new products and services are subject to testing and quality control, all software and software-based services are subject to errors and malfunctions. If we release new products, services and/or enhancements with bugs, defects or errors or that cause bugs, defects or errors in existing products, it could result in lost revenues and/or reduced ability to meet contractual obligations and would be detrimental to our business and reputation. If new products, features, or content are not accepted or integrated by new or existing customers, we may not be able to recover the cost of this development and our financial performance will be harmed. Continued growth of our customer population is dependent on our ability to continue to provide relevant products and services in a timely manner. The success of our business will depend on our ability to continue providing our products and services as well as enhancing our courseware, product and service offerings that address the needs of healthcare organizations.</w:t>
      </w:r>
    </w:p>
    <w:p>
      <w:pPr>
        <w:spacing w:after="0" w:line="19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continue to license our third party software, on which a portion of our product and service offerings rely, or we may experience errors in this software, which could increase our costs and decrease our revenue.</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use technology components in some of our products that have been licensed from third parties. Future licenses to these technologies may not be available to us on commercially reasonable terms, or at all. The loss of or inability to obtain or maintain any of these licenses could result in delays in the introduction of new products and services or could force us to discontinue offering portions of solutions until equivalent technology, if available, is identified, licensed and integrated. The operation of our products would be impaired if errors occur in third party technology or content that we incorporate, and we may incur additional costs to repair or replace the defective technology or content. It may be difficult for us to correct any errors in third party products because the products are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 Even if these claims do not result in liability to us, investigating and defending these claims could be expensive and time-consuming, and could result in suspension of or interference with certain offerings to our clients and/or adverse publicity that could harm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generated from a relatively small number of customers.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derive a substantial portion of our revenues from a relatively small number of customers. A termination or material modification of our agreements with any of our significant customers or a failure of these customers to renew their contracts on favorable terms, or at all, could have an adverse effect on our business.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business is subject to renewal each year. Therefore, renewals have a significant impact on our revenue and operating results.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2016, approximately 71% of our net revenue was derived from our workforce subscription-based solution products. Our subscription-based customers have no obligation to renew their subscriptions for our products or services after the expiration of the subscription agreement, and in fact, some customers have elected not to renew their subscription. In addition, our customers may renew at a lower pricing or activity level. Our customers’ renewals may decline or fluctuate as a result of a number of factors, including but not limited to their dissatisfaction with our service, a dissipation or cessation of their need for one or more of our products or services, pricing or competitive product offerings. If we are unable to renew a substantial portion of the contracts that are up for renewal or maintain our pricing, our results of operations and financial condition could be adversely affected. For example, the requirement mandated by CMS for healthcare organizations to transition to the ICD-10 coding system, effective in October 2015, generated significant demand for our ICD-10 readiness training courseware from 2012 through 2015, when subscriptions for that product positively influenced the Company’s revenue and operating income. However, sales of that product have ceased and revenue and operating income from that product declined significantly during 2016 and are expected to continue to decline. HealthStream Patient Experience Solutions product and service contracts typically range from one to three years in length, and customers are not obligated to renew their contract with us after their contract expires. If our customers do not renew their arrangements for our services, or if their activity levels decline, our revenue may decline and our business will suffer.</w:t>
      </w:r>
    </w:p>
    <w:p>
      <w:pPr>
        <w:spacing w:after="0" w:line="18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accurately predict the timing of revenue recognition from sales activity as it is often dependent on achieving certain events or performance milestones, and this inability could impact our operating results.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ability to recognize revenue is dependent upon several factors including the transfer of customer-specific information such as unique subscriber IDs, which are required for us to implement customers on our subscription-based platform and certain platform applications. Accordingly, if customers do not provide us with the specified information in a timely manner, our ability to recognize revenue will be delayed, which could adversely impact our operating results. In addition, implementation completion and acceptance of our subscription-based platform and certain platform applications by our customers must be achieved and delivery of services is required in connection with subscription-based products for us to recognize revenue. Some products, including those in our Provider Solutions segment, can require significant implementation lead times and the rate at which customer orders move from backlog to revenue generation in connection with these products may significantly affect the timing of revenue recognition. In our Patient Experience business we depend on receiving patient visit, discharge, and other data from our customers before we are able to complete surveys and tabulate responses.</w:t>
      </w:r>
    </w:p>
    <w:p>
      <w:pPr>
        <w:spacing w:after="0" w:line="18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for our products and services over the term of the subscription period, downturns or upturns in sales may not be immediately reflected in our operating results.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2016, we recognized approximately 71% of our revenue from customers monthly over the terms of their subscription agreements, which have initial contract terms ranging from one to five years. As a result, much of the revenue we report in each quarter is related to subscription agreements entered into during previous quarters. Consequently, a decline in new or renewed subscription agreements in any one quarter will not necessarily be fully reflected in the revenue in that quarter and will negatively affect our revenue in future quarters. In addition, we may be unable to adjust our cost structure to reflect this reduced revenue. Accordingly, the effect of significant downturns in sales and market acceptance of our products and services may not be fully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 Finally, the majority of costs associated with our sales cycles are incurred up front before revenue recognition commences, and therefore periods of strong sales performance may increase our costs in the near term negatively affecting our financial performance.</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meet our strategic business objectives unless we obtain additional financing, which may not be available to us on favorable terms, or at all.</w:t>
      </w:r>
    </w:p>
    <w:p>
      <w:pPr>
        <w:spacing w:after="0" w:line="15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 However, we may need to raise additional funds in order to:</w:t>
      </w:r>
    </w:p>
    <w:p>
      <w:pPr>
        <w:spacing w:after="0" w:line="82" w:lineRule="exact"/>
        <w:rPr>
          <w:sz w:val="20"/>
          <w:szCs w:val="20"/>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 existing, services or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working capital requirements;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technologies, content or products;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effectively execute our growth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2016, we had approximately $103.2 million in cash, cash equivalents, and marketable securities. We also have up to</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$50.0 million of availability under our Revolving Credit Facility, subject to certain covenants, which expires in November 2017. We expect to incur between $15.0 and $17.0 million of capital expenditures, software development and content purchases during 2017. We actively review possible business acquisitions to complement or enhance our products and services. We may not have adequate cash and investments or availability under our Revolving Credit Facility to consummate one or more of these acquisitions. We cannot assure you that if we need additional financing that it will be available on terms favorable to us, or at all.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spacing w:after="0" w:line="7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goodwill and identifiable intangible assets recorded on our balance sheet that may be subject to impairment losses that would reduce our reported assets and earnings.</w:t>
      </w:r>
    </w:p>
    <w:p>
      <w:pPr>
        <w:spacing w:after="0" w:line="5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As of December 31, 2016, our balance sheet included goodwill of $109.8 million and identifiable intangible assets of $78.4 million. There are inherent uncertainties in the estimates, judgments and assumptions used in assessing recoverability of goodwill and intangible assets. Economic, legal, regulatory, competitive, reputational, contractual, and other factors could result in future declines in the operating results of our business units or market value declines that do not support the carrying value of goodwill and identifiable intangible assets. If the value of our goodwill and/or intangible assets is impaired, accounting rules require us to reduce their carrying value and report an impairment charge, which would reduce our reported assets and earnings for the period in which an impairment is recognized.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changes in the healthcare industry that impact our clients.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clients are concentrated in the healthcare industry, which is subject to changing regulatory, economic, and political influences. The U.S. Congress and certain state legislatures have passed or are considering laws and regulations intended to result in major changes to the U.S. healthcare system. The most prominent of these reform efforts, the Patient Protection and Affordable Care Act, as amended by the Healthcare and Education Reconciliation Act of 2010 (collectively, Affordable Care Act), was designed to increase access to affordable health insurance for U.S. citizens and improve quality of care, but it also has reduced government program spending and imposed operating costs and changes on many of our clients. Some of these changes have driven consolidation in the healthcare industry, particularly among health insurance providers.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2016 federal elections cast uncertainty on the future of the Affordable Care Act and may result in the repeal or replacement of, or significant changes to, the Affordable Care Act. There is uncertainty regarding whether, when, or how the Affordable Care Act will be changed, whether, when or what alternative provisions will be enacted, and the impact of repeal or changes to the Affordable Care Act or any alternative provisions. Any government efforts related to reforming the healthcare industry may negatively impact our clients, which could have an adverse effect on our revenue, results from operations and financial condition.</w:t>
      </w:r>
    </w:p>
    <w:p>
      <w:pPr>
        <w:spacing w:after="0" w:line="1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demonstrate compliance with Sarbanes-Oxley Section 404 in a timely manner, and the correction of any deficiencies identified during annual audits may be costly and could harm our business.</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Sarbanes-Oxley Section 404 requires our management to report on, and requires our independent public accounting firm to attest to, the effectiveness of our internal controls over financial reporting. The rules governing the standards to be met are complex and may require significant process review, documentation and testing, as well as remediation efforts for any identified deficiencies. This process of review, documentation, testing and remediation may result in increased expenses and require significant attention from management and other internal and external resources. These requirements may also extend to acquired entities and our efforts to integrate those operations into our system of internal controls. Any material weaknesses identified during this process may preclude us from asserting the effectiveness of our internal controls. This may negatively affect our stock price if we cannot effectively remediate the issues identified in a timely manner.</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generally accepted accounting principles (GAAP) and other accounting regulations and interpretations could require us to delay recognition of revenue and/or incur and accelerate the recognition of expenses, resulting in lower earnings.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While we believe we correctly account for and recognize revenue and expenses, any changes in GAAP or other accounting regulations and interpretations concerning revenue and expense recognition could decrease our revenue or increase our expenses. Changes to regulations concerning revenue recognition could require us to alter our current revenue accounting practices and cause us to either defer revenue into a future period, or to recognize lower revenue in a current period. Likewise, changes to regulations concerning expense recognition could require us to alter our current expense accounting practices and cause us to defer recognition of expense into a future period, or to recognize increased expenses in a current period. Such changes could also cause us to alter the manner in which we contract for, sell, and incentivize sales of products and services. Changes to either revenue recognition or expense recognition accounting practices could affect our financial performance. In addition, we could incur significant during 2017 costs to comply with any changes in GAAP rules or requirements, such as Accounting Standards Update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which is effective January 1, 2018, in addition to the financial impact on accounting for revenues or expenses.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Sales, Marketing and Competition</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margins could be affected if our ongoing refinement to pricing models for our products and services is not accepted by our customers and the market.</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continue to make changes in the pricing of our product and service offerings so as to increase revenue and meet the needs of our customers. We cannot predict whether the current pricing of our products and services, or any ongoing refinements we make will be accepted by our existing customer base or by prospective customers. If our customers and potential customers decide not to accept our current or future pricing or product and service offerings, it could an adverse effect on our business and results of operations.</w:t>
      </w:r>
    </w:p>
    <w:p>
      <w:pPr>
        <w:sectPr>
          <w:pgSz w:w="11900" w:h="16838" w:orient="portrait"/>
          <w:cols w:equalWidth="0" w:num="1">
            <w:col w:w="11400"/>
          </w:cols>
          <w:pgMar w:left="240" w:top="455" w:right="259" w:bottom="900"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90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develop our systems, processes and support in a manner that will enable us to meet the demand for our services.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provided our online products and services for over 17 years and continue to expand our ability to provide our solutions on both a subscription and transactional basis over the Internet or otherwise. Our future success will depend on our ability to effectively develop and maintain our infrastructure, including procurement of additional hardware and software, and to implement the services, including customer support, necessary to meet the demand for our products and services. Our inability from time to time to successfully develop the necessary systems and implement the necessary services on a timely basis may result in our customers experiencing delays, interruptions and/or errors in their service. Such delays or interruptions may cause customers to become dissatisfied with our service and move to competing providers of workforce development, patient experience, and provider solutions services. If this happens, our reputation results of operations and financial condition,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could be significantly disrupted if we lose members of, or fail to attract and integrate new members to, our management team.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future performance is substantially dependent on the continued services of our management team and our ability to attract, retain and motivate them. The loss of the services of any of our officers or senior managers, or the inability to attract additional officers or senior managers as appropriate, could harm our business, as we may not be able to find suitable replacements. We do not have employment agreements with any of our key personnel, other than our chief executive officer, and we do not maintain any “key person” life insurance policies.</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attract, hire and retain a sufficient number of qualified employees and, as a result, we may not be able to effectively execute our growth strategy or maintain the quality of our services.</w:t>
      </w:r>
    </w:p>
    <w:p>
      <w:pPr>
        <w:spacing w:after="0" w:line="15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Our future success will depend on our ability to attract, train, motivate, and retain other highly skilled technical, managerial, marketing, customer support, coaching, and survey personnel. Competition for certain personnel is intense, especially for software developers, web designers, user experience and interaction designers, and sales personnel, and we may be unable to successfully attract sufficiently qualified personnel. We have experienced in the past, and continue to experience, difficulty hiring qualified personnel in a timely manner for these positions. The pool of qualified technical personnel, in particular, is limited in Nashville, Tennessee, where our headquarters are located. In addition, we operate interviewing centers located in Laurel, Maryland, and Nashville, Tennessee. We may experience difficulty in maintaining and recruiting qualified individuals to perform interviewing services. We will also need to maintain or increase the size of our staff to support our anticipated growth, without compromising the quality of our offerings or customer service. Our inability to locate, attract, hire, integrate and retain qualified personnel in sufficient numbers may reduce the quality of our services and impair our ability to grow.</w:t>
      </w:r>
    </w:p>
    <w:p>
      <w:pPr>
        <w:spacing w:after="0" w:line="16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upgrade our hardware and software technology infrastructure quickly enough to effectively meet demand for our services or our operational needs.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must continue to obtain reasonably priced, commercially available hardware and operating software as well as continue to enhance our software and systems to accommodate the increased use of our platform, the increased courseware and content in our library, the expanding amount and type of data we store on behalf of our customers, and the resulting increase in operational demands on our business. Decisions about hardware and software enhancements are based in part on estimated forecasts of the growth in demand for our services. This growth in demand for our services is difficult to forecast and the potential audience for our services is widespread and dynamic. If we are unable to increase the data storage and processing capacity of our systems at least as fast as the growth in demand, our customers may encounter delays or disruptions in their service. Unscheduled downtime, or reduced response time of our platforms could harm our business and also could discourage current and potential customers from using or continuing to use our services and reduce future revenue. If we are unable to acquire, update, or enhance our technology infrastructure and systems quickly enough to effectively meet increased operational demands on our business, that may also have an adverse effect on our results of operations or financial condition. Further, as we develop our platforms and rely on every changing and improving technologies, we may be impeded by our customers’ inability to adopt new technologies, such as web browsers, upon which new platform enhancements may be based.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network infrastructure and computer systems and software may fail.</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 unexpected event (including but not limited to a cyber-security incident, telecommunications failure, fire, earthquake, or other catastrophic loss) at our Internet service providers’ facilities or at our on-site data center facilities could cause the loss of critical data and prevent us from offering our products and services for an unknown period of time. System downtime could negatively affect our reputation and ability to sell our products and services and may expose us to significant third-party claims. Our cyber liability and business interruption insurance may not adequately compensate us for losses that may occur. In addition, we rely on third parties 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securely store our archived data, house our web server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 and our customers may encounter delays. Such disruptions could harm our reputation and cause customers to become dissatisfied and possibly take their business to a competing provider, which would adversely affect our revenues.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users and lose revenue if our security measures fail.</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the security measures that we use to protect customer or personal information are ineffective, we may lose users of our services, which could reduce our revenue, tarnish our reputation, and subject us to significant liability. We rely on security and authentication technology licensed from third parties. With this technology, we perform real-time credit card authorization and verification, as well as the encryption of other selected secure customer data. We cannot predict whether these security measures could be circumvented by new technological developments. Further, the audit processes and controls used within our production platforms may not be sufficient to identify and prevent errors or deliberate misuse. In addition, our software, databases and servers may be vulnerable to computer viruses, physical or electronic attacks and similar disruptions. We may need to spend significant resources to protect against security breaches or to alleviate problems caused by any breaches. We cannot assure that we can prevent all security breaches.</w:t>
      </w:r>
    </w:p>
    <w:p>
      <w:pPr>
        <w:spacing w:after="0" w:line="18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data breach or security incident could result in a loss of confidential data, give rise to remediation and other expenses, expose us to liability under the Health Insurance Portability and Accountability Act (HIPAA), the Health Information Technology for Economic and Clinical Health Act (HITECH), state privacy laws, consumer protection laws, common law theories or other laws, subject us to litigation and federal and state governmental inquiries, damage our reputation, and otherwise be disruptive to our business.</w:t>
      </w:r>
    </w:p>
    <w:p>
      <w:pPr>
        <w:spacing w:after="0" w:line="18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collect and store sensitive information, including intellectual property individually identifiable health information, provider credentialing and privileging data, and other personally identifiable information, on our networks. The secure maintenance of this information is critical to our business operations. As a result, the continued development and enhancement of controls processes and practices designed to protect our information systems from attack, damage or unauthorized access remain a priority for us. We have implemented multiple layers of security measures to protect confidential data through technology, processes, and our people and our defenses are monitored and routinely tested internally and by external parties. Despite these efforts, a data breach or security incident could result from a variety of circumstances and events, including third-party action, system errors, employee negligence or error, malfeasance, computer viruses, failures during the process of upgrading or replacing software, databases, or components thereof, power outages, hardware failures, telecommunication failures, user errors, catastrophic events, or threats from malicious persons and groups, new vulnerabilities, and advanced new attacks against information systems.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can be no assurance, we will not be subject to data incidents that bypass our security measures, result in loss of confidential information or disrupt our information systems or business. Data incidents could result in interruptions, delays, the loss, access misappropriation, and disclosure or corruption of data and could damage our reputation. In addition, data incidents could expose us and our customers to liability under privacy, security and consumer protection laws, such as HIPAA, or litigation under these or other laws, including common law theories, and subject us to federal and state governmental inquiries or enforcement, especially if a large number of individuals are affected or if the compromised information is highly sensitive. Like many other organizations, we have experienced data incidents from time to time in the course of our business and handled these incidents in accordance with our understanding of the applicable laws.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cyber security and us. As cyber and other threats to confidential information continue to evolve, we may be required to expend significant additional resources to continue to modify or enhance our protective measures or to investigate and remediate any security vulnerabilities. The occurrence of a data incident and resulting potential costs and liabilities could have a material adverse effect on our financial position and results of operations and harm our business reputation.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errors or omissions in our software products or processes, including those that deliver provider credentialing, privileging and payer enrollment services for our hospitals and medical practice customers, and those that and administer and report on hospital performance, and these errors could result in action taken against us that could harm our business.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Hospitals and medical practices use our credentialing, privileging, and payer enrollment software to manage, validate and maintain their providers’ credentials and authorization to practice in a particular facility, and to maintain authorization to perform care covered by insurance providers. In some instances, we rely on sources outside the Company for information that we use in our credentialing and privileging products. If errors or omissions occur that inaccurately validate or invalidate the credentials of a provider, or improperly deny or authorize a provider to practice in a hospital or medical practice, these errors or omissions could result in litigation brought against us either by our customers, the provider, or other interested parties. For example, an important element in a malpractice case brought against a hospital or other provider could be the validation of proper credentialing for the provider, and any errors or omissions in our products that provide these services could subject us to claims. Further, a list of providers’ privileges may be made available to the general public by hospitals and medical practices, and errors in credentialing and privileging may result in damage to the hospital, medical practice, or provider.</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Certain survey data collected and reported by us, such as the survey data included as part of our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 is used by CMS to determine, in part, the amount of reimbursement payments to hospitals, and any errors in data collection, survey sampling, or statistical reporting could result in reduced reimbursements to our hospital customers if we are unable to correct these errors, and this could, in turn, result in litigation or claims against us. Further, this survey data reported to CMS is then published by CMS to the general public, and any errors we experience that result in incorrect scoring of our hospital customer may result in damage to that hospital’s reputation, and the hospital may in turn bring litigation against us.</w:t>
      </w:r>
    </w:p>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may be required to indemnify against such claims, and defending against any such claims could be costly and time consuming and could negatively affect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Content and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may subject us to investigation, litigation, or liability or require us to change the way we do business.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laws and regulations that govern our business change rapidly. Evolving areas of law that are relevant to our business include privacy and security laws, proposed encryption laws, content regulation, information security accountability regulation, sales and use tax laws and regulations and attempts to regulate activities on the Internet. For example, we are directly subject to certain requirements of the HIPAA privacy and security regulations. In addition, we are required through contracts with our customers known as “business associate agreements” to protect the privacy and security of certain personal and health related information. Further government laws and regulations such as the Affordable Care Act, that directly affect our customers, can have an indirect impact on our business.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rapidly evolving and uncertain regulatory and technology environment could require us to change how we do business or incur additional costs. It may be difficult to predict how changes to these laws and regulations might affect our business. Our current and past privacy and security practices, including any breaches of protected health information or other data, could be subject to review or other investigation by various state and federal regulatory authorities or could become the subject of future litigation.</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Failure to comply with applicable laws and regulations, including those governing privacy and security, could subject us to civil and criminal penalties, subject us to contractual penalties (including termination of our customer agreements), adversely affect our ability to retain clients and attract new clients, damage our reputation or otherwise have a detrimental impact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certification to conduct CMS mandated surveys, and this could adversely affect our business.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survey product offerings include providing survey services to assist customers in their compliance with CMS regulations. We are currently designated by CMS as a certified vendor to offer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Surveys and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data collection and submission services for hospitals, home health agencies, clinicians and groups, in-center hemodialysis, emergency departments, hospice, outpatient surgery, pediatrics, and accountable care organizations. If we are unable to maintain these certifications, or secure certifications for future CMS mandated surveys, we would not be able to administer these survey instruments for our customers and our business may suffer.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reduction or change in the regulation of continuing education and training in the healthcare industry may adversely affect our business.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portion of 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that reduce the requirements for continuing education and training for the healthcare industry could harm our business. In addition, a portion of our business with pharmaceutical and medical device manufacturers and hospitals is predicated on our ability to maintain accreditation status with organizations such as the ACCME, ANCC, and ACPE. The failure to maintain status as an accredited provider could have a detrimental effect on our business.</w:t>
      </w:r>
    </w:p>
    <w:p>
      <w:pPr>
        <w:sectPr>
          <w:pgSz w:w="11900" w:h="16838" w:orient="portrait"/>
          <w:cols w:equalWidth="0" w:num="1">
            <w:col w:w="11420"/>
          </w:cols>
          <w:pgMar w:left="240" w:top="455"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to third parties for content that is available from our online library.</w:t>
      </w:r>
    </w:p>
    <w:p>
      <w:pPr>
        <w:spacing w:after="0" w:line="22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We may be liable to third parties for the content in our online library if the text, graphics, software or other content in our library violates copyright, trademark, or other intellectual property rights, if our content partners violate their contractual obligations to others by providing content to our library, or if the content does not conform to accepted standards of care in the healthcare profession. Further, we may be liable to these content partners if we improperly release and lose control of their content stored on our platform either due to security issues or through improper release to customers who have not paid for access to this content. We attempt to minimize these types of liabilities by requiring representations and warranties relating to our content partners’ ownership of the rights to distribute as well as the accuracy of their content. We also take necessary measures to review this content ourselves. Although our agreements with our content partners in most instances contain provisions providing for indemnification by the content providers in the event of inaccurate content, our content partners may not have the financial resources to meet this obligation. Alleged liability could harm our business by damaging our reputation, requiring us to incur legal costs in defense, exposing us to awards of damages and costs, and diverting management’s attention away from our business.</w:t>
      </w:r>
    </w:p>
    <w:p>
      <w:pPr>
        <w:spacing w:after="0" w:line="17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Protection of certain intellectual property may be difficult and costly, and our inability to protect our intellectual property could reduce the value of our products and services.</w:t>
      </w:r>
    </w:p>
    <w:p>
      <w:pPr>
        <w:spacing w:after="0" w:line="15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Despite our efforts to protect our intellectual property rights, a third party could, without authorization, copy or otherwise misappropriate our content, information from our databases, or other intellectual property. Our agreements with employees, consultants and others who participate in development activities could be breached and result in our trade secrets becoming known, or our trade secrets and other intellectual property could be independently developed by competitors. We may not have adequate remedies for such breaches or protections against such competitor developments. In addition, the laws of some foreign countries do not protect our proprietary rights to the same extent as the laws of the United States, and effective intellectual property protection may not be available in those jurisdictions. We currently own several applications and registrations for trademarks and domain names in the United States and other countries as well as certain common law trademarks and service marks. The current system for registering, allocating and managing domain names has been the subject of litigation and proposed regulatory reform. Additionally, legislative proposals have been made by the federal government that would afford broad protection to owners of databases of information, such as stock quotes. This protection of databases already exists in the European Union.</w:t>
      </w:r>
    </w:p>
    <w:p>
      <w:pPr>
        <w:spacing w:after="0" w:line="17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business could be harmed if unauthorized parties infringe upon or misappropriate our intellectual property, proprietary systems, content, platform, services or other information. Our efforts to protect our intellectual property through copyright, trademarks and other controls may not be adequate. For instance, we may not be able to secure trademark or service mark registrations for marks in the United States or in foreign countries, or to secure patents for our proprietary products and services, and even if we are successful in obtaining patent and/or trademark registrations, these registrations may be opposed or invalidated by a third party.</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There has been substantial litigation in the computer and online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 time-consuming, result in costly litigation, divert management’s attention, cause product release delays, require us to redesign our products, restrict our use of the intellectual property subject to such claim, or require us to enter into royalty or licensing agreements, any of which could have an adverse effect upon our business, financial condition and operating results. Such royalty and licensing agreements may not be available on terms acceptable to us, if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for infringing the intellectual property rights of others.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competitors may develop similar intellectual property, duplicate our products and/or services, or design around any patents or other intellectual property rights we hold. In the future, litigation may be necessary to enforce our intellectual property rights or to determine the validity and scope of the patents, intellectual property or other proprietary rights of third parties, which could be time consuming and costly and have an adverse effect on our business and financial condition. Intellectual property infringement claims could be made against us, especially as the number of our competitors grows. These claims, even if not meritorious, could be expensive and divert our attention from operating our company and result in a temporary inability to use the intellectual property subject to such claim. In addition, if we and/or our affiliates and customers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principal office is located in Nashville, Tennessee, which is primarily used to support our workforce solutions operations and corporate functions. Our lease for approximately 73,000 square feet at this location expires in April 2019. We also lease other facilities in Laurel, Maryland; Nashville, Tennessee; Jericho, New York; Brentwood, Tennessee; San Diego, California; Chicago, Illinois; Boulder, Colorado; and Pensacola, Florida. The facilities in Laurel, Maryland and Nashville, Tennessee are used to support our survey operations, while the other leased locations are principally satellite offices.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240" w:top="455" w:right="5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“HSTM”. Our common stock began trading on the NASDAQ National Market on April 14, 2000.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each quarter of the two most recent years, the high and low closing prices per share of our common stock as reported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Global Select Market: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 Price</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8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60" w:type="dxa"/>
            <w:vAlign w:val="bottom"/>
            <w:gridSpan w:val="4"/>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2"/>
                <w:szCs w:val="12"/>
                <w:color w:val="auto"/>
              </w:rPr>
            </w:pPr>
          </w:p>
        </w:tc>
        <w:tc>
          <w:tcPr>
            <w:tcW w:w="1400" w:type="dxa"/>
            <w:vAlign w:val="bottom"/>
            <w:gridSpan w:val="5"/>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2"/>
                <w:szCs w:val="12"/>
                <w:color w:val="auto"/>
              </w:rPr>
            </w:pPr>
          </w:p>
        </w:tc>
      </w:tr>
      <w:tr>
        <w:trPr>
          <w:trHeight w:val="142"/>
        </w:trPr>
        <w:tc>
          <w:tcPr>
            <w:tcW w:w="48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60" w:type="dxa"/>
            <w:vAlign w:val="bottom"/>
          </w:tcPr>
          <w:p>
            <w:pPr>
              <w:spacing w:after="0"/>
              <w:rPr>
                <w:sz w:val="12"/>
                <w:szCs w:val="12"/>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7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$22.35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$30.36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$24.63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26.58</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21.17</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31.91</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25.15</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27.65</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23.73</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32.14</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21.60</w:t>
            </w: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28.39</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22.06</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25.63</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21.31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13, 2017, the Company had a total of 9,547 shareholders, including 593 registered holders and 8,954 beneficial holders.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 February 2016, our Board of Directors authorized a share repurchase program for up to $25 million of our outstanding common stock. The share repurchase program terminated on December 31, 2016 and no share repurchases were made under the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anticipate paying cash dividends in the foreseeable future. We intend to retain earnings for use in the operation of our business.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See the table labeled “Securities Authorized for Issuance Under Equity Compensation Plans” to be contained in our 2017 Proxy Statement, incorporated by reference in Part III, Item 12 of this Annual Report on Form 10-K.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graph below compares HealthStream, Inc.’s cumulative total shareholder return on common stock with the cumulative total returns of companies on the NASDAQ Composite Index and the NASDAQ Computer &amp; Data Processing Index for each of the last five fiscal years ended December 31, 2016, assuming an initial investment of $100. Data for the NASDAQ Composite Index and the NASDAQ Computer &amp; Data Processing Index assume the reinvestment of dividends.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comparisons in the graph below are based on historical data and are not necessarily indicative of future performance of our common stock.</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xml:space="preserve">COMPARISON OF 5 YEAR CUMULATIVE TOTAL RETURN </w:t>
      </w:r>
      <w:r>
        <w:rPr>
          <w:rFonts w:ascii="Times New Roman" w:cs="Times New Roman" w:eastAsia="Times New Roman" w:hAnsi="Times New Roman"/>
          <w:sz w:val="15"/>
          <w:szCs w:val="15"/>
          <w:b w:val="1"/>
          <w:bCs w:val="1"/>
          <w:color w:val="auto"/>
        </w:rPr>
        <w:t>(1)</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Among HealthStream, Inc., The NASDAQ Composite Index</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And The NASDAQ Computer &amp; Data Processing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160020</wp:posOffset>
            </wp:positionV>
            <wp:extent cx="4690745" cy="3395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90745"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12/31/11 in stock or index, including reinvestment of dividends. Fiscal year ending December 31.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00"/>
          </w:cols>
          <w:pgMar w:left="240" w:top="455" w:right="3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selected statement of income and balance sheet data for the past five years are derived from our audited consolidated financial statements. You should read the following selected financial data in conjunction with our consolidated financial statements and the notes to those statements and “Management’s Discussion and Analysis of Financial Condition and Results of Operations” located elsewhere in this report.</w:t>
      </w:r>
    </w:p>
    <w:p>
      <w:pPr>
        <w:spacing w:after="0" w:line="176"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HealthStream acquired Decision Critical, Inc. on June 29, 2012, Sy.Med Development, Inc. on October 19, 2012, substantially all of the assets of BLG on September 9, 2013, HCCS on March 3, 2014, HLS on March 16, 2015, Performance Management Services, Inc. on June 30, 2016, acquired the remaining ownership interest in Nursing Registry Consultants Corporation on July 25, 2016, and MAI on August 8, 2016. The results of operations for these acquired companies are included within our consolidated statement of income data effective from the respective date of acquisition. Revenues may be subject to fluctuations as discussed further in “Management’s Discussion and Analysis of Financial Condition and Results of Operations” located elsewhere in this report. As a result of these factors, the annual results presented below are not comparable. The operating results for any single year are not necessarily indicative of the results to be expected in the future.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gridSpan w:val="9"/>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Pr>
          <w:p>
            <w:pPr>
              <w:spacing w:after="0"/>
              <w:rPr>
                <w:sz w:val="12"/>
                <w:szCs w:val="12"/>
                <w:color w:val="auto"/>
              </w:rPr>
            </w:pPr>
          </w:p>
        </w:tc>
        <w:tc>
          <w:tcPr>
            <w:tcW w:w="5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6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STATEMENT OF INCOME DATA:</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225,974</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209,002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170,690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132,274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103,732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220,407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195,445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154,315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117,608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90,273</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16,375</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14,666</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7,645</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30,436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27,663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27,507</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SHEET DATA:</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49,634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82,010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81,995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59,537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41,365</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53,540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66,976</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38,973</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48,659</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51,952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36,348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33,167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25,314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15,348</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188,129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139,039</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56,709</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44,616</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38,104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82,467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120,459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97,352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90,912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83,259</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396,000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379,569</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257,262</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212,594</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174,528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current and noncurrent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76,401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69,448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57,373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38,168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23,146</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286,108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280,320</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167,859</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149,433</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132,196</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following discussion of the financial condition and results of operations of HealthStream should be read in conjunction with “Selected Financial Data” and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those described under “Risk Factors” and elsewhere in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HealthStream provides workforce development, patient experience, and provider solutions for healthcare organizations—all designed to assess and develop the people that deliver patient care which, in turn, supports the improvement of business and clinical outcomes. Workforce Solutions products are used by healthcare organizations to meet a broad range of their training, certification, competency assessment, performance appraisal, and development needs. Patient Experience Solutions products provide our customers information about patients’ experiences and how to improve them, workforce engagement, physician relations, and community perceptions of their services. Provider Solutions products are used by healthcare organizations for provider credentialing, privileging, call center and enrollment needs. HealthStream’s customers include healthcare organizations, pharmaceutical and medical device companies, and other participants in the healthcare industry.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Revenues for the year ended December 31, 2016 were approximately $226.0 million compared to $209.0 million for the year ended December 31, 2015, an increase of 8%. Operating income decreased by 59% to $5.6 million for 2016, compared to $13.6 million for 2015. Net income decreased by 56% to $3.8 million for 2016, compared to $8.6 million for 2015. Earnings per share (EPS) were $0.12 per share (diluted) for 2016 compared to $0.28 per share (diluted) for 2015. Revenues from HealthStream Workforce Solutions grew by 4%, or $6.7 million; revenues from HealthStream Patient Experience Solutions declined by 1%, or $0.3 million; and revenues from HealthStream Provider Solutions grew by 78%, or $10.6 million. As of December 31, 2016, the Company had approximately 4.55 million total subscribers, of which approximately 4.47 million were fully implemented subscribers on its SaaS-based platform. Annualized revenue per implemented subscriber increased to $37.28 per subscriber at the end of 2016, up from $36.96 per subscriber at the end of 2015, representing a 1% increase. As of December 31, 2016 cash and investment balances approximated $103.2 million, and the Company maintained full availability under its $50.0 million revolving credit facility.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Revenues are recognized from subscription-based workforce development products and courseware subscriptions based on a per person subscription basis, and in some cases on a per license basis. Fees are based on the size of the facilities’ or organizations’ employee user population and the service offerings to which they subscribe. Subscription-based revenue is recognized ratably over the service period of the underlying contract. All other service revenues are recognized as the related services are performed or products are delivered.</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Revenues from provider solutions products are predominantly related to software licensing and support/maintenance renewals. Revenues derived from the license of installed software products are recognized using the residual method upon delivery of the software when vendor specific objective evidence (VSOE) of fair value for the undelivered elements within the contract can be established. For installed software products, if the Company cannot objectively determine the fair value of each undelivered element based on the VSOE of fair value, the Company defers revenue recognition until all elements are delivered, all services have been performed, or until fair value can be objectively determined. Software support and maintenance revenues are recognized ratably over the term of the related agreement.</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Revenues from patient experience services are recognized when survey results are delivered to customers via either Internet-based reporting throughout the survey period or by providing final survey results once all services are complete. A significant portion of revenues for survey and reporting services that are provided through the use of Internet-based reporting methodologies are recognized using the proportional performance method, reflecting recognition throughout the service period which corresponds with the survey cycle and reporting access by the customer, which typically ranges from one to five months. If survey results are delivered to the customer after all services have been completed, then the corresponding revenues are recognized in full in the period such results are provided to the customer. Coaching and consulting revenues are generally recognized using the proportional performance method as these services are performed throughout the contract term. All other revenues are recognized as the related services are performed or products are delivered to the customer. Revenues for these services can be subject to seasonal factors based on customers’ requirements that can impact the timing, frequency, and volume of survey cycles.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Revenues from professional services primarily include consulting and courseware development services. Fees are based on the time and efforts involved, and revenue is recognized upon completion of performance milestones using the proportional performance method.</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offers training services for clients to facilitate integration of its software solutions. Fees for training are based on the time and efforts of the personnel involved. Basic online training is generally included in the initial contract; however, incremental training is fee based and revenues are generally recognized upon completion of training services.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periodically assesses the realizability of its deferred tax assets, and to the extent that we believe a recovery is not likely, we establish a valuation allowance to reduce the deferred tax asset to the amount we estimate will be recoverable. The Company maintains a valuation allowance of approximately $654,000 for the portion of its deferred tax assets that are not more likely than not expected to be realized.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Capitalized software development includes costs to develop and maintain our products and applications, including our SaaS-based workforce development platform products and our survey reporting applications, which are accounted for as internal use software. For internal use software development, once planning is completed and the software development process begins, internal costs and payments to third parties associated with the software development efforts are capitalized when the life expectancy is greater than one year and the anticipated cash flows are expected to exceed the cost of the related asset. During 2016 and 2015, we capitalized approximately $10.0 million and $7.3 million, respectively, for software development. Such amounts are included in the accompanying consolidated balance sheets under the caption “capitalized software development.” The Company amortizes capitalized software development costs over their expected life, which is generally three to five years. Capitalized software development costs are subject to a periodic impairment review in accordance with our impairment review policy. In connection with capitalized software development, significant estimates involve the assessment of the development period for new products and feature enhancements, as well as the expected useful life of underlying software, feature enhancements, or product created. Once capitalized, software development costs are subject to the policies and estimates described below regarding goodwill, intangibles and other long-lived assets.</w:t>
      </w:r>
    </w:p>
    <w:p>
      <w:pPr>
        <w:sectPr>
          <w:pgSz w:w="11900" w:h="16838" w:orient="portrait"/>
          <w:cols w:equalWidth="0" w:num="1">
            <w:col w:w="11400"/>
          </w:cols>
          <w:pgMar w:left="240" w:top="455" w:right="259" w:bottom="1008" w:gutter="0" w:footer="0" w:header="0"/>
        </w:sectPr>
      </w:pP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008"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Intangibles and Other Long-lived Assets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evaluates goodwill for impairment at the reporting unit level by assessing whether it is more likely than not that the fair value of a reporting unit exceeds its carrying value. If this assessment concludes that is more likely than not that the fair value of a reporting unit exceeds its carrying value, then goodwill is not considered impaired and no further impairment testing is required. Conversely,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the reporting units using both income and market based models. Our models contain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assessment whenever events or changes in facts or circumstances indicate that impairment may exist and also during the fourth quarter each year. Intangible assets and other long-lived assets are also reviewed for events or changes in facts and circumstances, both internally and externally, which may indicate an impairment is present. We measure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estimates the allowance for doubtful accounts using both a specific and non-specific identification method. Management’s evaluation includes reviewing past due accounts on a case-by-case basis, and determining whether an account should be reserved, based on the facts and circumstances surrounding each potentially uncollectible account. An allowance is also maintained for accounts not specifically identified that may become uncollectible in the future. Uncollectible accounts are written-off in the period management believes it has exhausted every opportunity to collect payment from the customer. Bad debt expense is recorded when events or circumstances indicate an additional allowance is necessary based on our specific and non-specific identification approach. Our allowance for doubtful accounts totaled approximately $863,000 as of December 31, 2016.</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 recognizes compensation expense using a fair-value based method for costs related to share based payments including stock options and restricted share units. Measurement of such compensation expense requires significant estimation and assumptions; however, we believe that the Black Scholes option pricing model used for calculating the fair value of our stock based compensation plans provides a reasonable measurement methodology using a framework that is widely adopted.</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December 31, 2016, the Company had three stock incentive plans under which awards were outstanding, which qualified as stock based compensation plans. During the years ended December 31, 2016, 2015, and 2014, approximately $2.0 million, $3.3 million, and $1.6 million of stock based compensation expense was recorded, respectively. The Company has historically granted equity based awards to both its management group and members of the Company’s board of directors on an annual basis under stockholder-approved plans, and expects to continue providing equity awards to these groups for the foreseeable future. The Company also provides grants of equity based awards when new members of the management group begin their employment, or when new members join the Company’s board of directors. As of December 31, 2016, total future compensation cost related to non-vested awards not yet recognized was approximately $3.1 million net of estimated forfeitures, with a weighted average expense recognition period of 2.4 years. Future compensation expense recognition for new equity based award grants will vary depending on the timing and size of new awards granted, changes in the market price or volatility of our common stock, changes in risk-free interest rates, or if actual forfeitures vary significantly from initial estimates.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descriptions of the components of revenues and expenses apply to the comparison of results of operations.</w:t>
      </w:r>
    </w:p>
    <w:p>
      <w:pPr>
        <w:spacing w:after="0" w:line="22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for our HealthStream Workforce Solutions business segment primarily consist of the following products and services: provision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through our SaaS-based platform, authoring tools, a variety of courseware subscriptions, competency and performance appraisal tools, implementation and consulting services, content development, online sales training courses (RepDirect™), HospitalDirect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SimVentures, and a variety of other educational activities to serve professionals that work within healthcare organizations. Revenues for our HealthStream Patient Experience Solutions business segment consist of quality and satisfaction surveys, data analyses of survey results, coaching/consulting services, and other research-based measurement tools focused on patients, employees, physicians, and other members of the community. Revenues for our HealthStream Provider Solutions business segment consist of proprietary software applications to help facilitate provider credentialing, privileging, call center and enrollment administration for healthcare organizations.</w:t>
      </w:r>
    </w:p>
    <w:p>
      <w:pPr>
        <w:spacing w:after="0" w:line="18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(excluding depreciation and amortization) consists primarily of salaries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benefits, stock based 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customer surveys, handle customer support calls or inquiries, manage the technology infrastructure for our hosted applications, manage content and survey services, coordinate content maintenance services, and provide training or implementation services.</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consists primarily of salaries and employee benefits, contract labor, stock based compensation, costs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development of new software feature enhancements, new products, and costs associated with maintaining and developing our platform products. Personnel costs within product development include our systems, application development, and quality assurance teams, product managers, and other personnel associated with software and product development.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consists primarily of salaries, commissions and employee benefits, stock based compensation, employee travel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lodging, advertising, trade shows, promotions, and related marketing costs. We have historically hosted a national customer conference in Nashville, Tennessee known as “Summit,” a significant portion of the costs of which are included in sales and marketing expenses. Personnel costs within sales and marketing include our sales teams and marketing personnel.</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consist primarily of salaries and employee benefits, stock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employee travel and lodging, facility costs, office expenses, fees for professional services, business development and acquisition related costs, and other operational expenses. Personnel costs within general and administrative expenses include individuals associated with normal corporate functions (accounting, legal, business development, human resources, administrative, internal information systems, and executive management).</w:t>
      </w:r>
    </w:p>
    <w:p>
      <w:pPr>
        <w:spacing w:after="0" w:line="180"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consist of fixed asset depreciation, amortization of intangibles considered to have definite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lives, and amortization of capitalized software development.</w:t>
      </w:r>
    </w:p>
    <w:p>
      <w:pPr>
        <w:spacing w:after="0" w:line="15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The primary component of other income is interest income related to interest earned on cash, cash equivalents and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marketable securities. The primary component of other expense is interest expense related to our revolving credit facility. In addition, the income or loss attributed to equity method investments is included in this category.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Compared to 2015</w:t>
      </w:r>
    </w:p>
    <w:p>
      <w:pPr>
        <w:spacing w:after="0" w:line="227"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approximately $16.9 million, or 8%, to $225.9 million for 2016 from $209.0 million for 2015. A comparison of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business segment is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by Business Segment:</w:t>
            </w:r>
          </w:p>
        </w:tc>
        <w:tc>
          <w:tcPr>
            <w:tcW w:w="20" w:type="dxa"/>
            <w:vAlign w:val="bottom"/>
            <w:vMerge w:val="restart"/>
          </w:tcPr>
          <w:p>
            <w:pPr>
              <w:spacing w:after="0"/>
              <w:rPr>
                <w:sz w:val="13"/>
                <w:szCs w:val="13"/>
                <w:color w:val="auto"/>
              </w:rPr>
            </w:pPr>
          </w:p>
        </w:tc>
        <w:tc>
          <w:tcPr>
            <w:tcW w:w="66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794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$168,040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$161,293</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12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33,850</w:t>
            </w: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34,189</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12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24,084</w:t>
            </w: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13,520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225,974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209,002</w:t>
            </w:r>
          </w:p>
        </w:tc>
        <w:tc>
          <w:tcPr>
            <w:tcW w:w="5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41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4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74%</w:t>
            </w:r>
          </w:p>
        </w:tc>
        <w:tc>
          <w:tcPr>
            <w:tcW w:w="21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41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15%</w:t>
            </w:r>
          </w:p>
        </w:tc>
        <w:tc>
          <w:tcPr>
            <w:tcW w:w="21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4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w:t>
            </w:r>
          </w:p>
        </w:tc>
        <w:tc>
          <w:tcPr>
            <w:tcW w:w="21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7%</w:t>
            </w:r>
          </w:p>
        </w:tc>
      </w:tr>
    </w:tbl>
    <w:p>
      <w:pPr>
        <w:spacing w:after="0" w:line="112" w:lineRule="exact"/>
        <w:rPr>
          <w:sz w:val="20"/>
          <w:szCs w:val="20"/>
          <w:color w:val="auto"/>
        </w:rPr>
      </w:pPr>
    </w:p>
    <w:p>
      <w:pPr>
        <w:sectPr>
          <w:pgSz w:w="11900" w:h="16838" w:orient="portrait"/>
          <w:cols w:equalWidth="0" w:num="1">
            <w:col w:w="11420"/>
          </w:cols>
          <w:pgMar w:left="240" w:top="45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Revenues for HealthStream Workforce Solutions, which are primarily subscription-based, increased approximately $6.7 million, or 4%, over 2015. Revenues in 2016 were positively influenced by growth in courseware subscriptions and our enterprise applications, but were partially offset by an expected decline in ICD-10 readiness revenues. Revenues from ICD-10 readiness products declined by $18.2 million to $8.5 million in 2016 compared to $26.7 million in 2015. The requirement mandated by CMS for healthcare organizations to transition to the ICD-10 coding system was effective in October 2015, and generated significant demand for our ICD-10 readiness training courseware from 2012 through 2015. However, as a result of the effectiveness of such mandate in October 2015, sales of that product have ceased and there will not be renewals of the specific ICD-10 readiness product. Our Workforce Solutions annualized revenue per implemented subscriber increased by 1%, to $37.28 per subscriber at the end of 2016 compared to $36.96 per subscriber at the end of 2015. Implemented subscribers decreased by less than 1% during 2016 to 4.47 million subscribers at the end of 2016 compared to 4.48 million subscribers at the end of 2015. Additionally, total subscribers decreased by less than 2%, with 4.55 million total subscribers at December 31, 2016 compared to 4.62 million total subscribers at December 31, 2015.</w:t>
      </w:r>
    </w:p>
    <w:p>
      <w:pPr>
        <w:spacing w:after="0" w:line="18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Revenues for HealthStream Patient Experience Solutions decreased approximately $343,000, or 1%, compared to 2015. Revenues from Patient Insights™ surveys, our survey research product that generates recurring revenues, decreased by $239,000, or 1% compared to 2015. The decline in our patient survey revenues is partially due to changes in product mix, such as the adoption of our e-survey products, which have both lower revenue and cost per survey than our traditional phone survey products. Revenues from other products, including surveys conducted on annual or bi-annual cycles and consulting/coaching services, collectively decreased by $101,000, or 1%, compared to 2015.</w:t>
      </w:r>
    </w:p>
    <w:p>
      <w:pPr>
        <w:spacing w:after="0" w:line="18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Revenues for HealthStream Provider Solutions increased approximately $10.6 million, or 78%, over 2015. Revenues from both the HLS and MAI acquisitions, which were consummated in March 2015 and August 2016, respectively, accounted for the majority of the increase in revenues during 2016. Revenues from the MAI acquisition, which was consummated on August 8, 2016, were approximately $2.6 million during 2016.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approximately $7.2 million, or 8%, to $96.6 million for 2016 from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$89.4 million for 2015. Cost of revenues as a percentage of revenues was approximately 43% of revenues for both 2016 and 2015. Cost of revenues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HealthStream Workforce Solutions increased approximately $3.8 million to $67.4 million and approximated 40% and 39% of revenues for HealthStream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Workforce Solutions for 2016 and 2015, respectively. The increase in both amount and as a percentage of revenues is primarily associated with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royalties paid by us resulting from growth in courseware subscription revenues, increased personnel costs, and other support costs. The increase was partially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a decrease in stock based compensation. Cost of revenues for HealthStream Patient Experience Solutions decreased approximately $697,000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$21.7 million and approximated 64% and 65% of revenues for HealthStream Patient Experience Solutions for 2016 and 2015, respectively. The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is primarily associated with lower personnel costs and stock based compensation. Cost of revenues for HealthStream Provider Solutions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$4.1 million to $7.6 million and approximated 32% and 26% of HealthStream Provider Solutions revenues for 2016 and 2015,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amount and as a percentage of revenues is primarily the result of increased personnel and related costs, including additional personnel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approximately $4.7 million, or 19%, to $28.9 million for 2016 from $24.2 million for 2015.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development expenses as a percentage of revenues were approximately 13% and 12% of revenues for 2016 and 2015, respectively.</w:t>
      </w:r>
    </w:p>
    <w:p>
      <w:pPr>
        <w:spacing w:after="0" w:line="20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Product development expenses for HealthStream Workforce Solutions increased approximately $1.0 million and approximated 12% of revenues for HealthStream Workforce Solutions for both 2016 and 2015. The increase in amount is due to additional personnel expenses associated with new product development initiatives for our subscription-based products. This increase was partially offset by lower stock based compensation. Product development expenses for HealthStream Patient Experience Solutions increased approximately $2.3 million and approximated 14% and 7% of revenues for HealthStream Patient Experience Solutions for 2016 and 2015, respectively. The increase in both amount and as a percentage of revenue is due to additional personnel expenses associated with new product development initiatives. Product development expenses for HealthStream Provider Solutions increased approximately $1.3 million and approximated 16% and 18% of revenues for HealthStream Provider Solutions for 2016 and 2015, respectively. The increase in amount is primarily the result of increased personnel costs, including additional personnel from MAI.</w:t>
      </w:r>
    </w:p>
    <w:p>
      <w:pPr>
        <w:spacing w:after="0" w:line="18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approximately $3.4 million, or 10%, to $39.0 million for 2016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$35.6 million for 2015. Sales and marketing expenses were approximately 17% of revenues for both 2016 and 2015.</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Sales and marketing expenses for HealthStream Workforce Solutions increased approximately $1.6 million and approximated 17% of revenues for HealthStream Workforce Solutions for both 2016 and 2015. The increase in amount is mainly due to additional personnel, sales commissions, and increased marketing spending. Sales and marketing expenses for HealthStream Patient Experience Solutions decreased approximately $446,000, and approximated 12% and 13% of revenues for HealthStream Patient Experience Solutions for 2016 and 2015, respectively. The decrease in both amount and as a percentage of revenues is primarily due to reduced marketing personnel and related costs. Sales and marketing expenses for HealthStream Provider Solutions increased approximately $1.7 million, and approximated 22% and 26% of revenues for HealthStream Provider Solutions for 2016 and 2015, respectively. The increase in amount is primarily the result of increased personnel costs, sales commissions, and marketing spending. The unallocated corporate portion of sales and marketing expenses increased by $584,000 primarily due to additional marketing personnel and related costs.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increased approximately $4.4 million, or 15%, to $33.7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from $29.3 million for 2015. Other general and administrative expenses as a percentage of revenues were approximately 15% and 14% of revenues for 2016 and 2015, respectively.</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Other general and administrative expenses for HealthStream Workforce Solutions increased approximately $1.4 million over 2015 primarily associated with increased technology infrastructure investments. Other general and administrative expenses for HealthStream Patient Experience Solutions increased approximately $443,000 over 2015 due to additional personnel and facility costs. Other general and administrative expenses for HealthStream Provider Solutions increased approximately $1.3 million over 2015 primarily associated with increased personnel expenses and facility costs, including costs associated with the MAI acquisition. The unallocated corporate portion of other general and administrative expenses increased approximately $1.3 million over 2015, primarily associated with additional personnel and related costs, higher due diligence costs of approximately $260,000, and costs associated with the implementation of a new financial systems platform of approximately $600,000, which was substantially completed during the second quarter of 2016.</w:t>
      </w:r>
    </w:p>
    <w:p>
      <w:pPr>
        <w:spacing w:after="0" w:line="187" w:lineRule="exact"/>
        <w:rPr>
          <w:sz w:val="20"/>
          <w:szCs w:val="20"/>
          <w:color w:val="auto"/>
        </w:rPr>
      </w:pPr>
    </w:p>
    <w:p>
      <w:pPr>
        <w:jc w:val="both"/>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approximately $5.2 million, or 31%, to $22.2 million for 2016 from $17.0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2015. The increase primarily resulted from amortization of capitalized software development, amortization of intangible assets from recent acquisitions (including amortization of software acquired for resale), and depreciation expense associated with capital expenditures.</w:t>
      </w:r>
    </w:p>
    <w:p>
      <w:pPr>
        <w:spacing w:after="0" w:line="17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was income of approximately $581,000 for 2016 compared to $162,000 for 2015. The increase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associated with a gain recorded in relation to the acquisition of all of the remaining outstanding stock of Nursing Registry Consultants Corporation (See Note 5 in the Notes to Consolidated Financial Statements for further discussion), an increase in interest income from investments in marketable securities and lower interest expense.</w:t>
      </w:r>
    </w:p>
    <w:p>
      <w:pPr>
        <w:spacing w:after="0" w:line="18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approximately $2.4 million for 2016 compared to $5.1 million for 2015.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effective tax rate was approximately 39% for 2016 compared to approximately 37% for 2015. The decrease in income tax expense during 2016 is attributable to lower taxable income compared to the prior year period.</w:t>
      </w:r>
    </w:p>
    <w:p>
      <w:pPr>
        <w:spacing w:after="0" w:line="17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decreased approximately $4.8 million, or 56%, to $3.8 million for 2016 compared to $8.6 million for 2015. The decrease resulted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factors mentioned above. Earnings per diluted share were $0.12 per share for 2016 compared to $0.28 per diluted share for 2015.</w:t>
      </w:r>
    </w:p>
    <w:p>
      <w:pPr>
        <w:spacing w:after="0" w:line="160"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Adjusted EBITDA (a non-GAAP financial measure which we define as net income before interest, income taxes, stock based compensation, and depreciation and amortization) decreased approximately 12% to approximately $29.9 million for 2016 compared to $33.8 million for 2015. The decrease resulted from the factors mentioned above. See Reconciliation of Non-GAAP Financial Measures below for our reconciliation of this calculation to measures under US GAAP.</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Compared to 2014</w:t>
      </w:r>
    </w:p>
    <w:p>
      <w:pPr>
        <w:spacing w:after="0" w:line="227" w:lineRule="exact"/>
        <w:rPr>
          <w:sz w:val="20"/>
          <w:szCs w:val="20"/>
          <w:color w:val="auto"/>
        </w:rPr>
      </w:pPr>
    </w:p>
    <w:p>
      <w:pPr>
        <w:jc w:val="both"/>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approximately $38.3 million, or 22%, to $209.0 million for 2015 from $170.7 million for 2014. A comparison of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business segment is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by Business Segment:</w:t>
            </w:r>
          </w:p>
        </w:tc>
        <w:tc>
          <w:tcPr>
            <w:tcW w:w="60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6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vMerge w:val="restart"/>
          </w:tcPr>
          <w:p>
            <w:pPr>
              <w:spacing w:after="0"/>
              <w:rPr>
                <w:sz w:val="13"/>
                <w:szCs w:val="13"/>
                <w:color w:val="auto"/>
              </w:rPr>
            </w:pPr>
          </w:p>
        </w:tc>
        <w:tc>
          <w:tcPr>
            <w:tcW w:w="7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1960" w:type="dxa"/>
            <w:vAlign w:val="bottom"/>
            <w:tcBorders>
              <w:bottom w:val="single" w:sz="8" w:color="auto"/>
            </w:tcBorders>
            <w:vMerge w:val="continue"/>
          </w:tcPr>
          <w:p>
            <w:pPr>
              <w:spacing w:after="0"/>
              <w:rPr>
                <w:sz w:val="15"/>
                <w:szCs w:val="15"/>
                <w:color w:val="auto"/>
              </w:rPr>
            </w:pPr>
          </w:p>
        </w:tc>
        <w:tc>
          <w:tcPr>
            <w:tcW w:w="600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6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$161,289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$134,242</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9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34,193</w:t>
            </w:r>
          </w:p>
        </w:tc>
        <w:tc>
          <w:tcPr>
            <w:tcW w:w="15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31,901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9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13,520</w:t>
            </w:r>
          </w:p>
        </w:tc>
        <w:tc>
          <w:tcPr>
            <w:tcW w:w="15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4,547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3"/>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209,002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170,690</w:t>
            </w:r>
          </w:p>
        </w:tc>
        <w:tc>
          <w:tcPr>
            <w:tcW w:w="5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41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4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77%</w:t>
            </w:r>
          </w:p>
        </w:tc>
        <w:tc>
          <w:tcPr>
            <w:tcW w:w="21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4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c>
          <w:tcPr>
            <w:tcW w:w="21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4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w:t>
            </w:r>
          </w:p>
        </w:tc>
        <w:tc>
          <w:tcPr>
            <w:tcW w:w="21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2%</w:t>
            </w:r>
          </w:p>
        </w:tc>
      </w:tr>
    </w:tbl>
    <w:p>
      <w:pPr>
        <w:spacing w:after="0" w:line="1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Revenues for HealthStream Workforce Solutions increased approximately $27.0 million, or 20%, over 2014. Revenues from our subscription-based workforce products increased by $26.0 million, or 20% over 2014 due to a higher number of subscribers and more courseware consumption by subscribers. Annualized revenue per implemented subscriber increased by 7%, to $36.96 per subscriber at the end of 2015 compared to $34.43 per subscriber at the end of 2014. Implemented subscribers increased by 9% to 4.48 million subscribers at the end of 2015 compared to 4.15 million subscribers at the end of 2014. Additionally, total subscribers increased by 8%, with 4.62 million total subscribers at December 31, 2015 compared to 4.28 million total subscribers at December 31, 2014.</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Revenues for HealthStream Patient Experience Solutions increased approximately $2.3 million, or 7%, over 2014. Revenues from Patient Insights™ surveys, our survey research product that generates recurring revenues, increased approximately $2.8 million, or 12%, over 2014, primarily due to growth in survey volumes over the prior year. Revenues from other products, including surveys conducted on annual or bi-annual cycles and consulting/coaching services, collectively decreased by $554,000 or 7%, compared to 2014 due to fewer engagements.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Revenues for HealthStream Provider Solutions increased approximately $9.0 million, or 197%, over 2014. Revenues from the HLS acquisition, which was consummated on March 16, 2015, were approximately $8.5 million during 2015. Revenues from other products increased by approximately $431,000, or 9% over 2014.</w:t>
      </w:r>
    </w:p>
    <w:p>
      <w:pPr>
        <w:spacing w:after="0" w:line="1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approximately $15.3 million, or 21%, to $89.4 million for 2015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$74.1 million for 2014. Cost of revenues as a percentage of revenues was approximately 43% of revenues for both 2015 and 2014. Cost of revenues for HealthStream Workforce Solutions increased approximately $10.3 million to $63.5 million and approximated 39% and 40% of revenues for HealthStream Workforce Solutions for 2015 and 2014, respectively. The increase in both amount and as a percentage of revenues is primarily associated with increased royalties paid by us resulting from growth in courseware subscription revenues, as well as increases in personnel expenses, stock based compensation, and other support costs. Cost of revenues for HealthStream Patient Experience Solutions increased approximately $2.2 million to $22.4 million and approximated 65% and 63% of revenues for HealthStream Patient Experience Solutions for 2015 and 2014, respectively. The increase in both amount and as a percentage of revenues is primarily the result of increased personnel costs, including personnel to support the growth in patient survey volume over the prior year, and increased stock based compensation. Cost of revenues for HealthStream Provider Solutions increased approximately $2.8 million to $3.5 million, and approximated 26% and 16% of revenues for HealthStream Provider Solutions for 2015 and 2014, respectively. The increase in both amount and as a percentage of revenue is primarily the result of the HLS acquisition.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approximately $7.8 million, or 47%, to $24.2 million for 2015 from $16.5 million for 2014.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development expenses as a percentage of revenues were approximately 12% and 10% of revenues for 2015 and 2014, respectively.</w:t>
      </w:r>
    </w:p>
    <w:p>
      <w:pPr>
        <w:spacing w:after="0" w:line="20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Product development expenses for HealthStream Workforce Solutions increased approximately $4.8 million and approximated 12% and 11% of revenues for HealthStream Workforce for 2015 and 2014, respectively. The increase in both amount and as a percentage of revenues is due to additional personnel expenses associated with new product development initiatives for our subscription-based products, as well as increased stock based compensation. Product development expenses for HealthStream Patient Experience Solutions increased approximately $1.0 million and approximated 7% and 4% of revenues for HealthStream Patient Experience Solutions in 2015 and 2014, respectively. The increase in both amount and as a percentage of revenues is due to additional personnel and related expenses compared to the prior year period. Product development expenses for HealthStream Provider Solutions increased approximately $2.0 million and approximated 18% and 11% of revenues for HealthStream Provider Solutions for 2015 and 2014, respectively. The increase in both amount and as a percentage of revenues is due primarily to the HLS acquisition.</w:t>
      </w:r>
    </w:p>
    <w:p>
      <w:pPr>
        <w:spacing w:after="0" w:line="18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approximately $5.7 million, or 19%, to $35.6 million for 2015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$29.9 million for 2014. Sales and marketing expenses as a percentage of revenues were approximately 17% and 18% of revenues for 2015 and 2014, respectively.</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Sales and marketing expenses for HealthStream Workforce Solutions increased approximately $5.1 million and approximated 17% and 16% of revenues for HealthStream Workforce Solutions for 2015 and 2014, respectively. The increase in both amount and as a percentage of revenues is primarily due to additional personnel and related expenses, commissions, and expenses associated with our customer Summit, increased marketing spending, and increased stock based compensation. Sales and marketing expenses for HealthStream Patient Experience Solutions decreased approximately $1.7 million, and approximated 13% and 19% of revenues for HealthStream Patient Experience Solutions for 2015 and 2014, respectively. The decrease in amount and as a percentage of revenues is primarily due to fewer account management personnel compared to the prior year. Sales and marketing expenses for HealthStream Provider Solutions increased approximately $2.2 million and approximated 26% and 30% of revenues for HealthStream Provider Solutions for 2015 and 2014, respectively. The increase in amount is primarily due to the HLS acquisition.</w:t>
      </w:r>
    </w:p>
    <w:p>
      <w:pPr>
        <w:spacing w:after="0" w:line="183"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increased approximately $6.4 million, or 28%, to $29.3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from $22.9 million for 2014. Other general and administrative expenses as a percentage of revenues were approximately 14% and 13% of revenues for 2015 and 2014, respectively.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Other general and administrative expenses for HealthStream Workforce Solutions increased approximately $253,000 over the prior year. The increase is primarily due to the HCCS acquisition, additional personnel, and increased other support costs. Other general and administrative expenses for HealthStream Patient Experience Solutions increased approximately $305,000 compared to the prior year period primarily due to increased facilities costs for a new patient interview center in Nashville, Tennessee. Other general and administrative expenses for HealthStream Provider Solutions increased approximately $2.1 million compared to the prior year period primarily due to the HLS acquisition. The unallocated corporate portion of other general and administrative expenses increased approximately $3.7 million over the prior year period, primarily associated with additional personnel, professional fees, stock based compensation, and other general expenses, as well as higher acquisition costs during 2015 than in 2014. Acquisition costs during 2015 approximated $1.1 million, of which $965,000 were associated with the HLS acquisition. Acquisition costs during 2014 approximated $762,000, of which $329,000 were associated with the HLS acquisition and $365,000 were associated with the HCCS acquisition.</w:t>
      </w:r>
    </w:p>
    <w:p>
      <w:pPr>
        <w:spacing w:after="0" w:line="187"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approximately $6.1 million, or 55%, to $17.0 million for 2015 from $10.9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2014. The increase primarily resulted from amortization of capitalized software development, amortization of intangible assets in relation to the acquisition of HLS, and depreciation expense associated with capital expenditures.</w:t>
      </w:r>
    </w:p>
    <w:p>
      <w:pPr>
        <w:spacing w:after="0" w:line="174"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approximately $162,000 for 2015 compared to $146,000 for 2014. The increase is attributable to both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from investments in marketable securities and a gain on disposal of long lived assets, but was partially offset by higher interest expense from borrowings under a revolving credit facility during 2015 and losses from equity method investments.</w:t>
      </w:r>
    </w:p>
    <w:p>
      <w:pPr>
        <w:spacing w:after="0" w:line="174"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approximately $5.1 million for 2015 compared to approximately $6.1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2014. The Company’s effective tax rate was approximately 37% for both 2015 and 2014. The decrease in income tax expense during 2015 is attributable to lower taxable income compared to the prior year period.</w:t>
      </w:r>
    </w:p>
    <w:p>
      <w:pPr>
        <w:spacing w:after="0" w:line="17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decreased approximately $1.8 million, or 17%, to $8.6 million for 2015 from $10.4 million for 2014. This decrease was driven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set forth above. Earnings per diluted share were $0.28 per share for 2015, compared to $0.37 per diluted share for 2014.</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Adjusted EBITDA (a non-GAAP financial measure which we define as net income before interest, income taxes, stock-based compensation, and depreciation and amortization) increased by 17% to approximately $33.8 million for 2015 compared to $28.9 million for 2014. This improvement was driven by the factors mentioned above. See Reconciliation of Non-GAAP Financial Measures in Management’s Discussion and Analysis of Financial Condition and Results of Operations for a reconciliation of this calculation to measures under US GAAP and disclosure regarding why we believe Adjusted EBITDA provides useful information to investors.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report contains certain non-GAAP financial measures, including non-GAAP net income, non-GAAP operating income, and adjusted EBITDA, which are used by management in analyzing the Company’s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order to better assess the Company’s financial results, management believes that adjusted EBITDA is a useful measure for evaluating the operating performance of the Company because adjusted EBITDA reflects net income adjusted for certain non-cash and non-operating items. The Company believes that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understands that, although adjusted EBITDA is frequently used by investors and securities analysts in their evaluation of companies, this measure has limitations as an analytical tool, and should not be considered in isolation, or as a substitute for an analysis of the Company’s results as reported under US GAAP.</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Management addresses these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recent years, including the March 2014 acquisition of HCCS, the March 2015 acquisition of HLS, and the August 2016 acquisition of MAI, the Company has acquired businesses whose net tangible assets include deferred revenue. In accordance with GAAP reporting requirements, following the completion of any such acquisition, the Company may record a write-down of deferred revenue to fair value as defined in GAAP. If the Company is required to record a write-down of deferred revenue, it may result in lower recognized revenue, operating income and net income in subsequent periods.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therewith, this report presents below non-GAAP revenues, non-GAAP operating income and non-GAAP net income, which in each such case reflects the corresponding GAAP figures adjusted to exclude the impact of the deferred revenue write-down</w:t>
      </w:r>
    </w:p>
    <w:p>
      <w:pPr>
        <w:sectPr>
          <w:pgSz w:w="11900" w:h="16838" w:orient="portrait"/>
          <w:cols w:equalWidth="0" w:num="1">
            <w:col w:w="11420"/>
          </w:cols>
          <w:pgMar w:left="240" w:top="455" w:right="239" w:bottom="1440"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associated with fair value accounting for acquired businesses as referenced above. Management believes that the presentation of these non-GAAP financial measures assists investors in understanding the Company’s performance between periods by excluding the impact of this deferred revenue write-down and provides a useful measure of the ongoing performance of the Company. Both on a quarterly and year-to-date basis, the revenue for the acquired business is deferred and typically recognized over a one-to-two year period following the completion of any particular acquisition, so our GAAP revenues for this one-to-two year period will not reflect the full amount of revenues that would have been reported if the acquired deferred revenue was not written down to fair value. A reconciliation of these non-GAAP financial measures to the corresponding GAAP measures is set forth below.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5"/>
                <w:szCs w:val="15"/>
                <w:color w:val="auto"/>
              </w:rPr>
            </w:pP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188</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5,098</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3,280</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22,207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16,997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29,851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33,783</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28,868</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GAAP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13,557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 for deferred revenue write-down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6,822</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23"/>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20,379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8,621</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 for deferred revenue write-down, net of tax</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12,908</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 FOR 2017</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provides projections and other forward-looking information in this “Financial Outlook for 2017” section within “Management’s Discussion and Analysis of Financial Condition and Results of Operations.” This section contains many forward-looking statements, particularly relating to the Company’s future financial performance. These forward-looking statements are estimates based on information currently available to the Company, are made pursuant to the safe harbor provisions of the Private Securities Litigation Reform Act of 1995 and are subject to the precautionary statements set forth in the introduction in Part I of this Annual Report on Form 10-K and the risks and uncertainties described in Item 1A, Risk Factors and elsewhere in this document. Actual results are likely to differ, and in the past have differed, materially from those forecast by the Company, depending on the outcome of various factors, including, but not limited to, those set forth in Item 1A, Risk Factors.</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For 2017, we anticipate that consolidated revenues will grow 10 to 14 percent as compared to 2016. We anticipate that revenue growth in our Workforce Solutions segment will be in the three to seven percent range and five to eight percent in our Patient Experience Solutions segment. We anticipate our Provider Solutions segment’s revenue to grow 66 to 72 percent as compared to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operating income for 2017 to increase between 50 and 65 percent as compared to 2016.</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anticipate that capital expenditures will be between $15 million and $17 million during 2017. We expect the annual effective income tax rate to range between 39 percent and 41 percent for 2017.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guidance does not include the impact from any acquisitions that we may complete during 2017.</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QUARTERLY OPERATING RESULTS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tables set forth selected statements of income data for each of the four quarters in the periods ended December 31, 2016 and December 31, 2015, respectively. The information for each quarter has been prepared on the same basis as the audited statements included in other parts of this report and, in our opinion, includes all adjustments, consisting of only normal recurring adjustments, necessary for a fair presentation of the results of operations for these periods. You should read this information in conjunction with HealthStream’s Consolidated Financial Statements and related notes thereto included elsewhere in this report. The operating results for any quarter are not necessarily indicative of the results to be expected in the future.</w:t>
      </w:r>
    </w:p>
    <w:p>
      <w:pPr>
        <w:spacing w:after="0" w:line="18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Revenues from our subscription-based products are recognized ratably over the subscription term. Survey and research revenues are impacted by seasonal factors resulting from the volume, timing, and frequency of survey cycles.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8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0"/>
                <w:szCs w:val="10"/>
                <w:color w:val="auto"/>
              </w:rPr>
            </w:pPr>
          </w:p>
        </w:tc>
        <w:tc>
          <w:tcPr>
            <w:tcW w:w="96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40" w:type="dxa"/>
            <w:vAlign w:val="bottom"/>
            <w:gridSpan w:val="5"/>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11"/>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INCOME DATA:</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3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$ 54,078</w:t>
            </w:r>
          </w:p>
        </w:tc>
        <w:tc>
          <w:tcPr>
            <w:tcW w:w="10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$54,793</w:t>
            </w:r>
          </w:p>
        </w:tc>
        <w:tc>
          <w:tcPr>
            <w:tcW w:w="320" w:type="dxa"/>
            <w:vAlign w:val="bottom"/>
          </w:tcPr>
          <w:p>
            <w:pPr>
              <w:spacing w:after="0"/>
              <w:rPr>
                <w:sz w:val="18"/>
                <w:szCs w:val="18"/>
                <w:color w:val="auto"/>
              </w:rPr>
            </w:pPr>
          </w:p>
        </w:tc>
        <w:tc>
          <w:tcPr>
            <w:tcW w:w="220" w:type="dxa"/>
            <w:vAlign w:val="bottom"/>
            <w:gridSpan w:val="2"/>
          </w:tcPr>
          <w:p>
            <w:pPr>
              <w:jc w:val="center"/>
              <w:ind w:right="6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58,367</w:t>
            </w:r>
          </w:p>
        </w:tc>
        <w:tc>
          <w:tcPr>
            <w:tcW w:w="3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3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51,592</w:t>
            </w: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52,477</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57,081</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0" w:type="dxa"/>
            <w:vAlign w:val="bottom"/>
            <w:gridSpan w:val="3"/>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center"/>
              <w:ind w:right="6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1,162</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Net income (loss) per share </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16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gridSpan w:val="3"/>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center"/>
              <w:ind w:right="6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gridSpan w:val="2"/>
          </w:tcPr>
          <w:p>
            <w:pPr>
              <w:jc w:val="center"/>
              <w:ind w:right="6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3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31,666</w:t>
            </w:r>
          </w:p>
        </w:tc>
        <w:tc>
          <w:tcPr>
            <w:tcW w:w="100" w:type="dxa"/>
            <w:vAlign w:val="bottom"/>
          </w:tcPr>
          <w:p>
            <w:pPr>
              <w:spacing w:after="0"/>
              <w:rPr>
                <w:sz w:val="18"/>
                <w:szCs w:val="18"/>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31,736</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31,739</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31,974</w:t>
            </w:r>
          </w:p>
        </w:tc>
        <w:tc>
          <w:tcPr>
            <w:tcW w:w="10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32,071</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32,107</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6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4"/>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0" w:type="dxa"/>
            <w:vAlign w:val="bottom"/>
          </w:tcPr>
          <w:p>
            <w:pPr>
              <w:spacing w:after="0"/>
              <w:rPr>
                <w:sz w:val="10"/>
                <w:szCs w:val="10"/>
                <w:color w:val="auto"/>
              </w:rPr>
            </w:pPr>
          </w:p>
        </w:tc>
        <w:tc>
          <w:tcPr>
            <w:tcW w:w="1200" w:type="dxa"/>
            <w:vAlign w:val="bottom"/>
            <w:gridSpan w:val="4"/>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c>
          <w:tcPr>
            <w:tcW w:w="8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1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INCOME DATA:</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42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$ 47,156</w:t>
            </w:r>
          </w:p>
        </w:tc>
        <w:tc>
          <w:tcPr>
            <w:tcW w:w="118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$52,145</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53,835</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55,866</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42,366</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49,581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49,510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53,988</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gridSpan w:val="3"/>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2,614</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Net income per share </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68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27,703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w w:val="96"/>
              </w:rPr>
              <w:t>29,234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31,643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31,646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28,068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29,617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32,029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32,031</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10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Due to the nature of interim earnings per share calculations, the sum of quarterly earnings per share amounts may not equal the reported earnings per share for the full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$24.2 million during 2016 and $34.9 million during 2015. The primary sources of cash were generated from receipts from the sales of our products and services. The decrease in cash flows from operating activities was significantly impacted by increases in accounts receivable, resulting from slower collections in our Provider Solutions segment, as well as reduced deferred revenue balances compared to the prior year. The number of days sales outstanding (DSO) was 66 days for 2016 and 61 days for 2015. The Company calculates DSO by dividing the average accounts receivable balance (excluding unbilled and other receivables) by average daily revenues for the year.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approximately $56.7 million during 2016 and $134.9 million during 2015. During 2016, the Company utilized $55.3 million (net of cash acquired) for acquisitions, purchased $107.0 million of marketable securities, spent $9.7 million for capitalized software development, and purchased $5.1 million of property and equipment. These uses of cash were partially offset by maturities of marketable securities of $119.4 million and proceeds from the sale of long lived assets of $975,000. During 2015, the Company utilized $88.1 million (net of cash acquired) for business combinations, purchased $84.2 million of marketable securities, spent $7.3 million for capitalized software development, purchased $8.1 million of property and equipment, and made $2.0 million in non-marketable equity investments. These uses of cash were partially offset by maturities of marketable securities of $54.8 million.</w:t>
      </w:r>
    </w:p>
    <w:p>
      <w:pPr>
        <w:sectPr>
          <w:pgSz w:w="11900" w:h="16838" w:orient="portrait"/>
          <w:cols w:equalWidth="0" w:num="1">
            <w:col w:w="11420"/>
          </w:cols>
          <w:pgMar w:left="240" w:top="455" w:right="2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was approximately $46,000 during 2016 and $100.0 million during 2015. During 2016, the primary source of cash from financing activities resulted from $217,000 of excess tax benefits from equity awards and $145,000 from the exercise of employee stock options. The primary uses of cash during 2016 related to $316,000 for payments of payroll taxes from stock based compensation arrangements. During 2015, the primary sources of cash from financing activities resulted from $98.0 million in proceeds from the issuance of 3.9 million shares of our common stock in our underwritten public offering that was completed on May 28, 2015, $3.0 million of excess tax benefits from equity awards, and $328,000 of proceeds from the exercise of employee stock options. The primary uses of cash during 2015 related to payments of payroll taxes from stock based compensation arrangements of $756,000 and earn-outs for prior business combinations of $633,000.</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balance sheet reflects positive working capital of $82.5 million at December 31, 2016 compared to $120.4 million at December 31, 2015. The decrease in working capital was primarily due to the use of cash to fund acquisitions of approximately $55.3 million and slower collections from customers resulting in higher accounts receivable balances. The Company’s primary source of liquidity is $103.2 million of cash and cash equivalents and marketable securities. The Company also has a $50.0 million revolving credit facility loan agreement, all of which was available at December 31, 2016.</w:t>
      </w:r>
    </w:p>
    <w:p>
      <w:pPr>
        <w:spacing w:after="0" w:line="180"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growth strategy includes acquiring businesses that provide complementary product and services. It is anticipated that future acquisitions,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The revolving credit facility contains financial covenants and availability calculations designed to set a maximum leverage ratio of outstanding debt to consolidated EBITDA (as defined in our credit facility) and an interest coverage ratio of consolidated EBITDA to interest expense. Therefore, the maximum borrowings against the revolving credit facility would be dependent on the covenant values at the time of borrowing. As of December 31, 2016, the Company was in material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off-balance sheet arrangements primarily consist of operating leases, contractual obligations, and our revolving credit facility, which is described further in Note 13 to the Company’s consolidated financial statements contained elsewhere in this report.</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future anticipated payments due by the Company under contractual obligations with firm minimum commitments as of December 31, 2016, excluding amounts already recorded in the consolidated balance sheets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3"/>
                <w:szCs w:val="13"/>
                <w:color w:val="auto"/>
              </w:rPr>
            </w:pPr>
          </w:p>
        </w:tc>
        <w:tc>
          <w:tcPr>
            <w:tcW w:w="22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40" w:type="dxa"/>
            <w:vAlign w:val="bottom"/>
            <w:gridSpan w:val="2"/>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2"/>
                <w:szCs w:val="12"/>
                <w:color w:val="auto"/>
              </w:rPr>
            </w:pPr>
          </w:p>
        </w:tc>
        <w:tc>
          <w:tcPr>
            <w:tcW w:w="620" w:type="dxa"/>
            <w:vAlign w:val="bottom"/>
            <w:gridSpan w:val="2"/>
          </w:tcPr>
          <w:p>
            <w:pPr>
              <w:jc w:val="center"/>
              <w:ind w:left="59"/>
              <w:spacing w:after="0" w:line="149" w:lineRule="exact"/>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280" w:type="dxa"/>
            <w:vAlign w:val="bottom"/>
          </w:tcPr>
          <w:p>
            <w:pPr>
              <w:spacing w:after="0"/>
              <w:rPr>
                <w:sz w:val="12"/>
                <w:szCs w:val="12"/>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2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$6,242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$1,853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$15,887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6,303</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1,853</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(Topic 606)</w:t>
      </w:r>
      <w:r>
        <w:rPr>
          <w:rFonts w:ascii="Times New Roman" w:cs="Times New Roman" w:eastAsia="Times New Roman" w:hAnsi="Times New Roman"/>
          <w:sz w:val="18"/>
          <w:szCs w:val="18"/>
          <w:color w:val="auto"/>
        </w:rPr>
        <w:t>, which supersedes the revenue recognition requirements in Topic 605,</w:t>
      </w:r>
      <w:r>
        <w:rPr>
          <w:rFonts w:ascii="Times New Roman" w:cs="Times New Roman" w:eastAsia="Times New Roman" w:hAnsi="Times New Roman"/>
          <w:sz w:val="18"/>
          <w:szCs w:val="18"/>
          <w:i w:val="1"/>
          <w:iCs w:val="1"/>
          <w:color w:val="auto"/>
        </w:rPr>
        <w:t xml:space="preserve"> Revenue Recognition</w:t>
      </w:r>
      <w:r>
        <w:rPr>
          <w:rFonts w:ascii="Times New Roman" w:cs="Times New Roman" w:eastAsia="Times New Roman" w:hAnsi="Times New Roman"/>
          <w:sz w:val="18"/>
          <w:szCs w:val="18"/>
          <w:color w:val="auto"/>
        </w:rPr>
        <w:t>, and most industry-specific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2017, and the Company currently anticipates adopting the standard using the modified retrospective approach effective January 1, 2018. The Company is in the process of implementing the standard, and has identified several key provisions that may result in changes to current accounting policies, systems and processes, and internal controls, including but not limited to the following: 1) Determining the relative selling price for software-as-a-service agreements, software licenses, software maintenance, and professional services in order to assign value to the separate performance obligations within a contract. Certain existing right to use arrangements are recognized over time because VSOE cannot be established, but may result in earlier revenue recognition under the new standard. 2) Capitalizing costs to acquire contracts, such as sales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commissions, is not a current accounting policy; therefore we expect historical sales commissions, which have been expensed as incurred, will need to be evaluated for capitalization; 3) Ensuring the Company’s financial systems can record, calculate, summarize, and report the necessary information required by the standard, which will require additional investments in technology and resources. The Company is not currently able to quantify the financial impact of the Company’s adoption of this accounting standard on its future consolidated financial statements, but does anticipate adjustments to retained earnings upon adoption.</w:t>
      </w:r>
    </w:p>
    <w:p>
      <w:pPr>
        <w:spacing w:after="0" w:line="18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requires lessees to recognize assets and liabilities for most leases. The recognition, measurement and presentation of expenses and cash flows arising from a lease by a lessee is not expected to significantly change under such guidance; however, the Company is currently reviewing this standard to determine the method of adoption and to assess the impact on its future consolidated financial statements. The standard will be effective for the first interim period within annual reporting periods beginning after December 15, 2018, and early adoption is permitted.</w:t>
      </w:r>
    </w:p>
    <w:p>
      <w:pPr>
        <w:spacing w:after="0" w:line="18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which serves to simplify several aspects of the accounting for share-based payment transactions, including the income tax consequences, classification of awards as either equity or liabilities, and classification on the statement of cash flows. The standard will be effective for the first interim period within annual reporting periods beginning after December 15, 2016, and early adoption is permitted in any interim or annual period. The Company does not expect the adoption will have a material effect on its future consolidated financial statements.</w:t>
      </w:r>
    </w:p>
    <w:p>
      <w:pPr>
        <w:spacing w:after="0" w:line="18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2016-01, </w:t>
      </w:r>
      <w:r>
        <w:rPr>
          <w:rFonts w:ascii="Times New Roman" w:cs="Times New Roman" w:eastAsia="Times New Roman" w:hAnsi="Times New Roman"/>
          <w:sz w:val="18"/>
          <w:szCs w:val="18"/>
          <w:i w:val="1"/>
          <w:iCs w:val="1"/>
          <w:color w:val="auto"/>
        </w:rPr>
        <w:t>Financial Instruments – Overall (Sub Topic 825-10)</w:t>
      </w:r>
      <w:r>
        <w:rPr>
          <w:rFonts w:ascii="Times New Roman" w:cs="Times New Roman" w:eastAsia="Times New Roman" w:hAnsi="Times New Roman"/>
          <w:sz w:val="18"/>
          <w:szCs w:val="18"/>
          <w:color w:val="auto"/>
        </w:rPr>
        <w:t>, which addresses certain aspects of the recognition, measurement, presentation, and disclosure of financial instruments. The guidance will, among other things, require equity method investments (except those accounted for under the equity method of accounting or those that result in consolidation of the investee) to be measured at fair value with changes in fair value recognized in net income. The standard will be effective for the first interim period within annual reporting periods beginning after December 15, 2017, and early adoption is permitted for only limited aspects of such guidance. The Company is currently reviewing this standard to determine the method of adoption and to assess the impact on its future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exposed to market risk from changes in interest rates. We do not have any foreign currency exchange rate risk or commodity price risk. As of December 31, 2016,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exposed to market risk with respect to our cash and investment balances, which approximated $103.2 million at December 31, 2016. Assuming a hypothetical 10% decrease in interest rates, interest income from cash and investments would decrease on an annualized basis by approximately $80,000.</w:t>
      </w:r>
    </w:p>
    <w:p>
      <w:pPr>
        <w:spacing w:after="0" w:line="18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00" w:type="dxa"/>
            <w:vAlign w:val="bottom"/>
            <w:gridSpan w:val="7"/>
            <w:vMerge w:val="restart"/>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Reports of Independent Registered Public Accounting Firm</w:t>
              </w:r>
            </w:hyperlink>
          </w:p>
        </w:tc>
        <w:tc>
          <w:tcPr>
            <w:tcW w:w="660" w:type="dxa"/>
            <w:vAlign w:val="bottom"/>
            <w:vMerge w:val="restart"/>
          </w:tcPr>
          <w:p>
            <w:pPr>
              <w:spacing w:after="0"/>
              <w:rPr>
                <w:sz w:val="14"/>
                <w:szCs w:val="14"/>
                <w:color w:val="auto"/>
              </w:rPr>
            </w:pPr>
          </w:p>
        </w:tc>
        <w:tc>
          <w:tcPr>
            <w:tcW w:w="616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81"/>
        </w:trPr>
        <w:tc>
          <w:tcPr>
            <w:tcW w:w="4300" w:type="dxa"/>
            <w:vAlign w:val="bottom"/>
            <w:tcBorders>
              <w:bottom w:val="single" w:sz="8" w:color="0000EE"/>
            </w:tcBorders>
            <w:gridSpan w:val="7"/>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160" w:type="dxa"/>
            <w:vAlign w:val="bottom"/>
          </w:tcPr>
          <w:p>
            <w:pPr>
              <w:spacing w:after="0"/>
              <w:rPr>
                <w:sz w:val="15"/>
                <w:szCs w:val="15"/>
                <w:color w:val="auto"/>
              </w:rPr>
            </w:pPr>
          </w:p>
        </w:tc>
        <w:tc>
          <w:tcPr>
            <w:tcW w:w="3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Consolidated Balance Sheets</w:t>
              </w:r>
            </w:hyperlink>
          </w:p>
        </w:tc>
        <w:tc>
          <w:tcPr>
            <w:tcW w:w="2860" w:type="dxa"/>
            <w:vAlign w:val="bottom"/>
            <w:gridSpan w:val="7"/>
          </w:tcPr>
          <w:p>
            <w:pPr>
              <w:spacing w:after="0"/>
              <w:rPr>
                <w:sz w:val="17"/>
                <w:szCs w:val="17"/>
                <w:color w:val="auto"/>
              </w:rPr>
            </w:pPr>
          </w:p>
        </w:tc>
        <w:tc>
          <w:tcPr>
            <w:tcW w:w="6460" w:type="dxa"/>
            <w:vAlign w:val="bottom"/>
            <w:gridSpan w:val="2"/>
          </w:tcPr>
          <w:p>
            <w:pPr>
              <w:ind w:left="616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Consolidated Statements of Income</w:t>
              </w:r>
            </w:hyperlink>
          </w:p>
        </w:tc>
        <w:tc>
          <w:tcPr>
            <w:tcW w:w="2380" w:type="dxa"/>
            <w:vAlign w:val="bottom"/>
            <w:gridSpan w:val="6"/>
          </w:tcPr>
          <w:p>
            <w:pPr>
              <w:spacing w:after="0"/>
              <w:rPr>
                <w:sz w:val="17"/>
                <w:szCs w:val="17"/>
                <w:color w:val="auto"/>
              </w:rPr>
            </w:pPr>
          </w:p>
        </w:tc>
        <w:tc>
          <w:tcPr>
            <w:tcW w:w="6460" w:type="dxa"/>
            <w:vAlign w:val="bottom"/>
            <w:gridSpan w:val="2"/>
          </w:tcPr>
          <w:p>
            <w:pPr>
              <w:ind w:left="616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4960" w:type="dxa"/>
            <w:vAlign w:val="bottom"/>
            <w:gridSpan w:val="8"/>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Consolidated Statements of Comprehensive Income</w:t>
              </w:r>
            </w:hyperlink>
          </w:p>
        </w:tc>
        <w:tc>
          <w:tcPr>
            <w:tcW w:w="6460" w:type="dxa"/>
            <w:vAlign w:val="bottom"/>
            <w:gridSpan w:val="2"/>
          </w:tcPr>
          <w:p>
            <w:pPr>
              <w:ind w:left="616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Consolidated Statements of Shareholders’ Equity</w:t>
              </w:r>
            </w:hyperlink>
          </w:p>
        </w:tc>
        <w:tc>
          <w:tcPr>
            <w:tcW w:w="180" w:type="dxa"/>
            <w:vAlign w:val="bottom"/>
            <w:tcBorders>
              <w:top w:val="single" w:sz="8" w:color="0000EE"/>
            </w:tcBorders>
          </w:tcPr>
          <w:p>
            <w:pPr>
              <w:spacing w:after="0"/>
              <w:rPr>
                <w:sz w:val="17"/>
                <w:szCs w:val="17"/>
                <w:color w:val="auto"/>
              </w:rPr>
            </w:pPr>
          </w:p>
        </w:tc>
        <w:tc>
          <w:tcPr>
            <w:tcW w:w="1220" w:type="dxa"/>
            <w:vAlign w:val="bottom"/>
            <w:gridSpan w:val="2"/>
          </w:tcPr>
          <w:p>
            <w:pPr>
              <w:spacing w:after="0"/>
              <w:rPr>
                <w:sz w:val="17"/>
                <w:szCs w:val="17"/>
                <w:color w:val="auto"/>
              </w:rPr>
            </w:pPr>
          </w:p>
        </w:tc>
        <w:tc>
          <w:tcPr>
            <w:tcW w:w="6460" w:type="dxa"/>
            <w:vAlign w:val="bottom"/>
            <w:gridSpan w:val="2"/>
          </w:tcPr>
          <w:p>
            <w:pPr>
              <w:ind w:left="616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Consolidated Statements of Cash Flows</w:t>
              </w:r>
            </w:hyperlink>
          </w:p>
        </w:tc>
        <w:tc>
          <w:tcPr>
            <w:tcW w:w="2080" w:type="dxa"/>
            <w:vAlign w:val="bottom"/>
            <w:gridSpan w:val="5"/>
          </w:tcPr>
          <w:p>
            <w:pPr>
              <w:spacing w:after="0"/>
              <w:rPr>
                <w:sz w:val="17"/>
                <w:szCs w:val="17"/>
                <w:color w:val="auto"/>
              </w:rPr>
            </w:pPr>
          </w:p>
        </w:tc>
        <w:tc>
          <w:tcPr>
            <w:tcW w:w="6460" w:type="dxa"/>
            <w:vAlign w:val="bottom"/>
            <w:gridSpan w:val="2"/>
          </w:tcPr>
          <w:p>
            <w:pPr>
              <w:ind w:left="616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4960" w:type="dxa"/>
            <w:vAlign w:val="bottom"/>
            <w:gridSpan w:val="8"/>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Notes to Consolidated Financial Statements</w:t>
              </w:r>
            </w:hyperlink>
          </w:p>
        </w:tc>
        <w:tc>
          <w:tcPr>
            <w:tcW w:w="6460" w:type="dxa"/>
            <w:vAlign w:val="bottom"/>
            <w:gridSpan w:val="2"/>
          </w:tcPr>
          <w:p>
            <w:pPr>
              <w:ind w:left="616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60" w:type="dxa"/>
            <w:vAlign w:val="bottom"/>
          </w:tcPr>
          <w:p>
            <w:pPr>
              <w:jc w:val="right"/>
              <w:ind w:right="523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HealthStream, Inc.</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HealthStream, Inc. as of December 31, 2016 and 2015, and the related consolidated statements of income, comprehensive income, shareholders’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HealthStream, Inc. at December 31, 2016 and 2015, and the consolidated results of its operations and its cash flows for each of the three years in the period ended December 31, 2016, in conformity with U.S. generally accepted accounting principles.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HealthStream, Inc.’s internal control over financial reporting as of December 31, 2016,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and our report dated February 27, 2017 expressed an unqualified opinion thereon.</w:t>
      </w:r>
    </w:p>
    <w:p>
      <w:pPr>
        <w:spacing w:after="0" w:line="180"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2017</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20"/>
          </w:cols>
          <w:pgMar w:left="240" w:top="455"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HealthStream, Inc.</w:t>
      </w:r>
    </w:p>
    <w:p>
      <w:pPr>
        <w:spacing w:after="0" w:line="20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We have audited HealthStream, Inc.’s internal control over financial reporting as of December 31, 2016,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issued by the Committee of Sponsoring Organizations of the Treadway Commission (2013 framework) (the COSO criteria).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HealthStream,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8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our opinion, HealthStream, Inc. maintained, in all material respects, effective internal control over financial reporting as of December 31, 2016, based on the COSO criteria.</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2016 consolidated financial statements of HealthStream, Inc. and our report dated February 27, 2017 expressed an unqualified opinion thereon.</w:t>
      </w:r>
    </w:p>
    <w:p>
      <w:pPr>
        <w:spacing w:after="0" w:line="16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2017</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r>
      <w:tr>
        <w:trPr>
          <w:trHeight w:val="196"/>
        </w:trPr>
        <w:tc>
          <w:tcPr>
            <w:tcW w:w="9200" w:type="dxa"/>
            <w:vAlign w:val="bottom"/>
            <w:shd w:val="clear" w:color="auto" w:fill="CCEEFF"/>
          </w:tcPr>
          <w:p>
            <w:pPr>
              <w:ind w:left="410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49,634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82,010</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53,540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66,976</w:t>
            </w:r>
          </w:p>
        </w:tc>
      </w:tr>
      <w:tr>
        <w:trPr>
          <w:trHeight w:val="198"/>
        </w:trPr>
        <w:tc>
          <w:tcPr>
            <w:tcW w:w="92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$863 and $303 at December 31, 2016 and 2015,</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44,805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36,348</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 unbilled</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1,998</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royalties, net of amortization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18,183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14,036</w:t>
            </w:r>
          </w:p>
        </w:tc>
      </w:tr>
      <w:tr>
        <w:trPr>
          <w:trHeight w:val="223"/>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00" w:type="dxa"/>
            <w:vAlign w:val="bottom"/>
          </w:tcPr>
          <w:p>
            <w:pPr>
              <w:spacing w:after="0"/>
              <w:rPr>
                <w:sz w:val="19"/>
                <w:szCs w:val="19"/>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177,437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209,537</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10,245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12,471</w:t>
            </w:r>
          </w:p>
        </w:tc>
      </w:tr>
      <w:tr>
        <w:trPr>
          <w:trHeight w:val="198"/>
        </w:trPr>
        <w:tc>
          <w:tcPr>
            <w:tcW w:w="9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Capitalized software development, net of accumulated amortization of $31,787 and $24,130 at December 31, 2016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9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2015, respectively</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16,310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13,955</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109,765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83,073</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of $16,445 and $8,685 at December 31, 2016 and 2015, respectively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78,364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55,966</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Non-marketable equity investments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3,640</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603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w:t>
            </w:r>
          </w:p>
        </w:tc>
      </w:tr>
      <w:tr>
        <w:trPr>
          <w:trHeight w:val="223"/>
        </w:trPr>
        <w:tc>
          <w:tcPr>
            <w:tcW w:w="9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396,000</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379,569</w:t>
            </w:r>
          </w:p>
        </w:tc>
        <w:tc>
          <w:tcPr>
            <w:tcW w:w="10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4,616</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royalties</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13,161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9,053</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7,003</w:t>
            </w: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3,308</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68,542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65,098</w:t>
            </w:r>
          </w:p>
        </w:tc>
      </w:tr>
      <w:tr>
        <w:trPr>
          <w:trHeight w:val="223"/>
        </w:trPr>
        <w:tc>
          <w:tcPr>
            <w:tcW w:w="9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94,970</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89,078</w:t>
            </w:r>
          </w:p>
        </w:tc>
        <w:tc>
          <w:tcPr>
            <w:tcW w:w="10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4,763</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4,350</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9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no par value, 75,000 shares authorized; 31,748 and 31,647 shares issued and outstanding at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9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2016 and 2015, respectively</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280,813</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278,799</w:t>
            </w:r>
          </w:p>
        </w:tc>
      </w:tr>
      <w:tr>
        <w:trPr>
          <w:trHeight w:val="216"/>
        </w:trPr>
        <w:tc>
          <w:tcPr>
            <w:tcW w:w="9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1,591</w:t>
            </w:r>
          </w:p>
        </w:tc>
      </w:tr>
      <w:tr>
        <w:trPr>
          <w:trHeight w:val="223"/>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2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286,108</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280,320</w:t>
            </w:r>
          </w:p>
        </w:tc>
        <w:tc>
          <w:tcPr>
            <w:tcW w:w="100" w:type="dxa"/>
            <w:vAlign w:val="bottom"/>
            <w:shd w:val="clear" w:color="auto" w:fill="CCEEFF"/>
          </w:tcPr>
          <w:p>
            <w:pPr>
              <w:spacing w:after="0"/>
              <w:rPr>
                <w:sz w:val="18"/>
                <w:szCs w:val="18"/>
                <w:color w:val="auto"/>
              </w:rPr>
            </w:pPr>
          </w:p>
        </w:tc>
      </w:tr>
      <w:tr>
        <w:trPr>
          <w:trHeight w:val="223"/>
        </w:trPr>
        <w:tc>
          <w:tcPr>
            <w:tcW w:w="9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396,000</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379,569</w:t>
            </w:r>
          </w:p>
        </w:tc>
        <w:tc>
          <w:tcPr>
            <w:tcW w:w="10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9"/>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0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225,974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209,002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170,690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96,634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89,386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development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24,214</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39,004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35,589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29,259</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16,997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220,407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195,445</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154,315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13,557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13,719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10,394</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31,721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30,057</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30,436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300" w:type="dxa"/>
            <w:vAlign w:val="bottom"/>
            <w:gridSpan w:val="8"/>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318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9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3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$8,621</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2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6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6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26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3,774</w:t>
            </w: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8,588</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10,388</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84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3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jc w:val="center"/>
              <w:ind w:right="3550"/>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27,327</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$166,888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10,394</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in acquisition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benefits from equity awards</w:t>
            </w:r>
          </w:p>
        </w:tc>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 withheld for</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jc w:val="center"/>
              <w:ind w:right="3570"/>
              <w:spacing w:after="0"/>
              <w:rPr>
                <w:sz w:val="20"/>
                <w:szCs w:val="20"/>
                <w:color w:val="auto"/>
              </w:rPr>
            </w:pPr>
            <w:r>
              <w:rPr>
                <w:rFonts w:ascii="Times New Roman" w:cs="Times New Roman" w:eastAsia="Times New Roman" w:hAnsi="Times New Roman"/>
                <w:sz w:val="18"/>
                <w:szCs w:val="18"/>
                <w:color w:val="auto"/>
              </w:rPr>
              <w:t>employee taxes</w:t>
            </w: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268</w:t>
            </w:r>
          </w:p>
        </w:tc>
        <w:tc>
          <w:tcPr>
            <w:tcW w:w="3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23"/>
        </w:trPr>
        <w:tc>
          <w:tcPr>
            <w:tcW w:w="5860" w:type="dxa"/>
            <w:vAlign w:val="bottom"/>
          </w:tcPr>
          <w:p>
            <w:pPr>
              <w:jc w:val="center"/>
              <w:ind w:right="355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98,014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98,014</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donated to Company</w:t>
            </w: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(54)</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benefits from equity awards</w:t>
            </w:r>
          </w:p>
        </w:tc>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 withheld for</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jc w:val="center"/>
              <w:ind w:right="3570"/>
              <w:spacing w:after="0"/>
              <w:rPr>
                <w:sz w:val="20"/>
                <w:szCs w:val="20"/>
                <w:color w:val="auto"/>
              </w:rPr>
            </w:pPr>
            <w:r>
              <w:rPr>
                <w:rFonts w:ascii="Times New Roman" w:cs="Times New Roman" w:eastAsia="Times New Roman" w:hAnsi="Times New Roman"/>
                <w:sz w:val="18"/>
                <w:szCs w:val="18"/>
                <w:color w:val="auto"/>
              </w:rPr>
              <w:t>employee taxes</w:t>
            </w: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154</w:t>
            </w:r>
          </w:p>
        </w:tc>
        <w:tc>
          <w:tcPr>
            <w:tcW w:w="3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23"/>
        </w:trPr>
        <w:tc>
          <w:tcPr>
            <w:tcW w:w="5860" w:type="dxa"/>
            <w:vAlign w:val="bottom"/>
          </w:tcPr>
          <w:p>
            <w:pPr>
              <w:jc w:val="center"/>
              <w:ind w:right="3550"/>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278,799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101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benefits from equity awards</w:t>
            </w:r>
          </w:p>
        </w:tc>
        <w:tc>
          <w:tcPr>
            <w:tcW w:w="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 withheld for</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jc w:val="center"/>
              <w:ind w:right="3570"/>
              <w:spacing w:after="0"/>
              <w:rPr>
                <w:sz w:val="20"/>
                <w:szCs w:val="20"/>
                <w:color w:val="auto"/>
              </w:rPr>
            </w:pPr>
            <w:r>
              <w:rPr>
                <w:rFonts w:ascii="Times New Roman" w:cs="Times New Roman" w:eastAsia="Times New Roman" w:hAnsi="Times New Roman"/>
                <w:sz w:val="18"/>
                <w:szCs w:val="18"/>
                <w:color w:val="auto"/>
              </w:rPr>
              <w:t>employee taxes</w:t>
            </w:r>
          </w:p>
        </w:tc>
        <w:tc>
          <w:tcPr>
            <w:tcW w:w="9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5860" w:type="dxa"/>
            <w:vAlign w:val="bottom"/>
          </w:tcPr>
          <w:p>
            <w:pPr>
              <w:jc w:val="center"/>
              <w:ind w:right="3550"/>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280,813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gridSpan w:val="8"/>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9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8,621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22,207</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16,997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3,280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tax benefits from equity awards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(3,008)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loss on non-marketable equity investments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sale of long-lived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 net of business combinations: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and unbilled receivables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Prepaid royalties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Accrued royalties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Accrued liabilities, accrued compensation and related expenses, and other long-term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3,075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24,234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34,917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34,256</w:t>
            </w:r>
          </w:p>
        </w:tc>
        <w:tc>
          <w:tcPr>
            <w:tcW w:w="0" w:type="dxa"/>
            <w:vAlign w:val="bottom"/>
          </w:tcPr>
          <w:p>
            <w:pPr>
              <w:spacing w:after="0"/>
              <w:rPr>
                <w:sz w:val="1"/>
                <w:szCs w:val="1"/>
                <w:color w:val="auto"/>
              </w:rPr>
            </w:pPr>
          </w:p>
        </w:tc>
      </w:tr>
      <w:tr>
        <w:trPr>
          <w:trHeight w:val="223"/>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(55,255)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(88,075)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119,395</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54,799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9"/>
              </w:rPr>
              <w:t>(106,965)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(84,228)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Payments to acquire equity method investments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to acquire cost method investments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Proceeds for sale of long lived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associated with capitalized software development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(9,721)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(7,265)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(8,094)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(56,656)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(134,863)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(15,541)</w:t>
            </w:r>
          </w:p>
        </w:tc>
        <w:tc>
          <w:tcPr>
            <w:tcW w:w="0" w:type="dxa"/>
            <w:vAlign w:val="bottom"/>
          </w:tcPr>
          <w:p>
            <w:pPr>
              <w:spacing w:after="0"/>
              <w:rPr>
                <w:sz w:val="1"/>
                <w:szCs w:val="1"/>
                <w:color w:val="auto"/>
              </w:rPr>
            </w:pPr>
          </w:p>
        </w:tc>
      </w:tr>
      <w:tr>
        <w:trPr>
          <w:trHeight w:val="223"/>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98,014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borrowings under revolving line of credit facility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Repayments under revolving line of credit facility</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(28,000)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benefits from equity awards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3,008</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earn-outs related to business combinations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99,961</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(32,376)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81,995</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49,634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82,010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81,995</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paid</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Income taxes paid</w:t>
            </w: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 from sale of long-lived assets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stock in connection with business combinations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right="6540" w:firstLine="8"/>
        <w:spacing w:after="0" w:line="378" w:lineRule="auto"/>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Reporting Entity and Segments</w:t>
      </w:r>
    </w:p>
    <w:p>
      <w:pPr>
        <w:ind w:right="60"/>
        <w:spacing w:after="0" w:line="255" w:lineRule="auto"/>
        <w:rPr>
          <w:sz w:val="20"/>
          <w:szCs w:val="20"/>
          <w:color w:val="auto"/>
        </w:rPr>
      </w:pPr>
      <w:r>
        <w:rPr>
          <w:rFonts w:ascii="Times New Roman" w:cs="Times New Roman" w:eastAsia="Times New Roman" w:hAnsi="Times New Roman"/>
          <w:sz w:val="18"/>
          <w:szCs w:val="18"/>
          <w:color w:val="auto"/>
        </w:rPr>
        <w:t>HealthStream, Inc. (the “Company”) was incorporated in 1990 as a Tennessee corporation and is headquartered in Nashville, Tennessee. The Company operates in three segments: HealthStream Workforce Solutions, HealthStream Patient Experience Solutions, and HealthStream Provider Solutions. Workforce Solutions products consist of SaaS-based services and subscription-based solutions to meet the ongoing training, certification, assessment and development needs of the healthcare community. These solutions provide, deliver and track computer based education for our customers in the United States through our software-as-a-service (SaaS) model. Patient Experience products offer healthcare organizations a wide range of quality and satisfaction surveys, consulting services, analyses of survey results, and other research-based services. Provider Solutions products offer healthcare organizations software applications for administering and tracking provider credentialing, privileging, call center and enrollment.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 (“ASU”) 2015-16, </w:t>
      </w:r>
      <w:r>
        <w:rPr>
          <w:rFonts w:ascii="Times New Roman" w:cs="Times New Roman" w:eastAsia="Times New Roman" w:hAnsi="Times New Roman"/>
          <w:sz w:val="18"/>
          <w:szCs w:val="18"/>
          <w:i w:val="1"/>
          <w:iCs w:val="1"/>
          <w:color w:val="auto"/>
        </w:rPr>
        <w:t>Business Combinations (Topic 805)</w:t>
      </w:r>
      <w:r>
        <w:rPr>
          <w:rFonts w:ascii="Times New Roman" w:cs="Times New Roman" w:eastAsia="Times New Roman" w:hAnsi="Times New Roman"/>
          <w:sz w:val="18"/>
          <w:szCs w:val="18"/>
          <w:color w:val="auto"/>
        </w:rPr>
        <w:t xml:space="preserve"> in January 2016. Under the provisions of the revised guidance, acquirers in a business combination must recognize adjustments to provisional amounts that are identified during the measurement period in the reporting period in which the adjustment amounts are determined. The acquirer must record, in the same period’s financial statements, the effect on earnings of changes in depreciation, amortization, or other income effects, if any, as a result of the change to the provisional amounts, calculated as if the accounting had been completed at the acquisition date. The Company recorded a measurement period adjustment during the period ended March 31, 2016. See Note 5 Business Combinations for further discussion.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Recognition of Revenue</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Revenues are derived from providing services through our SaaS-based workforce development platform products, courseware subscriptions, provision of survey and research services, sales of software licensing arrangements, software maintenance and support, professional services, custom courseware development and other education and training services.</w:t>
      </w:r>
    </w:p>
    <w:p>
      <w:pPr>
        <w:spacing w:after="0" w:line="176"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it is realized or realizable and earned. The Company considers revenue realized or realizable and earned when persuasive evidence of an arrangement exists, prices are fixed or determinable, services and products are provided to the customer and collectability is probable or reasonably assured.</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Revenue recognized from software and other arrangements is allocated to each element of the arrangement based on the relative fair values of the elements. While elements include software products and post contract customer support, the fair value of each element is based on vendor specific objective evidence (VSOE). For installed software products, if fair value cannot be determined for each undelivered element of the arrangement, all revenue from the arrangement is deferred until fair value can be determined or until all elements of the arrangement are delivered and customer acceptance has occurred. Sales of the Company’s SaaS-based workforce development platform products include customer support, implementation services, and training; therefore all revenues are deferred until the SaaS-based product is implemented, at which time revenues are recognized ratably over the subscription service period. In the event that circumstances occur, which give rise to uncertainty regarding the collectibility of contracted amounts, revenue recognition is suspended until such uncertainty is resolved. Fees for these services are billed on either a monthly, quarterly, or annual basis.</w:t>
      </w:r>
    </w:p>
    <w:p>
      <w:pPr>
        <w:spacing w:after="0" w:line="18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Revenues derived from the delivery of services through the Company’s SaaS-based workforce development platform products and courseware subscriptions are recognized ratably over the term of the subscription service agreement or over the historical usage period, if usage typically differs from the subscription period. Other training revenues are generally recognized upon the completion of training.</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Revenues derived from the license of installed software products are recognized using the residual method upon delivery of the software, when VSOE of fair value for the undelivered elements within the contract can be established. If the Company cannot objectively determine the fair value of each undelivered element based on the VSOE of fair value, the Company defers revenue recognition until all elements are delivered, all services have been performed, or until fair value can be objectively determined. Software support and maintenance revenues are recognized ratably over the term of the related agreement.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Revenues recognized from the Company’s survey and research services are determined using both the proportional performance method and the completed contract method. Revenues are generally earned over the estimated survey cycle, which typically ranges from less than one month to up to five months. The survey cycle is generally initiated based on the receipt of the first survey response and runs through provision of related survey reports to the customer. If survey results are not available to the customer during the survey fielding cycle, revenues are recognized at time of report delivery. Revenues for coaching and consulting engagements are recognized using the proportional performance method over the term of the underlying contract. Fees for survey services are billed upon initiation of the survey cycle, with progress billings made throughout the survey cycle. Fees for coaching and consulting engagements are billed upon initiation of the engagement with progress billings throughout the term of the contract.</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Revenues from professional services and courseware development services are recognized upon the completion of performance milestones and deliverables using the proportional performance method. All other revenues are recognized as the related services are performed or products are delivered. Fees for these services are generally billed at project initiation and upon completion of various milestones.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of which are wholly-owned. All inter-company accounts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U.S. generally accepted accounting principles. These accounting principles require management to make estimates and assumptions that affect the amounts reported in the financial statements and accompanying notes. Actual results could differ from those estimates and such differences could be material to the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cash equivalents to be unrestricted, highly liquid investments with initial maturities of less than three months.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Marketable securities are classified as available for sale and are stated at fair market value, with the unrealized gains and losses, net of tax, reported in other comprehensive income (loss) on the accompanying consolidated balance sheets. Realized gains and losses and declines in market value judged to be other than temporary on investments in marketable securities are included in interest and other income on the accompanying consolidated statements of income. The cost of securities sold is based on the specific identification method. Interest and dividends on securities classified as available for sale are included in other income (expense) on the accompanying consolidated statements of income. Premiums and discounts are amortized over the life of the related available for sale security as an adjustment to yield using the effective interest method.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Receivable-Unbilled</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Accounts receivable-unbilled represents the following: 1) revenue earned and recognized on contracts accounted for using the proportional performance method for which invoices have not been generated or contractual billing dates have not been reached; and 2) the difference between billings for contracts containing escalated pricing over the term of the agreement and the recognition of revenue ratably over the subscription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Deferred revenue represents amounts that have been billed or collected in advance of revenue recognition. The Company typically invoices customers in quarterly, bi-annual, or annual installments, and occasionally customers will pay for multi-year contracts in advance. Deferred revenue is reduced as the revenue recognition criteria are met.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Royalties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Prepaid royalties represents advance payments associated with the sale of third party products, such as courseware subscriptions. Royalties are typically paid in advance at the commencement of the revenue cycle, or periodically throughout the revenue cycle, such as quarterly, bi-annual, or annual installments. Royalty payments are amortized over the term of the underlying contracts, which generally range from 12 to 36 months, in order to match the direct royalty costs to the same period the subscription revenue is recognized. Amortization of royalties is included under the caption “cost of revenues (excluding depreciation and amortization)” in the accompanying consolidated statements of income.</w:t>
      </w:r>
    </w:p>
    <w:p>
      <w:pPr>
        <w:sectPr>
          <w:pgSz w:w="11900" w:h="16838" w:orient="portrait"/>
          <w:cols w:equalWidth="0" w:num="1">
            <w:col w:w="11320"/>
          </w:cols>
          <w:pgMar w:left="240" w:top="455" w:right="339" w:bottom="1440" w:gutter="0" w:footer="0" w:header="0"/>
        </w:sectPr>
      </w:pP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20"/>
          </w:cols>
          <w:pgMar w:left="240" w:top="455" w:right="339" w:bottom="1440" w:gutter="0" w:footer="0" w:header="0"/>
          <w:type w:val="continuous"/>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right="5620" w:firstLine="8"/>
        <w:spacing w:after="0" w:line="385" w:lineRule="auto"/>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Allowance for Doubtful Accounts</w:t>
      </w:r>
    </w:p>
    <w:p>
      <w:pPr>
        <w:spacing w:after="0" w:line="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estimates its allowance for doubtful accounts using a specific identification method in which management considers the facts and circumstances surrounding each potentially uncollectible receivable. An allowance is also maintained for accounts that are not specifically identified that may become uncollectible in the future. Uncollectible receivables are written-off in the period management believes it has exhausted every opportunity to collect payment from the customer. Bad debt expense is recorded when events or circumstances indicate an additional allowance is required based on the Company’s specific identification approach.</w:t>
      </w:r>
    </w:p>
    <w:p>
      <w:pPr>
        <w:spacing w:after="0" w:line="18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Changes in the allowance for doubtful accounts and the amounts charged to bad debt expense for the years ended December 31,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1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1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to Costs</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0" w:type="dxa"/>
            <w:vAlign w:val="bottom"/>
          </w:tcPr>
          <w:p>
            <w:pPr>
              <w:spacing w:after="0"/>
              <w:rPr>
                <w:sz w:val="12"/>
                <w:szCs w:val="12"/>
                <w:color w:val="auto"/>
              </w:rPr>
            </w:pPr>
          </w:p>
        </w:tc>
        <w:tc>
          <w:tcPr>
            <w:tcW w:w="9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6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73"/>
        </w:trPr>
        <w:tc>
          <w:tcPr>
            <w:tcW w:w="718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98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tcBorders>
            <w:shd w:val="clear" w:color="auto" w:fill="CCEEFF"/>
          </w:tcPr>
          <w:p>
            <w:pPr>
              <w:jc w:val="right"/>
              <w:ind w:right="6730"/>
              <w:spacing w:after="0"/>
              <w:rPr>
                <w:sz w:val="20"/>
                <w:szCs w:val="20"/>
                <w:color w:val="auto"/>
              </w:rPr>
            </w:pPr>
            <w:r>
              <w:rPr>
                <w:rFonts w:ascii="Times New Roman" w:cs="Times New Roman" w:eastAsia="Times New Roman" w:hAnsi="Times New Roman"/>
                <w:sz w:val="18"/>
                <w:szCs w:val="18"/>
                <w:color w:val="auto"/>
                <w:w w:val="94"/>
              </w:rPr>
              <w:t>2016</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303</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640</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jc w:val="right"/>
              <w:ind w:right="6730"/>
              <w:spacing w:after="0"/>
              <w:rPr>
                <w:sz w:val="20"/>
                <w:szCs w:val="20"/>
                <w:color w:val="auto"/>
              </w:rPr>
            </w:pPr>
            <w:r>
              <w:rPr>
                <w:rFonts w:ascii="Times New Roman" w:cs="Times New Roman" w:eastAsia="Times New Roman" w:hAnsi="Times New Roman"/>
                <w:sz w:val="18"/>
                <w:szCs w:val="18"/>
                <w:color w:val="auto"/>
                <w:w w:val="94"/>
              </w:rPr>
              <w:t>2015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jc w:val="right"/>
              <w:ind w:right="6730"/>
              <w:spacing w:after="0"/>
              <w:rPr>
                <w:sz w:val="20"/>
                <w:szCs w:val="20"/>
                <w:color w:val="auto"/>
              </w:rPr>
            </w:pPr>
            <w:r>
              <w:rPr>
                <w:rFonts w:ascii="Times New Roman" w:cs="Times New Roman" w:eastAsia="Times New Roman" w:hAnsi="Times New Roman"/>
                <w:sz w:val="18"/>
                <w:szCs w:val="18"/>
                <w:color w:val="auto"/>
                <w:w w:val="94"/>
              </w:rPr>
              <w:t>2014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Development</w:t>
      </w:r>
    </w:p>
    <w:p>
      <w:pPr>
        <w:spacing w:after="0" w:line="12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Capitalized software development is stated on the basis of cost, and is presented net of accumulated amortization. The Company capitalizes costs incurred during the software development phase for projects when such costs are material. These assets are amortized using the straight-line method, generally ranging between three to five years. The Company capitalized approximately $10.0 million and $7.3 million during 2016 and 2015, respectively. Amortization of capitalized software development was approximately $7.7 million and $6.2 million during 2016 and 2015, respectively. Maintenance and operating costs are expensed as incurred. As of December 31, 2016 and 2015, there were no capitalized software development costs for computer software developed for resale.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in an orderly transaction between market participants at the measurement date. The fair value hierarchy prioritizes the inputs to valuation techniques used in measuring fair value. There are three levels to the fair value hierarchy based on the reliability of inputs, as follows:</w:t>
      </w:r>
    </w:p>
    <w:p>
      <w:pPr>
        <w:spacing w:after="0" w:line="8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Observable inputs that reflect quoted prices (unadjusted) for identical assets or liabilities in active markets.</w:t>
      </w:r>
    </w:p>
    <w:p>
      <w:pPr>
        <w:spacing w:after="0" w:line="1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Inputs other than quoted prices included in Level 1 that are observable for the asset or liability, either directly or indirectly.</w:t>
      </w:r>
    </w:p>
    <w:p>
      <w:pPr>
        <w:spacing w:after="0" w:line="1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Unobservable inputs in which little or no market data exists, therefore requiring the Company to develop its own assumptions.</w:t>
      </w:r>
    </w:p>
    <w:p>
      <w:pPr>
        <w:spacing w:after="0" w:line="225"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Company evaluates assets and liabilities subject to fair value measurements on a recurring basis to determine the appropriate level at which to classify them for each reporting period. This determination requires significant judgments to be made by the Company. At December 31, 2016 and 2015, our assets measured at fair value on a recurring basis consisted of marketable securities, which are classified as available for sale (see Note 4 – Marketable Securities). The Company did not have any financial liabilities that were subject to fair value measurements as of such 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on the basis of cost. Depreciation and amortization are provided on the straight-line method over the following estimated useful lives, except for assets under capital leases and leasehold improvements, which are amortized over the shorter of the estimated useful life or their respective lease term.</w:t>
      </w:r>
    </w:p>
    <w:p>
      <w:pPr>
        <w:spacing w:after="0" w:line="196" w:lineRule="exact"/>
        <w:rPr>
          <w:sz w:val="20"/>
          <w:szCs w:val="20"/>
          <w:color w:val="auto"/>
        </w:rPr>
      </w:pPr>
    </w:p>
    <w:tbl>
      <w:tblPr>
        <w:tblLayout w:type="fixed"/>
        <w:tblInd w:w="1840" w:type="dxa"/>
        <w:tblCellMar>
          <w:top w:w="0" w:type="dxa"/>
          <w:left w:w="0" w:type="dxa"/>
          <w:bottom w:w="0" w:type="dxa"/>
          <w:right w:w="0" w:type="dxa"/>
        </w:tblCellMar>
      </w:tblPr>
      <w:tr>
        <w:trPr>
          <w:trHeight w:val="168"/>
        </w:trPr>
        <w:tc>
          <w:tcPr>
            <w:tcW w:w="26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16"/>
        </w:trPr>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6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20"/>
                <w:szCs w:val="20"/>
                <w:color w:val="auto"/>
              </w:rPr>
            </w:pPr>
          </w:p>
        </w:tc>
      </w:tr>
      <w:tr>
        <w:trPr>
          <w:trHeight w:val="346"/>
        </w:trPr>
        <w:tc>
          <w:tcPr>
            <w:tcW w:w="2680" w:type="dxa"/>
            <w:vAlign w:val="bottom"/>
          </w:tcPr>
          <w:p>
            <w:pPr>
              <w:spacing w:after="0"/>
              <w:rPr>
                <w:sz w:val="24"/>
                <w:szCs w:val="24"/>
                <w:color w:val="auto"/>
              </w:rPr>
            </w:pPr>
          </w:p>
        </w:tc>
        <w:tc>
          <w:tcPr>
            <w:tcW w:w="4640" w:type="dxa"/>
            <w:vAlign w:val="bottom"/>
          </w:tcPr>
          <w:p>
            <w:pPr>
              <w:jc w:val="right"/>
              <w:ind w:right="3270"/>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right="5600" w:firstLine="8"/>
        <w:spacing w:after="0" w:line="385" w:lineRule="auto"/>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Goodwill and Intangible Assets</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Goodwill represents the excess of purchase price in a business combination over the fair value of the net identifiable assets acquired. The carrying amount of our goodwill is evaluated for impairment at least annually during the fourth quarter and whenever events or changes in facts or circumstances indicate that impairment may exist.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companies may opt to first assess qualitative factors to determine whether it is more likely than not that the fair value of a reporting unit is less than its carrying amount. A qualitative assessment includes factors such as financial performance, industry and market metrics, and other factors affecting the reporting unit. If this assessment concludes that is more likely than not that the fair value of a reporting unit exceeds its carrying value, then goodwill is not considered impaired and no further impairment testing is required. Conversely, if the qualitative assessment concludes that it is more likely than not that the fair value of a reporting unit is less than its carrying value, we must then compare the fair value of the reporting unit to its carrying value. The Company determines fair value of the reporting units using both income and market based models. These models require the use of various assumptions relating to cash flow projections, growth rates, discount rates and terminal value calculations. The Company did not recognize any impairment charges for the years ended December 31, 2016, 2015 or 2014.</w:t>
      </w:r>
    </w:p>
    <w:p>
      <w:pPr>
        <w:spacing w:after="0" w:line="18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of December 31, 2016, intangible assets with remaining unamortized balances include contract rights and customer relationships, internally-developed technology and patents, non-competition agreements, and trade names. These intangible assets are considered to have definite useful lives and are being amortized on a straight line basis over periods typically ranging between three and fifteen years. The weighted average amortization period for definite lived intangible assets as of December 31, 2016 was 11.1 years. Intangible assets are reviewed for impairment whenever events or changes in facts or circumstances indicate that the carrying amount of the assets may not be recoverable. There were no impairments identified or recorded for the years ended December 31, 2016, 2015, or 2014.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Long-lived assets to be held for use are reviewed for events or changes in facts and circumstances, both internally and externally, which may indicate that an impairment of long-lived assets held for use is present. The Company measures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whether the carrying value of long-lived assets, including intangible assets, property and equipment, capitalized software development, and other assets will be recoverable. There were no impairments identified or recorded for the years ended December 31, 2016, 2015, or 2014.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Non-Marketable Equity Investments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Non-marketable equity investments are accounted for using the equity method when the Company can exercise significant influence over the investee. Investments for which the Company is not able to exercise significant influence over the investee are accounted for under the cost method. The proportionate share of income or loss from equity method investments are recorded under the caption “other income, net” in the accompanying consolidated statements of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 Company has various financial instruments, including cash and cash equivalents, accounts receivable, accounts receivable-unbilled, accounts payable, accrued liabilities, and deferred revenue. The carrying amounts of these financial instruments approximate fair value because of the short term maturity or short term nature of such instruments. The Company also has marketable securities, which are recorded at approximate fair value based on quoted market prices or alternative pricing sources (see Note 4 – Marketable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expenses the costs of advertising as incurred. Advertising expense for the years ended December 31, 2016, 2015, and 2014 was approximately $1.0 million, $1.1 million, and $0.7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 that are associated with our products and services are included in cost of revenues.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right="5620" w:firstLine="8"/>
        <w:spacing w:after="0" w:line="385" w:lineRule="auto"/>
        <w:tabs>
          <w:tab w:leader="none" w:pos="1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Income Taxes</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 are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its deferred tax assets each reporting period to identify whether any significant changes in circumstances or assumptions have occurred that could materially affect the realizability of deferred tax assets. As of December 31, 2016, the Company had established a valuation allowance of $654,000 for the portion of its net deferred tax assets that are not more likely than not expected to be realized.</w:t>
      </w:r>
    </w:p>
    <w:p>
      <w:pPr>
        <w:spacing w:after="0" w:line="1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 uncertainties using a more-likely-than-not recognition threshold based on the technical merits of the tax position taken. Tax positions that meet the more-likely-than-not recognition threshold are measured in order to determine the tax benefit to be recognized in the financial statements. The Company expenses any penalties or interest associated with tax obligations as general and administrative expenses and interest expense,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for the period by the weighted average number of common and common equivalent shares outstanding during the period. Common equivalent shares are composed of incremental common shares issuable upon the exercise of stock options and restricted share units subject to vesting. The dilutive effect of common equivalent shares is included in diluted earnings per share by application of the treasury stock method. Common equivalent shares that have an anti-dilutive effect on diluted net income per share have been excluded from the calculation of diluted weighted average shares outstanding for the years ended December 31, 2016, 2015, and 2014.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 and Significant Customers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credit risks relate primarily to cash and cash equivalents, marketable securities and accounts receivable. The Company places its temporary excess cash investments in high quality, short-term money market instruments. At times, such investments may be in excess of the FDIC insurance limits. Marketable securities consists primarily of investment grade corporate debt securities and certificates of deposit.</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sells its products and services to various companies in the healthcare industry that are located in the United States. We perform ongoing credit evaluations of our customers’ financial condition and generally require no collateral from customers. An allowance for doubtful accounts is maintained for potentially uncollectible accounts receivable. The Company did not have any single customer representing over 10% of net revenues or accounts receivable during 2016, 2015, or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2016, the Company maintains three stock based compensation plans under which awards are outstanding, which are described in Note</w:t>
      </w:r>
    </w:p>
    <w:p>
      <w:pPr>
        <w:spacing w:after="0" w:line="27" w:lineRule="exact"/>
        <w:rPr>
          <w:sz w:val="20"/>
          <w:szCs w:val="20"/>
          <w:color w:val="auto"/>
        </w:rPr>
      </w:pPr>
    </w:p>
    <w:p>
      <w:pPr>
        <w:ind w:right="20" w:firstLine="8"/>
        <w:spacing w:after="0" w:line="252" w:lineRule="auto"/>
        <w:tabs>
          <w:tab w:leader="none" w:pos="2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stock based compensation using the fair-value based method for costs related to share-based payments, including stock options and restricted share units. The Company uses the Black Scholes option pricing model for calculating the fair value of option awards issued under its stock based compensation plan. The Company measures compensation cost of restricted share units based on the closing fair market value of the Company’s stock on the date of grant. Stock based compensation cost is measured at the grant date, based on the fair value of the award that is ultimately expected to vest, and is recognized as an expense over the requisite service period. The Company recognizes tax benefits from stock based compensation if an excess tax benefit is realized. Excess tax benefits are recorded as an increase to common stock when realized.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right="5600" w:firstLine="8"/>
        <w:spacing w:after="0" w:line="384" w:lineRule="auto"/>
        <w:tabs>
          <w:tab w:leader="none" w:pos="1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Newly Issued Accounting Standards</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(Topic 606)</w:t>
      </w:r>
      <w:r>
        <w:rPr>
          <w:rFonts w:ascii="Times New Roman" w:cs="Times New Roman" w:eastAsia="Times New Roman" w:hAnsi="Times New Roman"/>
          <w:sz w:val="18"/>
          <w:szCs w:val="18"/>
          <w:color w:val="auto"/>
        </w:rPr>
        <w:t>, which supersedes the revenue recognition requirements in Topic 605,</w:t>
      </w:r>
      <w:r>
        <w:rPr>
          <w:rFonts w:ascii="Times New Roman" w:cs="Times New Roman" w:eastAsia="Times New Roman" w:hAnsi="Times New Roman"/>
          <w:sz w:val="18"/>
          <w:szCs w:val="18"/>
          <w:i w:val="1"/>
          <w:iCs w:val="1"/>
          <w:color w:val="auto"/>
        </w:rPr>
        <w:t xml:space="preserve"> Revenue Recognition</w:t>
      </w:r>
      <w:r>
        <w:rPr>
          <w:rFonts w:ascii="Times New Roman" w:cs="Times New Roman" w:eastAsia="Times New Roman" w:hAnsi="Times New Roman"/>
          <w:sz w:val="18"/>
          <w:szCs w:val="18"/>
          <w:color w:val="auto"/>
        </w:rPr>
        <w:t>, and most industry-specific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2017, and the Company currently anticipates adopting the standard using the modified retrospective approach effective January 1, 2018. The Company is in the process of implementing the standard, and has identified several key provisions that may result in changes to current accounting policies, systems and processes, and internal controls, including but not limited to the following: 1) Determining the relative selling price for software-as-a-service agreements, software licenses, software maintenance, and professional services in order to assign value to the separate performance obligations within a contract. Certain existing right to use arrangements are recognized over time because VSOE cannot be established, but may result in earlier revenue recognition under the new standard. 2) Capitalizing costs to acquire contracts, such as sales commissions, is not a current accounting policy, therefore we expect historical sales commissions, which have been expensed as incurred, will need to be evaluated for capitalization; 3) Ensuring the Company’s financial systems can record, calculate, summarize, and report the necessary information required by the standard, which will require additional investments in technology and resources. The Company is not currently able to quantify the financial impact of the Company’s adoption of this accounting standard on its future consolidated financial statements, but does anticipate adjustments to retained earnings upon adoption.</w:t>
      </w:r>
    </w:p>
    <w:p>
      <w:pPr>
        <w:spacing w:after="0" w:line="19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requires lessees to recognize assets and liabilities for most leases. The recognition, measurement and presentation of expenses and cash flows arising from a lease by a lessee is not expected to significantly change under such guidance; however, the Company is currently reviewing this standard to determine the method of adoption and to assess the impact on its future consolidated financial statements. The standard will be effective for the first interim period within annual reporting periods beginning after December 15, 2018, and early adoption is permitted.</w:t>
      </w:r>
    </w:p>
    <w:p>
      <w:pPr>
        <w:spacing w:after="0" w:line="18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which serves to simplify several aspects of the accounting for share-based payment transactions, including the income tax consequences, classification of awards as either equity or liabilities, and classification on the statement of cash flows. The standard will be effective for the first interim period within annual reporting periods beginning after December 15, 2016, and early adoption is permitted in any interim or annual period. The Company does not expect the adoption will have a material effect on its future consolidated financial statements.</w:t>
      </w:r>
    </w:p>
    <w:p>
      <w:pPr>
        <w:spacing w:after="0" w:line="1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2016-01, </w:t>
      </w:r>
      <w:r>
        <w:rPr>
          <w:rFonts w:ascii="Times New Roman" w:cs="Times New Roman" w:eastAsia="Times New Roman" w:hAnsi="Times New Roman"/>
          <w:sz w:val="18"/>
          <w:szCs w:val="18"/>
          <w:i w:val="1"/>
          <w:iCs w:val="1"/>
          <w:color w:val="auto"/>
        </w:rPr>
        <w:t>Financial Instruments – Overall (Sub Topic 825-10)</w:t>
      </w:r>
      <w:r>
        <w:rPr>
          <w:rFonts w:ascii="Times New Roman" w:cs="Times New Roman" w:eastAsia="Times New Roman" w:hAnsi="Times New Roman"/>
          <w:sz w:val="18"/>
          <w:szCs w:val="18"/>
          <w:color w:val="auto"/>
        </w:rPr>
        <w:t>, which addresses certain aspects of the recognition, measurement, presentation, and disclosure of financial instruments. The guidance will, among other things, require equity method investments (except those accounted for under the equity method of accounting or those that result in consolidation of the investee) to be measured at fair value with changes in fair value recognized in net income. The standard will be effective for the first interim period within annual reporting periods beginning after December 15, 2017, and early adoption is permitted for only limited aspects of such guidance. The Company is currently reviewing this standard to determine the method of adoption and to assess the impact on its future consolidated financial statements.</w:t>
      </w:r>
    </w:p>
    <w:p>
      <w:pPr>
        <w:spacing w:after="0" w:line="289" w:lineRule="exact"/>
        <w:rPr>
          <w:sz w:val="20"/>
          <w:szCs w:val="20"/>
          <w:color w:val="auto"/>
        </w:rPr>
      </w:pPr>
    </w:p>
    <w:p>
      <w:pPr>
        <w:ind w:right="8900" w:firstLine="8"/>
        <w:spacing w:after="0" w:line="378" w:lineRule="auto"/>
        <w:tabs>
          <w:tab w:leader="none" w:pos="1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Common Stock</w:t>
      </w: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75 million shares of common stock. The number of common shares issued and outstanding as of December 31, 2016 and 2015 was approximately 31.7 million and 31.6 million, respectively. The Company issued approximately 3.9 million shares of common stock in connection with an underwritten public offering, which was completed in May 2015, raising approximately $98.0 million of cash.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years ended December 31, 2016 (in thousands, except per share amounts):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7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8,621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10,394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31,721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6"/>
              </w:rPr>
              <w:t>30,057</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27,570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diluted shares</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32,068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30,436</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5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Potentially dilutive shares representing approximately 38,000, 16,000, and 70,000 shares of common stock for 2016, 2015, and 2014, respectively, were excluded from the calculation of diluted earnings per share because their effect would have been anti-dilutive.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2016 and 2015, the fair value of marketable securities, which were all classified as available for sale, included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9"/>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9"/>
        </w:trPr>
        <w:tc>
          <w:tcPr>
            <w:tcW w:w="7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4"/>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Adjusted</w:t>
            </w:r>
          </w:p>
        </w:tc>
        <w:tc>
          <w:tcPr>
            <w:tcW w:w="180" w:type="dxa"/>
            <w:vAlign w:val="bottom"/>
          </w:tcPr>
          <w:p>
            <w:pPr>
              <w:spacing w:after="0"/>
              <w:rPr>
                <w:sz w:val="10"/>
                <w:szCs w:val="10"/>
                <w:color w:val="auto"/>
              </w:rPr>
            </w:pPr>
          </w:p>
        </w:tc>
        <w:tc>
          <w:tcPr>
            <w:tcW w:w="780" w:type="dxa"/>
            <w:vAlign w:val="bottom"/>
            <w:gridSpan w:val="4"/>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8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Fair</w:t>
            </w:r>
          </w:p>
        </w:tc>
        <w:tc>
          <w:tcPr>
            <w:tcW w:w="60" w:type="dxa"/>
            <w:vAlign w:val="bottom"/>
          </w:tcPr>
          <w:p>
            <w:pPr>
              <w:spacing w:after="0"/>
              <w:rPr>
                <w:sz w:val="10"/>
                <w:szCs w:val="10"/>
                <w:color w:val="auto"/>
              </w:rPr>
            </w:pPr>
          </w:p>
        </w:tc>
      </w:tr>
      <w:tr>
        <w:trPr>
          <w:trHeight w:val="171"/>
        </w:trPr>
        <w:tc>
          <w:tcPr>
            <w:tcW w:w="7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color w:val="auto"/>
              </w:rPr>
              <w:t>Cost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Gains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Losses</w:t>
            </w:r>
          </w:p>
        </w:tc>
        <w:tc>
          <w:tcPr>
            <w:tcW w:w="8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Value</w:t>
            </w:r>
          </w:p>
        </w:tc>
      </w:tr>
      <w:tr>
        <w:trPr>
          <w:trHeight w:val="196"/>
        </w:trPr>
        <w:tc>
          <w:tcPr>
            <w:tcW w:w="7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Level 2:</w:t>
            </w: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$44,486</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44,436</w:t>
            </w: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Government-sponsored enterprise debt securities</w:t>
            </w:r>
          </w:p>
        </w:tc>
        <w:tc>
          <w:tcPr>
            <w:tcW w:w="10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9,104</w:t>
            </w: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53,591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53,540</w:t>
            </w:r>
          </w:p>
        </w:tc>
        <w:tc>
          <w:tcPr>
            <w:tcW w:w="6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7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7480" w:type="dxa"/>
            <w:vAlign w:val="bottom"/>
          </w:tcPr>
          <w:p>
            <w:pPr>
              <w:spacing w:after="0"/>
              <w:rPr>
                <w:sz w:val="10"/>
                <w:szCs w:val="10"/>
                <w:color w:val="auto"/>
              </w:rPr>
            </w:pPr>
          </w:p>
        </w:tc>
        <w:tc>
          <w:tcPr>
            <w:tcW w:w="1060" w:type="dxa"/>
            <w:vAlign w:val="bottom"/>
            <w:gridSpan w:val="5"/>
          </w:tcPr>
          <w:p>
            <w:pPr>
              <w:jc w:val="center"/>
              <w:ind w:right="460"/>
              <w:spacing w:after="0" w:line="119" w:lineRule="exact"/>
              <w:rPr>
                <w:sz w:val="20"/>
                <w:szCs w:val="20"/>
                <w:color w:val="auto"/>
              </w:rPr>
            </w:pPr>
            <w:r>
              <w:rPr>
                <w:rFonts w:ascii="Times New Roman" w:cs="Times New Roman" w:eastAsia="Times New Roman" w:hAnsi="Times New Roman"/>
                <w:sz w:val="13"/>
                <w:szCs w:val="13"/>
                <w:color w:val="auto"/>
              </w:rPr>
              <w:t>Adjusted</w:t>
            </w:r>
          </w:p>
        </w:tc>
        <w:tc>
          <w:tcPr>
            <w:tcW w:w="960" w:type="dxa"/>
            <w:vAlign w:val="bottom"/>
            <w:gridSpan w:val="5"/>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140" w:type="dxa"/>
            <w:vAlign w:val="bottom"/>
          </w:tcPr>
          <w:p>
            <w:pPr>
              <w:spacing w:after="0"/>
              <w:rPr>
                <w:sz w:val="10"/>
                <w:szCs w:val="10"/>
                <w:color w:val="auto"/>
              </w:rPr>
            </w:pPr>
          </w:p>
        </w:tc>
        <w:tc>
          <w:tcPr>
            <w:tcW w:w="1140" w:type="dxa"/>
            <w:vAlign w:val="bottom"/>
            <w:gridSpan w:val="5"/>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80" w:type="dxa"/>
            <w:vAlign w:val="bottom"/>
          </w:tcPr>
          <w:p>
            <w:pPr>
              <w:spacing w:after="0"/>
              <w:rPr>
                <w:sz w:val="10"/>
                <w:szCs w:val="10"/>
                <w:color w:val="auto"/>
              </w:rPr>
            </w:pPr>
          </w:p>
        </w:tc>
        <w:tc>
          <w:tcPr>
            <w:tcW w:w="5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Fair</w:t>
            </w:r>
          </w:p>
        </w:tc>
        <w:tc>
          <w:tcPr>
            <w:tcW w:w="60" w:type="dxa"/>
            <w:vAlign w:val="bottom"/>
          </w:tcPr>
          <w:p>
            <w:pPr>
              <w:spacing w:after="0"/>
              <w:rPr>
                <w:sz w:val="10"/>
                <w:szCs w:val="10"/>
                <w:color w:val="auto"/>
              </w:rPr>
            </w:pPr>
          </w:p>
        </w:tc>
      </w:tr>
      <w:tr>
        <w:trPr>
          <w:trHeight w:val="171"/>
        </w:trPr>
        <w:tc>
          <w:tcPr>
            <w:tcW w:w="7480" w:type="dxa"/>
            <w:vAlign w:val="bottom"/>
          </w:tcPr>
          <w:p>
            <w:pPr>
              <w:spacing w:after="0"/>
              <w:rPr>
                <w:sz w:val="14"/>
                <w:szCs w:val="14"/>
                <w:color w:val="auto"/>
              </w:rPr>
            </w:pPr>
          </w:p>
        </w:tc>
        <w:tc>
          <w:tcPr>
            <w:tcW w:w="106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color w:val="auto"/>
              </w:rPr>
              <w:t>Cost</w:t>
            </w:r>
          </w:p>
        </w:tc>
        <w:tc>
          <w:tcPr>
            <w:tcW w:w="96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Gains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color w:val="auto"/>
              </w:rPr>
              <w:t>Losses</w:t>
            </w:r>
          </w:p>
        </w:tc>
        <w:tc>
          <w:tcPr>
            <w:tcW w:w="8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Value</w:t>
            </w:r>
          </w:p>
        </w:tc>
      </w:tr>
      <w:tr>
        <w:trPr>
          <w:trHeight w:val="196"/>
        </w:trPr>
        <w:tc>
          <w:tcPr>
            <w:tcW w:w="7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Level 2:</w:t>
            </w: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$ 1,000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66,046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65,976</w:t>
            </w: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67,046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66,976</w:t>
            </w:r>
          </w:p>
        </w:tc>
        <w:tc>
          <w:tcPr>
            <w:tcW w:w="6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carrying amounts of the marketable securities reported in the consolidated balance sheets approximate fair value based on quoted market prices or alternative pricing sources and models utilizing market observable inputs. As of December 31, 2016, the Company does not consider any of its marketable securities to be other than temporarily impaired. During the years ended December 31, 2016 and 2015, the Company did not reclassify any items out of accumulated other comprehensive income to net income. All investments in marketable securities are classified as a current asset on the balance sheet because the underlying securities mature within one year from the balance sheet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Morrisey Associates, Inc.</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August 8, 2016, Echo, Inc. (“Echo”), a wholly owned subsidiary of the Company, acquired all of the outstanding stock of Morrisey Associates, Inc. (“MAI”), a Chicago, Illinois based company that provides credentialing and privileging software to healthcare organizations. The acquisition of MAI allows the Company to expand its credentialing and privileging product offerings and solutions to healthcare organizations. The consideration paid for MAI consisted of approximately $48.0 million in cash, which the Company funded with cash on hand, and was not subject to any post-closing working capital or similar adjustment. The Company incurred approximately $953,000 in transaction costs, all of which were incurred during the year ended December 31,</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2016. The transaction costs were recorded in other general and administrative expenses in the consolidated statements of income. The results of operations for MAI have been included in the Company’s consolidated financial statements from the date of acquisition, and are also included in the HealthStream Provider Solutions segment.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purchase price is as follows (in thousands):</w:t>
            </w:r>
          </w:p>
        </w:tc>
        <w:tc>
          <w:tcPr>
            <w:tcW w:w="2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48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at closing</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Cash held in escrow</w:t>
            </w:r>
          </w:p>
        </w:tc>
        <w:tc>
          <w:tcPr>
            <w:tcW w:w="22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consideration paid</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as of the date of acquisition (in thousands):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Prepaid royalties and other prepaid assets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20,467</w:t>
            </w:r>
          </w:p>
        </w:tc>
        <w:tc>
          <w:tcPr>
            <w:tcW w:w="12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27,400</w:t>
            </w:r>
          </w:p>
        </w:tc>
        <w:tc>
          <w:tcPr>
            <w:tcW w:w="12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(1,031)</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(4,007)</w:t>
            </w:r>
          </w:p>
        </w:tc>
      </w:tr>
      <w:tr>
        <w:trPr>
          <w:trHeight w:val="27"/>
        </w:trPr>
        <w:tc>
          <w:tcPr>
            <w:tcW w:w="5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assets acquired</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48,000</w:t>
            </w:r>
          </w:p>
        </w:tc>
        <w:tc>
          <w:tcPr>
            <w:tcW w:w="120" w:type="dxa"/>
            <w:vAlign w:val="bottom"/>
            <w:shd w:val="clear" w:color="auto" w:fill="CCEEFF"/>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excess purchase price over the fair values of net tangible and intangible assets has been recorded as goodwill. The fair values of tangible and identifiable intangible assets and deferred revenue are based on management’s estimates and assumptions. The fair values of assets acquired and liabilities assumed are based on based on management’s estimates and assumptions. The goodwill balance is primarily attributed to the assembled workforce, additional market opportunities from offering MAI’s products, and expected synergies from integrating MAI with other products or other combined functional areas within the Company. The goodwill balance is deductible for U.S. income tax purposes. The net tangible assets include deferred revenue, which was adjusted down from a book value at the acquisition date of $8.8 million to an estimated fair value of $4.0 million. The $4.8 million write-down of deferred revenue will result in lower revenues than would have otherwise been recognized for such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and their estimated useful lives as of the acquisition date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Fair</w:t>
            </w:r>
          </w:p>
        </w:tc>
        <w:tc>
          <w:tcPr>
            <w:tcW w:w="400" w:type="dxa"/>
            <w:vAlign w:val="bottom"/>
          </w:tcPr>
          <w:p>
            <w:pPr>
              <w:spacing w:after="0"/>
              <w:rPr>
                <w:sz w:val="13"/>
                <w:szCs w:val="13"/>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$21,400</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4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3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27,400</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22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of revenue and operating loss of MAI included in the Company’s consolidated statement of income from the date of acquisition of August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 to the period ending December 31, 2016 are as follows (in thousands):</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$ 2,581</w:t>
            </w:r>
          </w:p>
        </w:tc>
        <w:tc>
          <w:tcPr>
            <w:tcW w:w="12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(2,358)</w:t>
            </w:r>
          </w:p>
        </w:tc>
      </w:tr>
      <w:tr>
        <w:trPr>
          <w:trHeight w:val="20"/>
        </w:trPr>
        <w:tc>
          <w:tcPr>
            <w:tcW w:w="7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combined results of operations of the Company and MAI, which was significant for purposes of the unaudited pro forma financial information disclosure, as though the companies were combined as of January 1, 2015 (in thousands, except per share data):</w:t>
      </w:r>
    </w:p>
    <w:p>
      <w:pPr>
        <w:spacing w:after="0" w:line="197"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80" w:type="dxa"/>
        <w:tblCellMar>
          <w:top w:w="0" w:type="dxa"/>
          <w:left w:w="0" w:type="dxa"/>
          <w:bottom w:w="0" w:type="dxa"/>
          <w:right w:w="0" w:type="dxa"/>
        </w:tblCellMar>
      </w:tblPr>
      <w:tr>
        <w:trPr>
          <w:trHeight w:val="142"/>
        </w:trPr>
        <w:tc>
          <w:tcPr>
            <w:tcW w:w="6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236,205</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218,042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unaudited pro forma combined results of operations include certain adjustments arising from the acquisition such as adjustment for amortization of intangible assets, depreciation of property and equipment,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period presented or to project the Company’s results of operations in any future period.</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unaudited pro forma financial information for the years ended December 31, 2016 and 2015 combines the historical results of the Company and MAI for the years ended December 31, 2016 and 2015 and the pro forma adjustments listed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HealthLine Systems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16, 2015, the Company acquired all of the membership interests of HealthLine Systems, LLC (“HLS”), a San Diego, California based company that specializes in credentialing, privileging, call center, and quality management solutions for the healthcare industry. The acquisition of HLS enabled the Company to provide a comprehensive solution set for healthcare provider credentialing, privileging, enrollment, referral, onboarding, and analytics in support of HealthStream’s approach to talent management for healthcare organizations. The consideration paid for HLS consisted of approximately $90.5 million in cash (taking into account an estimated closing working capital adjustment and the payment of an incremental tax indemnification claim by the Company as noted below). The Company incurred approximately $1.3 million in transaction costs associated with the acquisition, of which $965,000 were incurred during the year ended December 31, 2015 and $329,000 were incurred during the year ended December 31, 2014. The transaction costs were recorded in other general and administrative expenses in the consolidated statements of income for such periods. The results of operations for HLS have been included in the Company’s consolidated financial statements from the date of acquisition, and are also included in the HealthStream Provider Solutions segment.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purchase price is as follows (in thousands):</w:t>
            </w:r>
          </w:p>
        </w:tc>
        <w:tc>
          <w:tcPr>
            <w:tcW w:w="2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48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Cash held in escrow</w:t>
            </w:r>
          </w:p>
        </w:tc>
        <w:tc>
          <w:tcPr>
            <w:tcW w:w="22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consideration paid</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90,529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as of the date of acquisition (in thousands):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43,798</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47,200</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(1,085)</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(5,979)</w:t>
            </w: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90,309</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400"/>
          </w:cols>
          <w:pgMar w:left="240" w:top="455" w:right="2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type w:val="continuous"/>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 (continued)</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total consideration paid does not equal the fair value of assets acquired and liabilities assumed due to the post measurement period adjustment discussed below. The excess of purchase price over the fair values of net tangible and intangible assets has been recorded as goodwill. The fair values of tangible and identifiable intangible assets, deferred tax assets, deferred revenue, and other liabilities are based on management’s estimates and assumptions. Included in the assets and liabilities assumed is an estimated indemnification asset of $300,000 and a contingent liability of $700,000, both of which are associated with tax liabilities. The contingent liability is measured based on management’s estimate of a range of probable outcomes. The goodwill balance is primarily attributed to the assembled workforce, additional market opportunities from offering HLS’s products, and expected synergies from integrating HLS with other products or other combined functional areas within the Company. During the three months ended March 31, 2016, the Company received notice of an indemnification claim from the former owners of HLS pursuant to the terms of the membership interest purchase agreement. The terms of such agreement require the Company to indemnify such owners for incremental taxes incurred as the result of the structure of the acquisition, which had favorable tax aspects to the Company. The Company recorded a measurement period adjustment in relation to the claim that increased goodwill by approximately $2.2 million during the three months ended March 31, 2016. The additional goodwill is deductible for U.S. income tax purposes. The goodwill balance excluding such measurement period adjustment is also deductible for U.S. income tax purposes. During the three months ended September 30, 2016, the Company agreed to settle this indemnification claim for approximately $2.4 million in respect of such tax indemnification provision in the membership interest purchase agreement, a difference of approximately $200,000 from the $2.2 million measurement period adjustment. The Company surpassed the one year measurement period as of the period ended March 31, 2016; accordingly, in accordance with requisite accounting guidance, the $200,000 difference has been reflected as a charge against net income for the year ended December 31, 2016. The net tangible assets include deferred revenue, which was adjusted down from a book value at the acquisition date of $15.0 million to an estimated fair value of $6.0 million. The $9.0 million write-down of deferred revenue will result in lower revenues than would have otherwise been recognized for such services.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and their estimated useful lives as of the acquisition date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73"/>
        </w:trPr>
        <w:tc>
          <w:tcPr>
            <w:tcW w:w="6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$42,600</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47,200</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of revenue and operating income (loss) of HLS included in the Company’s consolidated statement of income from the date of acquisition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2015 to the period ending December 31, 2015 are as follows (in thousands):</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(2,541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combined results of operations of the Company and HLS, which was significant for purposes of the unaudited pro forma financial information disclosure, as though the companies were combined as of January 1, 2015 (in thousands, except per share data):</w:t>
      </w:r>
    </w:p>
    <w:p>
      <w:pPr>
        <w:spacing w:after="0" w:line="197"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80" w:type="dxa"/>
        <w:tblCellMar>
          <w:top w:w="0" w:type="dxa"/>
          <w:left w:w="0" w:type="dxa"/>
          <w:bottom w:w="0" w:type="dxa"/>
          <w:right w:w="0" w:type="dxa"/>
        </w:tblCellMar>
      </w:tblPr>
      <w:tr>
        <w:trPr>
          <w:trHeight w:val="142"/>
        </w:trPr>
        <w:tc>
          <w:tcPr>
            <w:tcW w:w="6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227,834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219,108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4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These unaudited pro forma combined results of operations include certain adjustments arising from the acquisition such as adjustment for amortization of intangible assets, depreciation of property and equipment, fair value adjustments of acquired deferred revenue balances, and interest expense associated with borrowings under a revolving credit facility by the Company to partially fund the acquisition. The unaudited pro forma combined results of operations is for informational purposes only and is not indicative of what the Company’s results of operations would have been had the transaction occurred at the beginning of the period presented or to project the Company’s results of operations in any future period.</w:t>
      </w:r>
    </w:p>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unaudited pro forma financial information for the years ended December 31, 2016 and 2015 combines the historical results of the Company and HLS for the years ended December 31, 2016 and 2015 and the pro forma adjustments listed above.</w:t>
      </w:r>
    </w:p>
    <w:p>
      <w:pPr>
        <w:sectPr>
          <w:pgSz w:w="11900" w:h="16838" w:orient="portrait"/>
          <w:cols w:equalWidth="0" w:num="1">
            <w:col w:w="11420"/>
          </w:cols>
          <w:pgMar w:left="240" w:top="455" w:right="239" w:bottom="1440"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type w:val="continuous"/>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 (continued)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Compliance Strategies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March 3, 2014, the Company acquired all of the stock of Health Care Compliance Strategies, Inc. (HCCS), a Jericho, New York based company that specializes in healthcare compliance solutions and services. The Company acquired HCCS to further advance its suite of workforce development solutions, including its offering of compliance solutions. The consideration paid for HCCS consisted of approximately $12.8 million in cash (taking into account a post-closing working capital adjustment) and 81,614 shares of our common stock. The Company made an additional payment of $750,000 during the second quarter of 2015, upon the achievement of certain performance milestones within one year post-closing. The Company incurred approximately $515,000 in transaction costs associated with the acquisition, of which $365,000 were incurred during the year ended December 31, 2014 and $150,000 were incurred during the year ended December 31, 2013. The transaction costs were recorded under the caption “other general and administrative” in the consolidated statements of income. In allocating the purchase price, the Company recorded approximately $6.2 million of goodwill, $8.4 million of identifiable intangible assets, $2.6 million of tangible assets, $625,000 of deferred tax assets, and $2.7 million of liabilities. Included in the recorded liabilities was an accrual for contingent consideration of approximately $600,000. The goodwill balance is primarily attributed to assembled workforce, additional market opportunities of HCCS’s compliance solutions, and expected synergies from integrating HCCS’s products into our platform. The goodwill balance is deductible for U.S. income tax purposes. The net tangible assets include deferred revenue, which was adjusted down from a book value at the acquisition date of $3.2 million to an estimated fair value of $1.7 million. The $1.5 million write-down of deferred revenue resulted in lower revenues than would have otherwise been recognized for such services. The results of operations for HCCS have been included in the Company’s consolidated financial statements from the date of acquisition, and are also included in the HealthStream Workforce Development Solutions segment.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Business Combinations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June 30, 2016, the Company acquired all of the stock of Performance Management Services, Inc. (“PMSI”), a Company based in Tustin, California focused on competency-based performance development for nurses, for $4.0 million in cash and up to an additional $500,000 of contingent consideration. The acquisition, including associated transaction costs, is not considered material to the Company’s financial statements. The Company accounted for the acquisition as a business combination and has allocated the purchase consideration based on management’s estimates of fair value. The results of operations for PMSI are included in the Company’s consolidated financial statements from the date of acquisition and are included in the HealthStream Workforce Solutions segment.</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July 25, 2016, the Company purchased all of the outstanding stock of Nursing Registry Consultants Corporation (“Nurse Competency”) not previously held by the Company for approximately $1.0 million in cash and up to an additional $75,000 in contingent consideration. Nurse Competency provides SaaS-based clinical assessment and testing products to the healthcare industry. The Company previously held a 32% minority equity interest in Nurse Competency and had accounted for such interest as an equity method investment. The fair value of the minority equity interest as of the July 25, 2016 acquisition date was approximately $484,000 and was determined in accordance with the fair value of the controlling interest acquired with consideration given to acquisition premiums, where applicable. The Company recorded a gain of approximately $225,000 to account for the difference between the noted acquisition date fair value of the minority equity interest and the carrying value as of such date. The gain is included in other income (expense), net in the consolidated statement of income for the year ended December 31, 2016. The Company accounted for the acquisition as a business combination and has allocated the purchase consideration based on management’s estimates of fair value. The results of operations for Nurse Competency are included in the Company’s consolidated financial statements from the date of acquisition and are included in the HealthStream Workforce Solutions segment.</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455" w:right="2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20" w:type="dxa"/>
            <w:vAlign w:val="bottom"/>
          </w:tcPr>
          <w:p>
            <w:pPr>
              <w:spacing w:after="0"/>
              <w:rPr>
                <w:sz w:val="15"/>
                <w:szCs w:val="15"/>
                <w:color w:val="auto"/>
              </w:rPr>
            </w:pPr>
          </w:p>
        </w:tc>
        <w:tc>
          <w:tcPr>
            <w:tcW w:w="68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5"/>
                <w:szCs w:val="15"/>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$ 20,885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$ 23,057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20" w:type="dxa"/>
            <w:vAlign w:val="bottom"/>
            <w:shd w:val="clear" w:color="auto" w:fill="CCEEFF"/>
          </w:tcPr>
          <w:p>
            <w:pPr>
              <w:spacing w:after="0"/>
              <w:rPr>
                <w:sz w:val="18"/>
                <w:szCs w:val="18"/>
                <w:color w:val="auto"/>
              </w:rPr>
            </w:pP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120" w:type="dxa"/>
            <w:vAlign w:val="bottom"/>
          </w:tcPr>
          <w:p>
            <w:pPr>
              <w:spacing w:after="0"/>
              <w:rPr>
                <w:sz w:val="19"/>
                <w:szCs w:val="19"/>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(20,527)</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(19,359)</w:t>
            </w:r>
          </w:p>
        </w:tc>
      </w:tr>
      <w:tr>
        <w:trPr>
          <w:trHeight w:val="223"/>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$ 10,245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$ 12,471</w:t>
            </w:r>
          </w:p>
        </w:tc>
        <w:tc>
          <w:tcPr>
            <w:tcW w:w="12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of property and equipment totaled approximately $6.8 million and $5.3 million for the years ended December 31, 2016 and 2015,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2016 and 2015 are as follows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Patient</w:t>
            </w:r>
          </w:p>
        </w:tc>
        <w:tc>
          <w:tcPr>
            <w:tcW w:w="20" w:type="dxa"/>
            <w:vAlign w:val="bottom"/>
          </w:tcPr>
          <w:p>
            <w:pPr>
              <w:spacing w:after="0"/>
              <w:rPr>
                <w:sz w:val="13"/>
                <w:szCs w:val="13"/>
                <w:color w:val="auto"/>
              </w:rPr>
            </w:pPr>
          </w:p>
        </w:tc>
        <w:tc>
          <w:tcPr>
            <w:tcW w:w="10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Provider</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Experience</w:t>
            </w:r>
          </w:p>
        </w:tc>
        <w:tc>
          <w:tcPr>
            <w:tcW w:w="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2016</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$ 12,336</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24,154</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$46,583</w:t>
            </w:r>
          </w:p>
        </w:tc>
        <w:tc>
          <w:tcPr>
            <w:tcW w:w="48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$ 83,073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HealthLine Systems, LLC.</w:t>
            </w:r>
          </w:p>
        </w:tc>
        <w:tc>
          <w:tcPr>
            <w:tcW w:w="20" w:type="dxa"/>
            <w:vAlign w:val="bottom"/>
          </w:tcPr>
          <w:p>
            <w:pPr>
              <w:spacing w:after="0"/>
              <w:rPr>
                <w:sz w:val="18"/>
                <w:szCs w:val="18"/>
                <w:color w:val="auto"/>
              </w:rPr>
            </w:pP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2,180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Morrisey Associates, Inc.</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20,467</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business combinations</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11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$ 16,381</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24,154</w:t>
            </w:r>
          </w:p>
        </w:tc>
        <w:tc>
          <w:tcPr>
            <w:tcW w:w="1100" w:type="dxa"/>
            <w:vAlign w:val="bottom"/>
            <w:tcBorders>
              <w:right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69,230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109,765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Patient</w:t>
            </w:r>
          </w:p>
        </w:tc>
        <w:tc>
          <w:tcPr>
            <w:tcW w:w="20" w:type="dxa"/>
            <w:vAlign w:val="bottom"/>
          </w:tcPr>
          <w:p>
            <w:pPr>
              <w:spacing w:after="0"/>
              <w:rPr>
                <w:sz w:val="24"/>
                <w:szCs w:val="24"/>
                <w:color w:val="auto"/>
              </w:rPr>
            </w:pPr>
          </w:p>
        </w:tc>
        <w:tc>
          <w:tcPr>
            <w:tcW w:w="10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Provider</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Experience</w:t>
            </w:r>
          </w:p>
        </w:tc>
        <w:tc>
          <w:tcPr>
            <w:tcW w:w="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2015</w:t>
            </w:r>
          </w:p>
        </w:tc>
        <w:tc>
          <w:tcPr>
            <w:tcW w:w="68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$ 12,336</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24,154</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$ 5,424</w:t>
            </w:r>
          </w:p>
        </w:tc>
        <w:tc>
          <w:tcPr>
            <w:tcW w:w="48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$41,914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HealthLine Systems, LLC</w:t>
            </w:r>
          </w:p>
        </w:tc>
        <w:tc>
          <w:tcPr>
            <w:tcW w:w="20" w:type="dxa"/>
            <w:vAlign w:val="bottom"/>
          </w:tcPr>
          <w:p>
            <w:pPr>
              <w:spacing w:after="0"/>
              <w:rPr>
                <w:sz w:val="18"/>
                <w:szCs w:val="18"/>
                <w:color w:val="auto"/>
              </w:rPr>
            </w:pP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41,618</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long lived assets</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(459)</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6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$ 12,336</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6"/>
              </w:rPr>
              <w:t>24,154</w:t>
            </w:r>
          </w:p>
        </w:tc>
        <w:tc>
          <w:tcPr>
            <w:tcW w:w="42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46,583</w:t>
            </w:r>
          </w:p>
        </w:tc>
        <w:tc>
          <w:tcPr>
            <w:tcW w:w="4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83,073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2016, the Company recorded approximately $2.2 million of additional goodwill in relation to the March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of HealthLine Systems, LLC. Such amount relates to the measurement period adjustment previously mentioned in Note 5 under the caption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HealthLine Systems.</w:t>
      </w:r>
      <w:r>
        <w:rPr>
          <w:rFonts w:ascii="Times New Roman" w:cs="Times New Roman" w:eastAsia="Times New Roman" w:hAnsi="Times New Roman"/>
          <w:sz w:val="18"/>
          <w:szCs w:val="18"/>
          <w:color w:val="auto"/>
        </w:rPr>
        <w:t>” During the quarter ended December 31, 2015, the Company disposed of certain long lived assets meeting the definition of a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Accordingly, we have allocated approximately $459,000 of reporting unit goodwill to this disposition of assets pursuant to ASC 350, </w:t>
      </w:r>
      <w:r>
        <w:rPr>
          <w:rFonts w:ascii="Times New Roman" w:cs="Times New Roman" w:eastAsia="Times New Roman" w:hAnsi="Times New Roman"/>
          <w:sz w:val="18"/>
          <w:szCs w:val="18"/>
          <w:i w:val="1"/>
          <w:iCs w:val="1"/>
          <w:color w:val="auto"/>
        </w:rPr>
        <w:t>Intangibles – Goodwill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other</w:t>
      </w:r>
      <w:r>
        <w:rPr>
          <w:rFonts w:ascii="Times New Roman" w:cs="Times New Roman" w:eastAsia="Times New Roman" w:hAnsi="Times New Roman"/>
          <w:sz w:val="18"/>
          <w:szCs w:val="18"/>
          <w:b w:val="1"/>
          <w:bCs w:val="1"/>
          <w:i w:val="1"/>
          <w:iCs w:val="1"/>
          <w:color w:val="auto"/>
        </w:rPr>
        <w:t>.</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00"/>
          </w:cols>
          <w:pgMar w:left="240" w:top="455" w:right="3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Intangible assets other than goodwill are considered to have finite useful lives. Customer related intangibles are amortized over their estimated useful lives ranging from five to thirteen years. Other intangible assets include non-competition agreements, technology and patents, and trade names, and are being amortized over periods ranging from three to nine years. During the quarter ended December 31, 2015, the Company retired approximately $10.7 million of fully amortized identifiable intangible assets. Gross amounts and related accumulated amortization presented below as of December 31, 2015 are reflective of such retirements. Additionally, amounts presented below as of December 31, 2016 and December 31, 2015 are inclusive of identifiable intangible assets recorded in relation to our acquisitions of Morrisey Associates, Inc. and HealthLine Systems, LLC, as well as other business combinations (see Note 5 – Business Combinations). Amortization of intangible assets was approximately $7.8 million and $5.6 million for the years ended December 31, 2016 and 2015,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are comprised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2560" w:type="dxa"/>
            <w:vAlign w:val="bottom"/>
            <w:tcBorders>
              <w:bottom w:val="single" w:sz="8" w:color="auto"/>
            </w:tcBorders>
            <w:gridSpan w:val="7"/>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As of December 31, 2016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Borders>
              <w:bottom w:val="single" w:sz="8" w:color="auto"/>
            </w:tcBorders>
            <w:gridSpan w:val="7"/>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As of December 31, 2015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60" w:type="dxa"/>
            <w:vAlign w:val="bottom"/>
          </w:tcPr>
          <w:p>
            <w:pPr>
              <w:spacing w:after="0"/>
              <w:rPr>
                <w:sz w:val="10"/>
                <w:szCs w:val="10"/>
                <w:color w:val="auto"/>
              </w:rPr>
            </w:pPr>
          </w:p>
        </w:tc>
        <w:tc>
          <w:tcPr>
            <w:tcW w:w="84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0"/>
                <w:szCs w:val="10"/>
                <w:color w:val="auto"/>
              </w:rPr>
            </w:pPr>
          </w:p>
        </w:tc>
        <w:tc>
          <w:tcPr>
            <w:tcW w:w="72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1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$77,985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$66,446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$55,571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3"/>
              </w:rPr>
              <w:t>(6,068)</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$49,503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16,824</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1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9,080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(2,617)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6,463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94,809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(16,445)</w:t>
            </w:r>
          </w:p>
        </w:tc>
        <w:tc>
          <w:tcPr>
            <w:tcW w:w="8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78,364</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64,651</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(8,685)</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55,966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expected future annual amortization expense for the years ending December 31, is as follows (in thousands):</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 w:type="dxa"/>
            <w:vAlign w:val="bottom"/>
            <w:vMerge w:val="restart"/>
          </w:tcPr>
          <w:p>
            <w:pPr>
              <w:spacing w:after="0"/>
              <w:rPr>
                <w:sz w:val="21"/>
                <w:szCs w:val="21"/>
                <w:color w:val="auto"/>
              </w:rPr>
            </w:pPr>
          </w:p>
        </w:tc>
        <w:tc>
          <w:tcPr>
            <w:tcW w:w="9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9,549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9,437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8,792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8,139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7,356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35,091</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78,364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SEGMENTS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provides services to healthcare organizations and other members within the healthcare industry. The Company’s services are focused on the delivery of workforce development products and services (HealthStream Workforce Solutions), survey and research services (HealthStream Patient Experience Solutions), and provider credentialing, privileging, call center and enrollment products and services (HealthStream Provider Solutions).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measures segment performance based on operating income before income taxes and prior to the allocation of certain corporate overhead expenses, interest income, interest expense, gains and losses from equity investments,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years ended December 31, 2016, 2015 and 2014 (in thousands).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SEGMENTS (continued)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Revenues, net:</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$168,040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$161,289</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gridSpan w:val="6"/>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$134,242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33,850</w:t>
            </w:r>
          </w:p>
        </w:tc>
        <w:tc>
          <w:tcPr>
            <w:tcW w:w="80" w:type="dxa"/>
            <w:vAlign w:val="bottom"/>
          </w:tcPr>
          <w:p>
            <w:pPr>
              <w:spacing w:after="0"/>
              <w:rPr>
                <w:sz w:val="18"/>
                <w:szCs w:val="18"/>
                <w:color w:val="auto"/>
              </w:rPr>
            </w:pPr>
          </w:p>
        </w:tc>
        <w:tc>
          <w:tcPr>
            <w:tcW w:w="9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34,193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31,901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24,084</w:t>
            </w:r>
          </w:p>
        </w:tc>
        <w:tc>
          <w:tcPr>
            <w:tcW w:w="8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13,520</w:t>
            </w: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225,974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209,002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170,690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3"/>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$ 37,329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$ 39,986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$ 35,374</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810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826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Unallocated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7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(28,797)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(25,418)</w:t>
            </w:r>
          </w:p>
        </w:tc>
        <w:tc>
          <w:tcPr>
            <w:tcW w:w="20" w:type="dxa"/>
            <w:vAlign w:val="bottom"/>
          </w:tcPr>
          <w:p>
            <w:pPr>
              <w:spacing w:after="0"/>
              <w:rPr>
                <w:sz w:val="18"/>
                <w:szCs w:val="18"/>
                <w:color w:val="auto"/>
              </w:rPr>
            </w:pPr>
          </w:p>
        </w:tc>
        <w:tc>
          <w:tcPr>
            <w:tcW w:w="114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(20,635)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$ 13,557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7"/>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$ 16,375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1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Purchases of long-lived assets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gridSpan w:val="1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Workforce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96,323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81,116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$ 9,266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$11,403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$ 7,179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Patient Experience</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35,988</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34,536</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2,007</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1,061</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155,011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100,948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10,976</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3,986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108,678</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161,344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130,634</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1,617</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1,546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5,257</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396,000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379,569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257,262</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14,550</w:t>
            </w:r>
          </w:p>
        </w:tc>
        <w:tc>
          <w:tcPr>
            <w:tcW w:w="8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15,359</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10,202</w:t>
            </w:r>
          </w:p>
        </w:tc>
        <w:tc>
          <w:tcPr>
            <w:tcW w:w="6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22,207</w:t>
            </w:r>
          </w:p>
        </w:tc>
        <w:tc>
          <w:tcPr>
            <w:tcW w:w="24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2"/>
              </w:rPr>
              <w:t>16,997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right="280" w:hanging="212"/>
        <w:spacing w:after="0" w:line="266" w:lineRule="auto"/>
        <w:tabs>
          <w:tab w:leader="none" w:pos="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include accounts and unbilled receivables, prepaid royalties,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is comprised of the following (in thousands):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400" w:type="dxa"/>
            <w:vAlign w:val="bottom"/>
          </w:tcPr>
          <w:p>
            <w:pPr>
              <w:spacing w:after="0"/>
              <w:rPr>
                <w:sz w:val="15"/>
                <w:szCs w:val="15"/>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5"/>
                <w:szCs w:val="15"/>
                <w:color w:val="auto"/>
              </w:rPr>
            </w:pP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5"/>
                <w:szCs w:val="15"/>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federal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(271)</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$3,608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$3,198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Current state</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877</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1,098</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1,605</w:t>
            </w: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federal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3"/>
              </w:rPr>
              <w:t>1,489</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Deferred state</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298</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r>
      <w:tr>
        <w:trPr>
          <w:trHeight w:val="27"/>
        </w:trPr>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3"/>
              </w:rPr>
              <w:t>2,393</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5,098</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6,127</w:t>
            </w:r>
          </w:p>
        </w:tc>
      </w:tr>
      <w:tr>
        <w:trPr>
          <w:trHeight w:val="20"/>
        </w:trPr>
        <w:tc>
          <w:tcPr>
            <w:tcW w:w="7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at the statutory federal income tax rate to the provision for income taxes included in the accompanying consolidated statements of income is as follows (in thousands):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7120" w:type="dxa"/>
            <w:vAlign w:val="bottom"/>
          </w:tcPr>
          <w:p>
            <w:pPr>
              <w:spacing w:after="0"/>
              <w:rPr>
                <w:sz w:val="15"/>
                <w:szCs w:val="15"/>
                <w:color w:val="auto"/>
              </w:rPr>
            </w:pPr>
          </w:p>
        </w:tc>
        <w:tc>
          <w:tcPr>
            <w:tcW w:w="5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provision at the statutory rate</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$2,152</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$4,802</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provision, net of federal benefit</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c>
          <w:tcPr>
            <w:tcW w:w="3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673</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9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(560)</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(425)</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(1,160)</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Change in state valuation allowance</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3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2,393</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5,098</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$ 6,127</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periodically assesses the realizability of its deferred tax assets, and to the extent that a recovery is not likely, a valuation allowance is established to reduce the deferred tax asset to the amount estimated to be recoverable. At December 31, 2016, a valuation allowance of $654,000 exists.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 (continued)</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December 31, 2016, the Company had federal and state net operating loss carryforwards of $478,000 and $17.6 million, respectively. These loss carryforwards will expire in years 2017 through 2026. The Company is subject to income taxation at the federal and various state levels. The Company is subject to U.S. federal tax examinations for tax years 2015 through 2016. Loss carryforwards and credit carryforwards generated or utilized in years earlier than 2015 are also subject to examination and adjustment. The Company has completed examinations with the Internal Revenue Service for tax years 2013 and 2014. The Company has research and development tax credit carryforwards of $2.7 million that expire in varying amounts through 2036. As of December 31, 2016, the Company had alternative minimum tax credit carryforwards of $837,000 that are available to offset future regular tax liabilities and they do not expire.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liability for gross unrecognized tax benefits at December 31, 2016 and 2015, are as follows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5"/>
                <w:szCs w:val="15"/>
                <w:color w:val="auto"/>
              </w:rPr>
            </w:pP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$ 658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in the current year</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(1,861)</w:t>
            </w:r>
          </w:p>
        </w:tc>
      </w:tr>
      <w:tr>
        <w:trPr>
          <w:trHeight w:val="223"/>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$ 397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recognized approximately $18,000 and $14,000 for interest and penalties related to unrecognized tax benefits within the provision for income taxes during the years ended December 31, 2016 and 2015, respectively. Unrecognized tax benefits included tax positions of approximately $350,000 and $308,000 at December 31, 2016 and 2015, respectively, that if recognized would impact the Company’s effective tax rate. The reduction for tax positions of prior years reflected in the table above as of December 31, 2016 relates to an amended return filed with the IRS. The Company estimates that it is reasonably possible the liability for unrecognized tax benefits could decrease up to $46,000 within the next 12 months.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and deferred tax liabilities are as follows (in thousands):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80" w:type="dxa"/>
            <w:vAlign w:val="bottom"/>
            <w:tcBorders>
              <w:bottom w:val="single" w:sz="8" w:color="CCEEFF"/>
            </w:tcBorders>
          </w:tcPr>
          <w:p>
            <w:pPr>
              <w:spacing w:after="0"/>
              <w:rPr>
                <w:sz w:val="15"/>
                <w:szCs w:val="15"/>
                <w:color w:val="auto"/>
              </w:rPr>
            </w:pPr>
          </w:p>
        </w:tc>
        <w:tc>
          <w:tcPr>
            <w:tcW w:w="3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credits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Basis difference on investments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Deductible goodwill</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Nondeductible intangible assets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assets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3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13,485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(5,968)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140" w:type="dxa"/>
            <w:vAlign w:val="bottom"/>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Incentive Plans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2016 Omnibus Incentive Plan (2016 Plan), 2010 Stock Incentive Plan (2010 Plan) and 2000 Stock Incentive Plan (2000 Plan; collectively, the 2016 Plan, the 2010 Plan and the 2000 Plan referred to as the Plan) authorize the grant of options, restricted share units (RSU), or other forms of stock based compensation to employees, officers, directors and others, and such grants must be approved by the Compensation Committee of the Board of Directors. Options granted under the Plan have terms of no more than ten years, with certain restrictions. The Plan allows the Compensation Committee of the Board of Directors to determine the vesting period and parameters of each grant. The vesting period of the options and RSUs granted has historically ranged from immediate vesting to annual vesting up to four years, generally beginning one year after the grant date. As of December 31, 2016, approximately 1.5 million shares of unissued common stock remained reserved for future stock incentive grants under the 2016 Plan. The Company issues new shares of common stock when options are exercised or when RSUs become vested.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 Activity</w:t>
      </w:r>
    </w:p>
    <w:p>
      <w:pPr>
        <w:spacing w:after="0" w:line="1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summary of activity and various other information relative to stock options for the year ended December 31, 2016 is presented in the tables below (in thousands, except exercise price).</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6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80" w:type="dxa"/>
            <w:vAlign w:val="bottom"/>
          </w:tcPr>
          <w:p>
            <w:pPr>
              <w:spacing w:after="0"/>
              <w:rPr>
                <w:sz w:val="12"/>
                <w:szCs w:val="12"/>
                <w:color w:val="auto"/>
              </w:rPr>
            </w:pPr>
          </w:p>
        </w:tc>
        <w:tc>
          <w:tcPr>
            <w:tcW w:w="6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52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8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5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520</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6"/>
              </w:rPr>
              <w:t>476</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8,716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1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8,716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aggregate intrinsic value for stock options in the table above represents the total difference between the Company’s closing stock price on December 30, 2016 (the last trading day of the year) of $25.05 per share and the option exercise price, multiplied by the number of in-the-money options as of December 31, 2016. The weighted average remaining contractual term of options outstanding at December 31, 2016 was 1.6 years. Options exercisable at December 31, 2016 have a weighted average remaining contractual term of 1.6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relative to option activity during the three years ended December 31, 2016 is as follows (in thousands):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grant date fair value of stock options vested</w:t>
            </w:r>
          </w:p>
        </w:tc>
        <w:tc>
          <w:tcPr>
            <w:tcW w:w="18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intrinsic value of stock options exercised</w:t>
            </w:r>
          </w:p>
        </w:tc>
        <w:tc>
          <w:tcPr>
            <w:tcW w:w="2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820</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exercise of stock options</w:t>
            </w:r>
          </w:p>
        </w:tc>
        <w:tc>
          <w:tcPr>
            <w:tcW w:w="2660" w:type="dxa"/>
            <w:vAlign w:val="bottom"/>
            <w:gridSpan w:val="3"/>
            <w:shd w:val="clear" w:color="auto" w:fill="CCEEFF"/>
          </w:tcPr>
          <w:p>
            <w:pPr>
              <w:ind w:left="18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Share Unit Activity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relative to RSUs for the year ended December 31, 2016 is as follows (in thousands, except weighted average grant date fair value):</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6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28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2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9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28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420" w:type="dxa"/>
            <w:vAlign w:val="bottom"/>
          </w:tcPr>
          <w:p>
            <w:pPr>
              <w:spacing w:after="0"/>
              <w:rPr>
                <w:sz w:val="15"/>
                <w:szCs w:val="15"/>
                <w:color w:val="auto"/>
              </w:rPr>
            </w:pPr>
          </w:p>
        </w:tc>
        <w:tc>
          <w:tcPr>
            <w:tcW w:w="128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5"/>
                <w:szCs w:val="15"/>
                <w:color w:val="auto"/>
              </w:rPr>
            </w:pPr>
          </w:p>
        </w:tc>
        <w:tc>
          <w:tcPr>
            <w:tcW w:w="8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2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6,331</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420"/>
          </w:cols>
          <w:pgMar w:left="240" w:top="45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type w:val="continuous"/>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BASED COMPENSATION (continued)</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aggregate fair value of RSU awards that vested in 2016 and 2015, as of the respective vesting dates, was approximately $1.5 million and $1.4 million, respectively. A portion of RSUs that vested in 2016 and 2015 were net-share settled such that the Company withheld shares with value equivalent to the employees’ minimum statutory obligation for the applicable income and other employment taxes, and remitted the cash to the appropriate taxing authorities. The total shares withheld for RSUs during 2016 and 2015 were 15,373 and 8,922, respectively, and were based on the value of the RSUs on their respective settlement dates as determined by the Company’s closing stock price. Total payments related to RSUs for the employees’ tax obligations to taxing authorities were approximately $316,000 in 2016 and $230,000 in 2015, and are reflected as a financing activity within the consolidated statements of cash flows. These net-share settlements had the effect of share repurchases by the Company as they reduced and retired the number of shares that would have otherwise been issued as a result of the vesting and did not represent an expense to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Based Compensation</w:t>
      </w:r>
    </w:p>
    <w:p>
      <w:pPr>
        <w:spacing w:after="0" w:line="11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Total stock based compensation expense, which is recorded in our consolidated statements of income, recorded for the years ended December 31, is as follows (in thousands):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9"/>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73"/>
        </w:trPr>
        <w:tc>
          <w:tcPr>
            <w:tcW w:w="7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60" w:type="dxa"/>
            <w:vAlign w:val="bottom"/>
            <w:tcBorders>
              <w:bottom w:val="single" w:sz="8" w:color="CCEEFF"/>
            </w:tcBorders>
          </w:tcPr>
          <w:p>
            <w:pPr>
              <w:spacing w:after="0"/>
              <w:rPr>
                <w:sz w:val="15"/>
                <w:szCs w:val="15"/>
                <w:color w:val="auto"/>
              </w:rPr>
            </w:pPr>
          </w:p>
        </w:tc>
      </w:tr>
      <w:tr>
        <w:trPr>
          <w:trHeight w:val="21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1,407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1,114</w:t>
            </w:r>
          </w:p>
        </w:tc>
      </w:tr>
      <w:tr>
        <w:trPr>
          <w:trHeight w:val="27"/>
        </w:trPr>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3,280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1,625</w:t>
            </w:r>
          </w:p>
        </w:tc>
      </w:tr>
      <w:tr>
        <w:trPr>
          <w:trHeight w:val="20"/>
        </w:trPr>
        <w:tc>
          <w:tcPr>
            <w:tcW w:w="7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amortizes the fair value of all stock based awards, net of estimated forfeitures, on a straight-line basis over the requisite service period, which generally is the vesting period. As of December 31, 2016, total unrecognized compensation expense related to non-vested stock options and RSUs was approximately $3.1 million, net of estimated forfeitures, with a weighted average expense recognition period remaining of 2.4 years. The Company realized approximately $217,000 of excess tax benefits related to stock based awards during the year ended December 31, 2016, which was recorded as an increase to common stock.</w:t>
      </w:r>
    </w:p>
    <w:p>
      <w:pPr>
        <w:spacing w:after="0" w:line="18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Stock based compensation cost for RSUs is measured based on the closing fair market value of the Company’s stock on the date of grant. Stock based compensation cost for stock options is estimated at the grant date based on the fair value calculated using the Black-Scholes method. The Company did not grant any stock options during 2016, 2015, or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Awards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June 2015, the Company’s Chief Executive Officer (“CEO”), Robert A. Frist, Jr., entered into an agreement with the Company pursuant to which he contributed 54,241 of his personally owned shares of HealthStream, Inc. common stock to the Company, without any consideration paid to him. In connection with this contribution, the Company approved the grant of 49,310 shares of HealthStream, Inc. common stock to over 600 employees who were not otherwise eligible to receive equity awards and had at least one year of service with the Company. The Company recognized approximately $1.5 million of stock based compensation expense for these stock awards during the three months ended June 30, 2015 based on the closing fair market value of the Company’s stock on the date of the Company’s approval of these grants. In connection with these equity awards, effective in the second quarter of 2015, the Company withheld shares with value equivalent to the employees’ minimum statutory obligation for the applicable income and other employment taxes, and remitted the cash to the appropriate taxing authorities. The total shares withheld were 17,279, and were based on the value of the stock awards on the date of the Company’s approval of these grants, as determined by the Company’s closing stock price on that date. Total payments related to the employees’ tax obligations to taxing authorities for these stock awards were approximately $526,000, and are reflected as a financing activity within the consolidated statements of cash flows for the year ended December 31, 2015. These share withholdings had the effect of share repurchases by the Company as they reduced and retired the number of shares otherwise issuable as a result of the stock awards and did not represent an expense to the Company.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455" w:right="2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ind w:right="8720" w:firstLine="8"/>
        <w:spacing w:after="0" w:line="378" w:lineRule="auto"/>
        <w:tabs>
          <w:tab w:leader="none" w:pos="27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 401(k) Plan</w:t>
      </w: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a defined-contribution employee benefit plan (401(k) Plan) incorporating provisions of Section 401(k) of the Internal Revenue Code. Employees must have attained the age of 21 and have completed thirty days of service to be eligible to participate in the 401(k) Plan. Under the provisions of the 401(k) Plan, a plan member may make contributions, on a tax-deferred basis, subject to IRS limitations. The Company elected to provide eligible employees with matching contributions totaling approximately $391,000 and $645,000 for the years ended December 31, 2016 and 2015,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2016 and 2015, the Company had no debt outstanding.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a Loan Agreement (the “Revolving Credit Facility”) with SunTrust Bank (“SunTrust”) in the aggregate principal amount of $50.0 million, which matures on November 24, 2017. Under the Revolving Credit Facility, the Company may borrow up to $50.0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2017,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Revolving Credit Facility requires the Company to meet certain financial tests, including, without limitation:</w:t>
      </w:r>
    </w:p>
    <w:p>
      <w:pPr>
        <w:spacing w:after="0" w:line="131"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funded debt leverage ratio (consolidated debt/consolidated EBITDA) of not greater than 3.0 to 1.0;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coverage ratio (consolidated EBITDA/consolidated interest expense) of not less than 3.0 to 1.0.</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2016, the Company was in material compliance with all covenants. There were no balances outstanding on the Revolving Credit Facility as of December 31, 2016 and there were no borrowings under the Revolving Credit Facility during the year ended December 31, 2016. During the three months ended March 31, 2015, the Company borrowed approximately $28.0 million under the Revolving Credit Facility. During the three months ended June 30, 2015, the Company repaid approximately $28.0 million of balances previously outstanding under the Revolving Credit Facility from proceeds received in the Company’s public offering of 3,869,750 shares which closed on May 28, 2015.</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has non-cancellable operating leases primarily for office space, hosting facilities, and office equipment. Some lease agreements contain provisions for escalating rent payments over the initial terms of the lease. The Company accounts for these leases by recognizing rent expense on a straight-line basis and adjusting the deferred rent expense liability for the difference between the straight-line rent expense and the amount of rent paid. The terms of the lease agreements generally provide the Company the option to renew. The Company also leases certain office equipment under operating leases. Total rent expense under all operating leases was approximately $5.6 million, $4.3 million, and $3.1 million, for the years ended December 31, 2016, 2015, and 2014, respectively.</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Future rental payment commitments at December 31, 2016 under non-cancelable operating leases, with initial terms of one year or more, are as follows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15,887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subleases certain of its office space included above under non-cancellable leases and is due to receive future minimum rental payments of approximately $157,000 and $148,000 for the years ended December 31, 2017 and December 31, 2018,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COLLABORATIVE ARRANGEMENT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participates in a collaborative arrangement, SimVentures</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with Laerdal Medical A/S (Laerdal Medical). The Company receives 50 percent of the profits or losses generated from this collaborative arrangement. The parties did not form a separate legal entity as part of the collaborative arrangement; therefore, the Company accounts for SimVentures as a collaborative arrangement in accordance with applicable accounting guidance. For the year ended December 31, 2016, the Company recorded approximately $2.7 million of revenues and $1.4 million of expenses related to the collaborative arrangement. For the year ended December 31, 2015, the Company recorded approximately $2.2 million of revenues and $1.8 million of expenses related to the collaborative arrangement.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LITIGATION</w:t>
      </w:r>
    </w:p>
    <w:p>
      <w:pPr>
        <w:spacing w:after="0" w:line="121"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In connection with its business, the Company is from time to time involved in various legal actions. The litigation process is inherently uncertain and it is possible that the resolution of such matters might have a material adverse effect upon the financial condition and/or results of operations of the Company. However, in the opinion of the Company’s management, matters currently pending or threatened against the Company are not expected to have a material adverse effect on the financial position or results of operations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2015, the Company’s CEO, Robert A. Frist, Jr., entered into an agreement with the Company pursuant to which he contributed 54,241 of his personally owned shares of HealthStream, Inc. common stock to the Company, without any consideration paid to him. In connection with this contribution, the Company approved the grant of 49,310 shares of common stock to over 600 employees, with a fair market value of approximately $1.5 million. Mr. Frist contributed 4,931 of the contributed shares noted above to take into account the estimated Company costs, such as administrative expenses and employer payroll taxes associated with the grants (See Note 11).</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2016.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2016. In making this assessment, management used the criteria set forth by the Committee of Sponsoring Organizations of the Treadway Commission in Internal Control-Integrated Framework (2013 Framework). Management’s assessment included an evaluation of the design of our internal control over financial reporting and testing of the operational effectiveness of our internal control over financial reporting. Management believes that, as of December 31, 2016, the Company’s internal control over financial reporting was effective based on those criteria. The Company’s independent registered public accounting firm, Ernst &amp; Young LLP, has issued an audit report on the Company’s internal control over financial reporting, which appears in Item 8 of this Annual Report on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There were no changes in HealthStream’s internal control over financial reporting that occurred during the fourth quarter of 2016 that have materially affected, or that are reasonably likely to materially affect, HealthStream’s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Information as to directors of the Company and corporate governance is incorporated by reference from the information to be contained in our proxy statement for the 2017 Annual Meeting of Shareholders (2017 Proxy Statement) that we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“Executive Officers of the Registrant.”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from the information to be contained in the Company’s 2017 Proxy Statement.</w:t>
      </w:r>
    </w:p>
    <w:p>
      <w:pPr>
        <w:spacing w:after="0" w:line="329" w:lineRule="exact"/>
        <w:rPr>
          <w:sz w:val="20"/>
          <w:szCs w:val="20"/>
          <w:color w:val="auto"/>
        </w:rPr>
      </w:pPr>
    </w:p>
    <w:p>
      <w:pPr>
        <w:ind w:right="29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by reference from the information to be contained in the Company’s 2017 Proxy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from the information to be contained in the Company’s 2017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from the information to be contained in the Company’s 2017 Proxy Statement.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80"/>
          </w:cols>
          <w:pgMar w:left="240" w:top="455" w:right="4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Reference is made to the financial statements included in Item 8 to this Report on Form 10-K.</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ind w:left="460" w:right="260"/>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Consolidated Financial Statements or the notes thereto.</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(a)(3)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Pr>
          <w:p>
            <w:pPr>
              <w:spacing w:after="0"/>
              <w:rPr>
                <w:sz w:val="16"/>
                <w:szCs w:val="16"/>
                <w:color w:val="auto"/>
              </w:rPr>
            </w:pPr>
          </w:p>
        </w:tc>
        <w:tc>
          <w:tcPr>
            <w:tcW w:w="10140" w:type="dxa"/>
            <w:vAlign w:val="bottom"/>
            <w:tcBorders>
              <w:bottom w:val="single" w:sz="8" w:color="auto"/>
            </w:tcBorders>
          </w:tcPr>
          <w:p>
            <w:pPr>
              <w:ind w:left="47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86"/>
        </w:trPr>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5"/>
                <w:szCs w:val="15"/>
                <w:color w:val="auto"/>
              </w:rPr>
              <w:t>(1)</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Membership Interest Purchase Agreement, dated as of February 12, 2015, between HealthStream, Inc., Littrell Holdings, Inc., HealthLine</w:t>
            </w:r>
          </w:p>
        </w:tc>
      </w:tr>
      <w:tr>
        <w:trPr>
          <w:trHeight w:val="216"/>
        </w:trPr>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Systems, Inc., the Shareholders of HealthLine Systems, Inc., and Dan Littrell in his individual capacity and as the Shareholders</w:t>
            </w:r>
          </w:p>
        </w:tc>
      </w:tr>
      <w:tr>
        <w:trPr>
          <w:trHeight w:val="234"/>
        </w:trPr>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w:t>
            </w:r>
          </w:p>
        </w:tc>
      </w:tr>
      <w:tr>
        <w:trPr>
          <w:trHeight w:val="324"/>
        </w:trPr>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5"/>
                <w:szCs w:val="15"/>
                <w:color w:val="auto"/>
              </w:rPr>
              <w:t>(2)</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Agreement, by and between Echo, Inc. and Morrisey Holdings, Inc., dated August 8, 2016.</w:t>
            </w:r>
          </w:p>
        </w:tc>
      </w:tr>
      <w:tr>
        <w:trPr>
          <w:trHeight w:val="324"/>
        </w:trPr>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Form of Fourth Amended and Restated Charter of HealthStream, Inc.</w:t>
            </w:r>
          </w:p>
        </w:tc>
      </w:tr>
      <w:tr>
        <w:trPr>
          <w:trHeight w:val="324"/>
        </w:trPr>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5"/>
                <w:szCs w:val="15"/>
                <w:color w:val="auto"/>
              </w:rPr>
              <w:t>(8)</w:t>
            </w:r>
            <w:r>
              <w:rPr>
                <w:rFonts w:ascii="Times New Roman" w:cs="Times New Roman" w:eastAsia="Times New Roman" w:hAnsi="Times New Roman"/>
                <w:sz w:val="18"/>
                <w:szCs w:val="18"/>
                <w:color w:val="auto"/>
              </w:rPr>
              <w:t>*</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Form of Second Amended and Restated Bylaws of HealthStream, Inc.</w:t>
            </w:r>
          </w:p>
        </w:tc>
      </w:tr>
      <w:tr>
        <w:trPr>
          <w:trHeight w:val="324"/>
        </w:trPr>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7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Form of certificate representing the common stock, no par value per share, of HealthStream, Inc.</w:t>
            </w:r>
          </w:p>
        </w:tc>
      </w:tr>
      <w:tr>
        <w:trPr>
          <w:trHeight w:val="324"/>
        </w:trPr>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7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Reference is made to Exhibits 3.1 and 3.2.</w:t>
            </w:r>
          </w:p>
        </w:tc>
      </w:tr>
      <w:tr>
        <w:trPr>
          <w:trHeight w:val="324"/>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2000 Stock Incentive Plan, effective as of April 10, 2000</w:t>
            </w:r>
          </w:p>
        </w:tc>
      </w:tr>
      <w:tr>
        <w:trPr>
          <w:trHeight w:val="324"/>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5"/>
                <w:szCs w:val="15"/>
                <w:color w:val="auto"/>
              </w:rPr>
              <w:t>(6)</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2010 Stock Incentive Plan, effective as of May 27, 2010</w:t>
            </w:r>
          </w:p>
        </w:tc>
      </w:tr>
      <w:tr>
        <w:trPr>
          <w:trHeight w:val="324"/>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Form of Indemnification Agreement</w:t>
            </w:r>
          </w:p>
        </w:tc>
      </w:tr>
      <w:tr>
        <w:trPr>
          <w:trHeight w:val="324"/>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5"/>
                <w:szCs w:val="15"/>
                <w:color w:val="auto"/>
              </w:rPr>
              <w:t>(3)</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Executive Employment Agreement, dated July 21, 2005, between HealthStream, Inc. and Robert A. Frist, Jr.</w:t>
            </w:r>
          </w:p>
        </w:tc>
      </w:tr>
      <w:tr>
        <w:trPr>
          <w:trHeight w:val="324"/>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5"/>
                <w:szCs w:val="15"/>
                <w:color w:val="auto"/>
              </w:rPr>
              <w:t>(4)</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Form of HealthStream, Inc. Non-Qualified Stock Option Agreement (Employees) under 2010 Stock Incentive Plan</w:t>
            </w:r>
          </w:p>
        </w:tc>
      </w:tr>
      <w:tr>
        <w:trPr>
          <w:trHeight w:val="324"/>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5"/>
                <w:szCs w:val="15"/>
                <w:color w:val="auto"/>
              </w:rPr>
              <w:t>(4)</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Form of HealthStream, Inc. Incentive Stock Option Agreement (Employees) under 2010 Stock Incentive Plan</w:t>
            </w:r>
          </w:p>
        </w:tc>
      </w:tr>
      <w:tr>
        <w:trPr>
          <w:trHeight w:val="324"/>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5"/>
                <w:szCs w:val="15"/>
                <w:color w:val="auto"/>
              </w:rPr>
              <w:t>(4)</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Form of HealthStream, Inc. Non-Qualified Stock Option Agreement (Directors) under 2010 Stock Incentive Plan</w:t>
            </w:r>
          </w:p>
        </w:tc>
      </w:tr>
      <w:tr>
        <w:trPr>
          <w:trHeight w:val="324"/>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15"/>
                <w:szCs w:val="15"/>
                <w:color w:val="auto"/>
              </w:rPr>
              <w:t>(5)</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(Officers) under 2010 Stock Incentive Plan</w:t>
            </w:r>
          </w:p>
        </w:tc>
      </w:tr>
      <w:tr>
        <w:trPr>
          <w:trHeight w:val="324"/>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10.9^</w:t>
            </w:r>
            <w:r>
              <w:rPr>
                <w:rFonts w:ascii="Times New Roman" w:cs="Times New Roman" w:eastAsia="Times New Roman" w:hAnsi="Times New Roman"/>
                <w:sz w:val="15"/>
                <w:szCs w:val="15"/>
                <w:color w:val="auto"/>
              </w:rPr>
              <w:t>(5)</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(Non-Employee Director) under 2010 Stock Incentive Plan</w:t>
            </w:r>
          </w:p>
        </w:tc>
      </w:tr>
      <w:tr>
        <w:trPr>
          <w:trHeight w:val="306"/>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15"/>
                <w:szCs w:val="15"/>
                <w:color w:val="auto"/>
              </w:rPr>
              <w:t>(7)</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w w:val="99"/>
              </w:rPr>
              <w:t>Revolving Credit Agreement, dated November 24, 2014, by and among HealthStream, Inc., the several banks and other financial institutions</w:t>
            </w:r>
          </w:p>
        </w:tc>
      </w:tr>
      <w:tr>
        <w:trPr>
          <w:trHeight w:val="234"/>
        </w:trPr>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and lenders from time to time party thereto and SunTrust Bank, as administrative agent, issuing bank, and swingline lender</w:t>
            </w:r>
          </w:p>
        </w:tc>
      </w:tr>
      <w:tr>
        <w:trPr>
          <w:trHeight w:val="324"/>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Summary of Director and Executive Officer Compensation</w:t>
            </w:r>
          </w:p>
        </w:tc>
      </w:tr>
      <w:tr>
        <w:trPr>
          <w:trHeight w:val="324"/>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15"/>
                <w:szCs w:val="15"/>
                <w:color w:val="auto"/>
              </w:rPr>
              <w:t>(9)</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HealthStream, Inc. 2015 Cash Incentive Bonus Plan</w:t>
            </w:r>
          </w:p>
        </w:tc>
      </w:tr>
      <w:tr>
        <w:trPr>
          <w:trHeight w:val="324"/>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10.13</w:t>
            </w:r>
            <w:r>
              <w:rPr>
                <w:rFonts w:ascii="Times New Roman" w:cs="Times New Roman" w:eastAsia="Times New Roman" w:hAnsi="Times New Roman"/>
                <w:sz w:val="15"/>
                <w:szCs w:val="15"/>
                <w:color w:val="auto"/>
              </w:rPr>
              <w:t>(9)</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Agreement, dated as of June 30, 2015, between HealthStream, Inc. and Robert A. Frist, Jr.</w:t>
            </w:r>
          </w:p>
        </w:tc>
      </w:tr>
      <w:tr>
        <w:trPr>
          <w:trHeight w:val="324"/>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10.14^</w:t>
            </w:r>
            <w:r>
              <w:rPr>
                <w:rFonts w:ascii="Times New Roman" w:cs="Times New Roman" w:eastAsia="Times New Roman" w:hAnsi="Times New Roman"/>
                <w:sz w:val="15"/>
                <w:szCs w:val="15"/>
                <w:color w:val="auto"/>
              </w:rPr>
              <w:t>(10)</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Letter Agreement, dated as of September 24, 2015, between HealthStream, Inc. and Michael Sousa.</w:t>
            </w:r>
          </w:p>
        </w:tc>
      </w:tr>
      <w:tr>
        <w:trPr>
          <w:trHeight w:val="306"/>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10.15^</w:t>
            </w:r>
            <w:r>
              <w:rPr>
                <w:rFonts w:ascii="Times New Roman" w:cs="Times New Roman" w:eastAsia="Times New Roman" w:hAnsi="Times New Roman"/>
                <w:sz w:val="15"/>
                <w:szCs w:val="15"/>
                <w:color w:val="auto"/>
              </w:rPr>
              <w:t>(10)</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(Performance) under 2010 Stock Incentive Plan between HealthStream, Inc.</w:t>
            </w:r>
          </w:p>
        </w:tc>
      </w:tr>
      <w:tr>
        <w:trPr>
          <w:trHeight w:val="234"/>
        </w:trPr>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and Michael Sousa.</w:t>
            </w:r>
          </w:p>
        </w:tc>
      </w:tr>
      <w:tr>
        <w:trPr>
          <w:trHeight w:val="306"/>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15"/>
                <w:szCs w:val="15"/>
                <w:color w:val="auto"/>
              </w:rPr>
              <w:t>(10)</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(Cumulative) under 2010 Stock Incentive Plan between HealthStream, Inc.</w:t>
            </w:r>
          </w:p>
        </w:tc>
      </w:tr>
      <w:tr>
        <w:trPr>
          <w:trHeight w:val="234"/>
        </w:trPr>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and Michael Sousa.</w:t>
            </w:r>
          </w:p>
        </w:tc>
      </w:tr>
      <w:tr>
        <w:trPr>
          <w:trHeight w:val="324"/>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10.17^</w:t>
            </w:r>
            <w:r>
              <w:rPr>
                <w:rFonts w:ascii="Times New Roman" w:cs="Times New Roman" w:eastAsia="Times New Roman" w:hAnsi="Times New Roman"/>
                <w:sz w:val="15"/>
                <w:szCs w:val="15"/>
                <w:color w:val="auto"/>
              </w:rPr>
              <w:t>(10)</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2015 Provider Solutions Cash Incentive Bonus Plan.</w:t>
            </w:r>
          </w:p>
        </w:tc>
      </w:tr>
      <w:tr>
        <w:trPr>
          <w:trHeight w:val="324"/>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10.18^</w:t>
            </w:r>
            <w:r>
              <w:rPr>
                <w:rFonts w:ascii="Times New Roman" w:cs="Times New Roman" w:eastAsia="Times New Roman" w:hAnsi="Times New Roman"/>
                <w:sz w:val="15"/>
                <w:szCs w:val="15"/>
                <w:color w:val="auto"/>
              </w:rPr>
              <w:t>(11)</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2016 Omnibus Plan.</w:t>
            </w:r>
          </w:p>
        </w:tc>
      </w:tr>
      <w:tr>
        <w:trPr>
          <w:trHeight w:val="306"/>
        </w:trPr>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(Cumulative) under 2016 Omnibus Plan between HealthStream, Inc. and</w:t>
            </w:r>
          </w:p>
        </w:tc>
      </w:tr>
      <w:tr>
        <w:trPr>
          <w:trHeight w:val="234"/>
        </w:trPr>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Michael Sousa.</w:t>
            </w:r>
          </w:p>
        </w:tc>
      </w:tr>
      <w:tr>
        <w:trPr>
          <w:trHeight w:val="324"/>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7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HealthStream, Inc.</w:t>
            </w:r>
          </w:p>
        </w:tc>
      </w:tr>
      <w:tr>
        <w:trPr>
          <w:trHeight w:val="324"/>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7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24"/>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7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 2002</w:t>
            </w:r>
          </w:p>
        </w:tc>
      </w:tr>
      <w:tr>
        <w:trPr>
          <w:trHeight w:val="324"/>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7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 302 of the Sarbanes-Oxley Act of 2002</w:t>
            </w:r>
          </w:p>
        </w:tc>
      </w:tr>
      <w:tr>
        <w:trPr>
          <w:trHeight w:val="324"/>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7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324"/>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76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32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INS</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SCH</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CAL</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DEF</w:t>
            </w:r>
          </w:p>
        </w:tc>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bl>
    <w:p>
      <w:pPr>
        <w:sectPr>
          <w:pgSz w:w="11900" w:h="16838" w:orient="portrait"/>
          <w:cols w:equalWidth="0" w:num="1">
            <w:col w:w="11420"/>
          </w:cols>
          <w:pgMar w:left="240" w:top="455" w:right="23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101.1 LAB</w:t>
            </w:r>
          </w:p>
        </w:tc>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101.1 PRE</w:t>
            </w:r>
          </w:p>
        </w:tc>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w:t>
            </w:r>
          </w:p>
        </w:tc>
      </w:tr>
    </w:tbl>
    <w:p>
      <w:pPr>
        <w:spacing w:after="0" w:line="225" w:lineRule="exact"/>
        <w:rPr>
          <w:sz w:val="20"/>
          <w:szCs w:val="20"/>
          <w:color w:val="auto"/>
        </w:rPr>
      </w:pPr>
    </w:p>
    <w:p>
      <w:pPr>
        <w:ind w:right="2640" w:firstLine="8"/>
        <w:spacing w:after="0" w:line="261" w:lineRule="auto"/>
        <w:tabs>
          <w:tab w:leader="none" w:pos="4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Registration Statement on Form S-1, as amended (Reg. No. 333-88939). ^ Management contract or compensatory plan or arrangement</w:t>
      </w: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February 13, 2015.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August 8, 2016.</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July 25, 2005.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June 1, 2010.</w:t>
      </w:r>
    </w:p>
    <w:p>
      <w:pPr>
        <w:spacing w:after="0" w:line="9"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March 31, 2012 filed with the SEC on April 30, 2012.</w:t>
      </w: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B of the Company’s Definitive Proxy Statement filed with the SEC on April 29, 2010.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November 25, 2014.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October 23, 2015.</w:t>
      </w:r>
    </w:p>
    <w:p>
      <w:pPr>
        <w:spacing w:after="0" w:line="9" w:lineRule="exact"/>
        <w:rPr>
          <w:rFonts w:ascii="Times New Roman" w:cs="Times New Roman" w:eastAsia="Times New Roman" w:hAnsi="Times New Roman"/>
          <w:sz w:val="18"/>
          <w:szCs w:val="18"/>
          <w:color w:val="auto"/>
        </w:rPr>
      </w:pPr>
    </w:p>
    <w:p>
      <w:pPr>
        <w:ind w:left="460" w:right="10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June 30, 2015, filed with the SEC on July 31, 2015.</w:t>
      </w:r>
    </w:p>
    <w:p>
      <w:pPr>
        <w:ind w:left="460" w:right="4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September 30, 2015, filed with the SEC on October 30, 2015.</w:t>
      </w: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May 26, 2016.</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00"/>
          </w:cols>
          <w:pgMar w:left="240" w:top="121" w:right="3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February, 2017.</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HEALTHSTREAM,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R</w:t>
      </w:r>
      <w:r>
        <w:rPr>
          <w:rFonts w:ascii="Times New Roman" w:cs="Times New Roman" w:eastAsia="Times New Roman" w:hAnsi="Times New Roman"/>
          <w:sz w:val="15"/>
          <w:szCs w:val="15"/>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5"/>
          <w:szCs w:val="15"/>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4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540" w:type="dxa"/>
            <w:vAlign w:val="bottom"/>
            <w:gridSpan w:val="3"/>
          </w:tcPr>
          <w:p>
            <w:pPr>
              <w:ind w:left="2420"/>
              <w:spacing w:after="0"/>
              <w:rPr>
                <w:sz w:val="20"/>
                <w:szCs w:val="20"/>
                <w:color w:val="auto"/>
              </w:rPr>
            </w:pPr>
            <w:r>
              <w:rPr>
                <w:rFonts w:ascii="Times New Roman" w:cs="Times New Roman" w:eastAsia="Times New Roman" w:hAnsi="Times New Roman"/>
                <w:sz w:val="14"/>
                <w:szCs w:val="14"/>
                <w:b w:val="1"/>
                <w:bCs w:val="1"/>
                <w:color w:val="auto"/>
              </w:rPr>
              <w:t>Title(s)</w:t>
            </w:r>
          </w:p>
        </w:tc>
        <w:tc>
          <w:tcPr>
            <w:tcW w:w="21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R</w:t>
            </w:r>
            <w:r>
              <w:rPr>
                <w:rFonts w:ascii="Times New Roman" w:cs="Times New Roman" w:eastAsia="Times New Roman" w:hAnsi="Times New Roman"/>
                <w:sz w:val="15"/>
                <w:szCs w:val="15"/>
                <w:color w:val="auto"/>
                <w:w w:val="99"/>
              </w:rPr>
              <w:t>OBERT</w:t>
            </w:r>
            <w:r>
              <w:rPr>
                <w:rFonts w:ascii="Times New Roman" w:cs="Times New Roman" w:eastAsia="Times New Roman" w:hAnsi="Times New Roman"/>
                <w:sz w:val="18"/>
                <w:szCs w:val="18"/>
                <w:color w:val="auto"/>
                <w:w w:val="99"/>
              </w:rPr>
              <w:t xml:space="preserve"> A. F</w:t>
            </w:r>
            <w:r>
              <w:rPr>
                <w:rFonts w:ascii="Times New Roman" w:cs="Times New Roman" w:eastAsia="Times New Roman" w:hAnsi="Times New Roman"/>
                <w:sz w:val="15"/>
                <w:szCs w:val="15"/>
                <w:color w:val="auto"/>
                <w:w w:val="99"/>
              </w:rPr>
              <w:t>RIST</w:t>
            </w:r>
            <w:r>
              <w:rPr>
                <w:rFonts w:ascii="Times New Roman" w:cs="Times New Roman" w:eastAsia="Times New Roman" w:hAnsi="Times New Roman"/>
                <w:sz w:val="18"/>
                <w:szCs w:val="18"/>
                <w:color w:val="auto"/>
                <w:w w:val="99"/>
              </w:rPr>
              <w:t>, J</w:t>
            </w:r>
            <w:r>
              <w:rPr>
                <w:rFonts w:ascii="Times New Roman" w:cs="Times New Roman" w:eastAsia="Times New Roman" w:hAnsi="Times New Roman"/>
                <w:sz w:val="15"/>
                <w:szCs w:val="15"/>
                <w:color w:val="auto"/>
                <w:w w:val="99"/>
              </w:rPr>
              <w:t>R</w:t>
            </w:r>
            <w:r>
              <w:rPr>
                <w:rFonts w:ascii="Times New Roman" w:cs="Times New Roman" w:eastAsia="Times New Roman" w:hAnsi="Times New Roman"/>
                <w:sz w:val="18"/>
                <w:szCs w:val="18"/>
                <w:color w:val="auto"/>
                <w:w w:val="99"/>
              </w:rPr>
              <w:t>.</w:t>
            </w: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2017</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A. Frist, Jr.</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Chairman (Principal Executive Officer)</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5"/>
                <w:szCs w:val="15"/>
                <w:color w:val="auto"/>
              </w:rPr>
              <w:t>ERARD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5"/>
                <w:szCs w:val="15"/>
                <w:color w:val="auto"/>
              </w:rPr>
              <w:t>AYDEN</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Senior Vice President</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2017</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Gerard M. Hayden, Jr.</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5"/>
                <w:szCs w:val="15"/>
                <w:color w:val="auto"/>
              </w:rPr>
              <w:t>HOMPSON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5"/>
                <w:szCs w:val="15"/>
                <w:color w:val="auto"/>
              </w:rPr>
              <w:t>ENT</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2017</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Thompson Dent</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F</w:t>
            </w:r>
            <w:r>
              <w:rPr>
                <w:rFonts w:ascii="Times New Roman" w:cs="Times New Roman" w:eastAsia="Times New Roman" w:hAnsi="Times New Roman"/>
                <w:sz w:val="15"/>
                <w:szCs w:val="15"/>
                <w:color w:val="auto"/>
              </w:rPr>
              <w:t>RANK</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5"/>
                <w:szCs w:val="15"/>
                <w:color w:val="auto"/>
              </w:rPr>
              <w:t>ORDON</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2017</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Frank Gordon</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C. M</w:t>
            </w:r>
            <w:r>
              <w:rPr>
                <w:rFonts w:ascii="Times New Roman" w:cs="Times New Roman" w:eastAsia="Times New Roman" w:hAnsi="Times New Roman"/>
                <w:sz w:val="15"/>
                <w:szCs w:val="15"/>
                <w:color w:val="auto"/>
              </w:rPr>
              <w:t>ARTIN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5"/>
                <w:szCs w:val="15"/>
                <w:color w:val="auto"/>
              </w:rPr>
              <w:t>ARRIS</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2017</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Martin Harris</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5"/>
                <w:szCs w:val="15"/>
                <w:color w:val="auto"/>
              </w:rPr>
              <w:t>EFFREY</w:t>
            </w:r>
            <w:r>
              <w:rPr>
                <w:rFonts w:ascii="Times New Roman" w:cs="Times New Roman" w:eastAsia="Times New Roman" w:hAnsi="Times New Roman"/>
                <w:sz w:val="18"/>
                <w:szCs w:val="18"/>
                <w:color w:val="auto"/>
              </w:rPr>
              <w:t xml:space="preserve"> L. M</w:t>
            </w:r>
            <w:r>
              <w:rPr>
                <w:rFonts w:ascii="Times New Roman" w:cs="Times New Roman" w:eastAsia="Times New Roman" w:hAnsi="Times New Roman"/>
                <w:sz w:val="15"/>
                <w:szCs w:val="15"/>
                <w:color w:val="auto"/>
              </w:rPr>
              <w:t>C</w:t>
            </w:r>
            <w:r>
              <w:rPr>
                <w:rFonts w:ascii="Times New Roman" w:cs="Times New Roman" w:eastAsia="Times New Roman" w:hAnsi="Times New Roman"/>
                <w:sz w:val="18"/>
                <w:szCs w:val="18"/>
                <w:color w:val="auto"/>
              </w:rPr>
              <w:t>L</w:t>
            </w:r>
            <w:r>
              <w:rPr>
                <w:rFonts w:ascii="Times New Roman" w:cs="Times New Roman" w:eastAsia="Times New Roman" w:hAnsi="Times New Roman"/>
                <w:sz w:val="15"/>
                <w:szCs w:val="15"/>
                <w:color w:val="auto"/>
              </w:rPr>
              <w:t>AREN</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2017</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L. McLaren</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5"/>
                <w:szCs w:val="15"/>
                <w:color w:val="auto"/>
              </w:rPr>
              <w:t>ALE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5"/>
                <w:szCs w:val="15"/>
                <w:color w:val="auto"/>
              </w:rPr>
              <w:t>OLLEY</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2017</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Dale Polley</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5"/>
                <w:szCs w:val="15"/>
                <w:color w:val="auto"/>
              </w:rPr>
              <w:t>INDA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5"/>
                <w:szCs w:val="15"/>
                <w:color w:val="auto"/>
              </w:rPr>
              <w:t>EBROVICK</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2017</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Linda Rebrovick</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5"/>
                <w:szCs w:val="15"/>
                <w:color w:val="auto"/>
              </w:rPr>
              <w:t>ICHAEL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HMERLING</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2017</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Shmerling</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5"/>
                <w:szCs w:val="15"/>
                <w:color w:val="auto"/>
              </w:rPr>
              <w:t>ILLIAM</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TEAD</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2017</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Stead</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5"/>
                <w:szCs w:val="15"/>
                <w:color w:val="auto"/>
              </w:rPr>
              <w:t>EBORAH</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5"/>
                <w:szCs w:val="15"/>
                <w:color w:val="auto"/>
              </w:rPr>
              <w:t>AYLOR</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5"/>
                <w:szCs w:val="15"/>
                <w:color w:val="auto"/>
              </w:rPr>
              <w:t>ATE</w:t>
            </w:r>
          </w:p>
        </w:tc>
        <w:tc>
          <w:tcPr>
            <w:tcW w:w="4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8"/>
              </w:rPr>
              <w:t>February 27, 2017</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Deborah Taylor Tate</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60"/>
        </w:trPr>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65</w:t>
            </w: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180"/>
          </w:cols>
          <w:pgMar w:left="240" w:top="455" w:right="4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40" w:type="dxa"/>
            <w:vAlign w:val="bottom"/>
            <w:gridSpan w:val="3"/>
          </w:tcPr>
          <w:p>
            <w:pPr>
              <w:ind w:left="376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67"/>
        </w:trPr>
        <w:tc>
          <w:tcPr>
            <w:tcW w:w="18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40" w:type="dxa"/>
            <w:vAlign w:val="bottom"/>
          </w:tcPr>
          <w:p>
            <w:pPr>
              <w:spacing w:after="0"/>
              <w:rPr>
                <w:sz w:val="24"/>
                <w:szCs w:val="24"/>
                <w:color w:val="auto"/>
              </w:rPr>
            </w:pPr>
          </w:p>
        </w:tc>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40" w:type="dxa"/>
            <w:vAlign w:val="bottom"/>
          </w:tcPr>
          <w:p>
            <w:pPr>
              <w:spacing w:after="0"/>
              <w:rPr>
                <w:sz w:val="16"/>
                <w:szCs w:val="16"/>
                <w:color w:val="auto"/>
              </w:rPr>
            </w:pPr>
          </w:p>
        </w:tc>
        <w:tc>
          <w:tcPr>
            <w:tcW w:w="5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5"/>
                <w:szCs w:val="15"/>
                <w:color w:val="auto"/>
              </w:rPr>
              <w:t>(1)</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Membership Interest Purchase Agreement, dated as of February 12, 2015, between HealthStream, Inc., Littrell Holdings, Inc., HealthLine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Systems, Inc., the Shareholders of HealthLine Systems, Inc., and Dan Littrell in his individual capacity and as the Shareholders</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Representative.</w:t>
            </w:r>
          </w:p>
        </w:tc>
        <w:tc>
          <w:tcPr>
            <w:tcW w:w="0" w:type="dxa"/>
            <w:vAlign w:val="bottom"/>
          </w:tcPr>
          <w:p>
            <w:pPr>
              <w:spacing w:after="0"/>
              <w:rPr>
                <w:sz w:val="1"/>
                <w:szCs w:val="1"/>
                <w:color w:val="auto"/>
              </w:rPr>
            </w:pPr>
          </w:p>
        </w:tc>
      </w:tr>
      <w:tr>
        <w:trPr>
          <w:trHeight w:val="324"/>
        </w:trPr>
        <w:tc>
          <w:tcPr>
            <w:tcW w:w="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5"/>
                <w:szCs w:val="15"/>
                <w:color w:val="auto"/>
              </w:rPr>
              <w:t>(2)</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Stock Purchase Agreement, by and between Echo, Inc. and Morrisey Holdings, Inc., dated August 8, 2016.</w:t>
            </w:r>
          </w:p>
        </w:tc>
        <w:tc>
          <w:tcPr>
            <w:tcW w:w="0" w:type="dxa"/>
            <w:vAlign w:val="bottom"/>
          </w:tcPr>
          <w:p>
            <w:pPr>
              <w:spacing w:after="0"/>
              <w:rPr>
                <w:sz w:val="1"/>
                <w:szCs w:val="1"/>
                <w:color w:val="auto"/>
              </w:rPr>
            </w:pPr>
          </w:p>
        </w:tc>
      </w:tr>
      <w:tr>
        <w:trPr>
          <w:trHeight w:val="324"/>
        </w:trPr>
        <w:tc>
          <w:tcPr>
            <w:tcW w:w="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Fourth Amended and Restated Charter of HealthStream, Inc.</w:t>
            </w:r>
          </w:p>
        </w:tc>
        <w:tc>
          <w:tcPr>
            <w:tcW w:w="0" w:type="dxa"/>
            <w:vAlign w:val="bottom"/>
          </w:tcPr>
          <w:p>
            <w:pPr>
              <w:spacing w:after="0"/>
              <w:rPr>
                <w:sz w:val="1"/>
                <w:szCs w:val="1"/>
                <w:color w:val="auto"/>
              </w:rPr>
            </w:pPr>
          </w:p>
        </w:tc>
      </w:tr>
      <w:tr>
        <w:trPr>
          <w:trHeight w:val="324"/>
        </w:trPr>
        <w:tc>
          <w:tcPr>
            <w:tcW w:w="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3.2</w:t>
            </w:r>
            <w:r>
              <w:rPr>
                <w:rFonts w:ascii="Times New Roman" w:cs="Times New Roman" w:eastAsia="Times New Roman" w:hAnsi="Times New Roman"/>
                <w:sz w:val="15"/>
                <w:szCs w:val="15"/>
                <w:color w:val="auto"/>
                <w:w w:val="97"/>
              </w:rPr>
              <w:t>(8)</w:t>
            </w:r>
            <w:r>
              <w:rPr>
                <w:rFonts w:ascii="Times New Roman" w:cs="Times New Roman" w:eastAsia="Times New Roman" w:hAnsi="Times New Roman"/>
                <w:sz w:val="18"/>
                <w:szCs w:val="18"/>
                <w:color w:val="auto"/>
                <w:w w:val="97"/>
              </w:rPr>
              <w:t>*</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Second Amended and Restated Bylaws of HealthStream, Inc.</w:t>
            </w:r>
          </w:p>
        </w:tc>
        <w:tc>
          <w:tcPr>
            <w:tcW w:w="0" w:type="dxa"/>
            <w:vAlign w:val="bottom"/>
          </w:tcPr>
          <w:p>
            <w:pPr>
              <w:spacing w:after="0"/>
              <w:rPr>
                <w:sz w:val="1"/>
                <w:szCs w:val="1"/>
                <w:color w:val="auto"/>
              </w:rPr>
            </w:pPr>
          </w:p>
        </w:tc>
      </w:tr>
      <w:tr>
        <w:trPr>
          <w:trHeight w:val="324"/>
        </w:trPr>
        <w:tc>
          <w:tcPr>
            <w:tcW w:w="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certificate representing the common stock, no par value per share, of HealthStream, Inc.</w:t>
            </w:r>
          </w:p>
        </w:tc>
        <w:tc>
          <w:tcPr>
            <w:tcW w:w="0" w:type="dxa"/>
            <w:vAlign w:val="bottom"/>
          </w:tcPr>
          <w:p>
            <w:pPr>
              <w:spacing w:after="0"/>
              <w:rPr>
                <w:sz w:val="1"/>
                <w:szCs w:val="1"/>
                <w:color w:val="auto"/>
              </w:rPr>
            </w:pPr>
          </w:p>
        </w:tc>
      </w:tr>
      <w:tr>
        <w:trPr>
          <w:trHeight w:val="324"/>
        </w:trPr>
        <w:tc>
          <w:tcPr>
            <w:tcW w:w="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Reference is made to Exhibits 3.1 and 3.2.</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2000 Stock Incentive Plan, effective as of April 10, 2000</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10.2^</w:t>
            </w:r>
            <w:r>
              <w:rPr>
                <w:rFonts w:ascii="Times New Roman" w:cs="Times New Roman" w:eastAsia="Times New Roman" w:hAnsi="Times New Roman"/>
                <w:sz w:val="15"/>
                <w:szCs w:val="15"/>
                <w:color w:val="auto"/>
                <w:w w:val="97"/>
              </w:rPr>
              <w:t>(6)</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2010 Stock Incentive Plan, effective as of May 27, 2010</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Indemnification Agreement</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10.4^</w:t>
            </w:r>
            <w:r>
              <w:rPr>
                <w:rFonts w:ascii="Times New Roman" w:cs="Times New Roman" w:eastAsia="Times New Roman" w:hAnsi="Times New Roman"/>
                <w:sz w:val="15"/>
                <w:szCs w:val="15"/>
                <w:color w:val="auto"/>
                <w:w w:val="97"/>
              </w:rPr>
              <w:t>(3)</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Employment Agreement, dated July 21, 2005, between HealthStream, Inc. and Robert A. Frist, Jr.</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10.5^</w:t>
            </w:r>
            <w:r>
              <w:rPr>
                <w:rFonts w:ascii="Times New Roman" w:cs="Times New Roman" w:eastAsia="Times New Roman" w:hAnsi="Times New Roman"/>
                <w:sz w:val="15"/>
                <w:szCs w:val="15"/>
                <w:color w:val="auto"/>
                <w:w w:val="97"/>
              </w:rPr>
              <w:t>(4)</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Non-Qualified Stock Option Agreement (Employees) under 2010 Stock Incentive Plan</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10.6^</w:t>
            </w:r>
            <w:r>
              <w:rPr>
                <w:rFonts w:ascii="Times New Roman" w:cs="Times New Roman" w:eastAsia="Times New Roman" w:hAnsi="Times New Roman"/>
                <w:sz w:val="15"/>
                <w:szCs w:val="15"/>
                <w:color w:val="auto"/>
                <w:w w:val="97"/>
              </w:rPr>
              <w:t>(4)</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Incentive Stock Option Agreement (Employees) under 2010 Stock Incentive Plan</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10.7^</w:t>
            </w:r>
            <w:r>
              <w:rPr>
                <w:rFonts w:ascii="Times New Roman" w:cs="Times New Roman" w:eastAsia="Times New Roman" w:hAnsi="Times New Roman"/>
                <w:sz w:val="15"/>
                <w:szCs w:val="15"/>
                <w:color w:val="auto"/>
                <w:w w:val="97"/>
              </w:rPr>
              <w:t>(4)</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Non-Qualified Stock Option Agreement (Directors) under 2010 Stock Incentive Plan</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10.8^</w:t>
            </w:r>
            <w:r>
              <w:rPr>
                <w:rFonts w:ascii="Times New Roman" w:cs="Times New Roman" w:eastAsia="Times New Roman" w:hAnsi="Times New Roman"/>
                <w:sz w:val="15"/>
                <w:szCs w:val="15"/>
                <w:color w:val="auto"/>
                <w:w w:val="97"/>
              </w:rPr>
              <w:t>(5)</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(Officers) under 2010 Stock Incentive Plan</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10.9^</w:t>
            </w:r>
            <w:r>
              <w:rPr>
                <w:rFonts w:ascii="Times New Roman" w:cs="Times New Roman" w:eastAsia="Times New Roman" w:hAnsi="Times New Roman"/>
                <w:sz w:val="15"/>
                <w:szCs w:val="15"/>
                <w:color w:val="auto"/>
                <w:w w:val="97"/>
              </w:rPr>
              <w:t>(5)</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(Non-Employee Director) under 2010 Stock Incentive Plan</w:t>
            </w:r>
          </w:p>
        </w:tc>
        <w:tc>
          <w:tcPr>
            <w:tcW w:w="0" w:type="dxa"/>
            <w:vAlign w:val="bottom"/>
          </w:tcPr>
          <w:p>
            <w:pPr>
              <w:spacing w:after="0"/>
              <w:rPr>
                <w:sz w:val="1"/>
                <w:szCs w:val="1"/>
                <w:color w:val="auto"/>
              </w:rPr>
            </w:pPr>
          </w:p>
        </w:tc>
      </w:tr>
      <w:tr>
        <w:trPr>
          <w:trHeight w:val="306"/>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10.10</w:t>
            </w:r>
            <w:r>
              <w:rPr>
                <w:rFonts w:ascii="Times New Roman" w:cs="Times New Roman" w:eastAsia="Times New Roman" w:hAnsi="Times New Roman"/>
                <w:sz w:val="15"/>
                <w:szCs w:val="15"/>
                <w:color w:val="auto"/>
                <w:w w:val="96"/>
              </w:rPr>
              <w:t>(7)</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Revolving Credit Agreement, dated November 24, 2014, by and among HealthStream, Inc., the several banks and other financial institutions</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 lenders from time to time party thereto and SunTrust Bank, as administrative agent, issuing bank, and swingline lender</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Summary of Director and Executive Officer Compensation</w:t>
            </w:r>
          </w:p>
        </w:tc>
        <w:tc>
          <w:tcPr>
            <w:tcW w:w="0" w:type="dxa"/>
            <w:vAlign w:val="bottom"/>
          </w:tcPr>
          <w:p>
            <w:pPr>
              <w:spacing w:after="0"/>
              <w:rPr>
                <w:sz w:val="1"/>
                <w:szCs w:val="1"/>
                <w:color w:val="auto"/>
              </w:rPr>
            </w:pPr>
          </w:p>
        </w:tc>
      </w:tr>
      <w:tr>
        <w:trPr>
          <w:trHeight w:val="324"/>
        </w:trPr>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15"/>
                <w:szCs w:val="15"/>
                <w:color w:val="auto"/>
              </w:rPr>
              <w:t>(9)</w:t>
            </w: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HealthStream, Inc. 2015 Cash Incentive Bonus Plan</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6"/>
              </w:rPr>
              <w:t>10.13</w:t>
            </w:r>
            <w:r>
              <w:rPr>
                <w:rFonts w:ascii="Times New Roman" w:cs="Times New Roman" w:eastAsia="Times New Roman" w:hAnsi="Times New Roman"/>
                <w:sz w:val="15"/>
                <w:szCs w:val="15"/>
                <w:color w:val="auto"/>
                <w:w w:val="96"/>
              </w:rPr>
              <w:t>(9)</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Contribution Agreement, dated as of June 30, 2015, between HealthStream, Inc. and Robert A. Frist, Jr.</w:t>
            </w:r>
          </w:p>
        </w:tc>
        <w:tc>
          <w:tcPr>
            <w:tcW w:w="0" w:type="dxa"/>
            <w:vAlign w:val="bottom"/>
          </w:tcPr>
          <w:p>
            <w:pPr>
              <w:spacing w:after="0"/>
              <w:rPr>
                <w:sz w:val="1"/>
                <w:szCs w:val="1"/>
                <w:color w:val="auto"/>
              </w:rPr>
            </w:pPr>
          </w:p>
        </w:tc>
      </w:tr>
      <w:tr>
        <w:trPr>
          <w:trHeight w:val="324"/>
        </w:trPr>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10.14^</w:t>
            </w:r>
            <w:r>
              <w:rPr>
                <w:rFonts w:ascii="Times New Roman" w:cs="Times New Roman" w:eastAsia="Times New Roman" w:hAnsi="Times New Roman"/>
                <w:sz w:val="15"/>
                <w:szCs w:val="15"/>
                <w:color w:val="auto"/>
              </w:rPr>
              <w:t>(10)</w:t>
            </w: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Letter Agreement, dated as of September 24, 2015, between HealthStream, Inc. and Michael Sousa.</w:t>
            </w:r>
          </w:p>
        </w:tc>
        <w:tc>
          <w:tcPr>
            <w:tcW w:w="0" w:type="dxa"/>
            <w:vAlign w:val="bottom"/>
          </w:tcPr>
          <w:p>
            <w:pPr>
              <w:spacing w:after="0"/>
              <w:rPr>
                <w:sz w:val="1"/>
                <w:szCs w:val="1"/>
                <w:color w:val="auto"/>
              </w:rPr>
            </w:pPr>
          </w:p>
        </w:tc>
      </w:tr>
      <w:tr>
        <w:trPr>
          <w:trHeight w:val="306"/>
        </w:trPr>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10.15^</w:t>
            </w:r>
            <w:r>
              <w:rPr>
                <w:rFonts w:ascii="Times New Roman" w:cs="Times New Roman" w:eastAsia="Times New Roman" w:hAnsi="Times New Roman"/>
                <w:sz w:val="15"/>
                <w:szCs w:val="15"/>
                <w:color w:val="auto"/>
              </w:rPr>
              <w:t>(10)</w:t>
            </w: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(Performance) under 2010 Stock Incentive Plan between HealthStream, Inc.</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 Michael Sousa.</w:t>
            </w:r>
          </w:p>
        </w:tc>
        <w:tc>
          <w:tcPr>
            <w:tcW w:w="0" w:type="dxa"/>
            <w:vAlign w:val="bottom"/>
          </w:tcPr>
          <w:p>
            <w:pPr>
              <w:spacing w:after="0"/>
              <w:rPr>
                <w:sz w:val="1"/>
                <w:szCs w:val="1"/>
                <w:color w:val="auto"/>
              </w:rPr>
            </w:pPr>
          </w:p>
        </w:tc>
      </w:tr>
      <w:tr>
        <w:trPr>
          <w:trHeight w:val="306"/>
        </w:trPr>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15"/>
                <w:szCs w:val="15"/>
                <w:color w:val="auto"/>
              </w:rPr>
              <w:t>(10)</w:t>
            </w: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(Cumulative) under 2010 Stock Incentive Plan between HealthStream, Inc.</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 Michael Sousa.</w:t>
            </w:r>
          </w:p>
        </w:tc>
        <w:tc>
          <w:tcPr>
            <w:tcW w:w="0" w:type="dxa"/>
            <w:vAlign w:val="bottom"/>
          </w:tcPr>
          <w:p>
            <w:pPr>
              <w:spacing w:after="0"/>
              <w:rPr>
                <w:sz w:val="1"/>
                <w:szCs w:val="1"/>
                <w:color w:val="auto"/>
              </w:rPr>
            </w:pPr>
          </w:p>
        </w:tc>
      </w:tr>
      <w:tr>
        <w:trPr>
          <w:trHeight w:val="324"/>
        </w:trPr>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10.17^</w:t>
            </w:r>
            <w:r>
              <w:rPr>
                <w:rFonts w:ascii="Times New Roman" w:cs="Times New Roman" w:eastAsia="Times New Roman" w:hAnsi="Times New Roman"/>
                <w:sz w:val="15"/>
                <w:szCs w:val="15"/>
                <w:color w:val="auto"/>
              </w:rPr>
              <w:t>(10)</w:t>
            </w: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2015 Provider Solutions Cash Incentive Bonus Plan.</w:t>
            </w:r>
          </w:p>
        </w:tc>
        <w:tc>
          <w:tcPr>
            <w:tcW w:w="0" w:type="dxa"/>
            <w:vAlign w:val="bottom"/>
          </w:tcPr>
          <w:p>
            <w:pPr>
              <w:spacing w:after="0"/>
              <w:rPr>
                <w:sz w:val="1"/>
                <w:szCs w:val="1"/>
                <w:color w:val="auto"/>
              </w:rPr>
            </w:pPr>
          </w:p>
        </w:tc>
      </w:tr>
      <w:tr>
        <w:trPr>
          <w:trHeight w:val="324"/>
        </w:trPr>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10.18^</w:t>
            </w:r>
            <w:r>
              <w:rPr>
                <w:rFonts w:ascii="Times New Roman" w:cs="Times New Roman" w:eastAsia="Times New Roman" w:hAnsi="Times New Roman"/>
                <w:sz w:val="15"/>
                <w:szCs w:val="15"/>
                <w:color w:val="auto"/>
              </w:rPr>
              <w:t>(11)</w:t>
            </w: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2016 Omnibus Plan.</w:t>
            </w:r>
          </w:p>
        </w:tc>
        <w:tc>
          <w:tcPr>
            <w:tcW w:w="0" w:type="dxa"/>
            <w:vAlign w:val="bottom"/>
          </w:tcPr>
          <w:p>
            <w:pPr>
              <w:spacing w:after="0"/>
              <w:rPr>
                <w:sz w:val="1"/>
                <w:szCs w:val="1"/>
                <w:color w:val="auto"/>
              </w:rPr>
            </w:pPr>
          </w:p>
        </w:tc>
      </w:tr>
      <w:tr>
        <w:trPr>
          <w:trHeight w:val="306"/>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(Cumulative) under 2016 Omnibus Plan between HealthStream, Inc. and</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Michael Sousa.</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Subsidiaries of HealthStream, Inc.</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 302 of the Sarbanes-Oxley Act of 2002</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24"/>
        </w:trPr>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380" w:type="dxa"/>
            <w:vAlign w:val="bottom"/>
          </w:tcPr>
          <w:p>
            <w:pPr>
              <w:spacing w:after="0"/>
              <w:rPr>
                <w:sz w:val="24"/>
                <w:szCs w:val="24"/>
                <w:color w:val="auto"/>
              </w:rPr>
            </w:pP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2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 INS</w:t>
            </w: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2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 SCH</w:t>
            </w: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32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 CAL</w:t>
            </w: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32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101.2 DEF</w:t>
            </w: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32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 LAB</w:t>
            </w: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32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 PRE</w:t>
            </w:r>
          </w:p>
        </w:tc>
        <w:tc>
          <w:tcPr>
            <w:tcW w:w="10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740" w:firstLine="8"/>
        <w:spacing w:after="0" w:line="261" w:lineRule="auto"/>
        <w:tabs>
          <w:tab w:leader="none" w:pos="4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Registration Statement on Form S-1, as amended (Reg. No. 333-88939). ^ Management contract or compensatory plan or arrangement</w:t>
      </w: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February 13, 2015.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August 8, 2016.</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July 25, 2005.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June 1, 2010.</w:t>
      </w:r>
    </w:p>
    <w:p>
      <w:pPr>
        <w:sectPr>
          <w:pgSz w:w="11900" w:h="16838" w:orient="portrait"/>
          <w:cols w:equalWidth="0" w:num="1">
            <w:col w:w="11400"/>
          </w:cols>
          <w:pgMar w:left="240" w:top="455" w:right="259" w:bottom="0" w:gutter="0" w:footer="0" w:header="0"/>
        </w:sectPr>
      </w:pPr>
    </w:p>
    <w:bookmarkStart w:id="70" w:name="page71"/>
    <w:bookmarkEnd w:id="70"/>
    <w:p>
      <w:pPr>
        <w:ind w:left="452" w:hanging="452"/>
        <w:spacing w:after="0" w:line="261" w:lineRule="auto"/>
        <w:tabs>
          <w:tab w:leader="none" w:pos="4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March 31, 2012 filed with the SEC on April 30, 2012.</w:t>
      </w:r>
    </w:p>
    <w:p>
      <w:pPr>
        <w:ind w:left="452" w:hanging="452"/>
        <w:spacing w:after="0"/>
        <w:tabs>
          <w:tab w:leader="none" w:pos="4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B of the Company’s Definitive Proxy Statement filed with the SEC on April 29, 2010.</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November 25, 2014.</w:t>
      </w:r>
    </w:p>
    <w:p>
      <w:pPr>
        <w:spacing w:after="0" w:line="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October 23, 2015.</w:t>
      </w:r>
    </w:p>
    <w:p>
      <w:pPr>
        <w:spacing w:after="0" w:line="9" w:lineRule="exact"/>
        <w:rPr>
          <w:rFonts w:ascii="Times New Roman" w:cs="Times New Roman" w:eastAsia="Times New Roman" w:hAnsi="Times New Roman"/>
          <w:sz w:val="18"/>
          <w:szCs w:val="18"/>
          <w:color w:val="auto"/>
        </w:rPr>
      </w:pPr>
    </w:p>
    <w:p>
      <w:pPr>
        <w:ind w:left="452" w:right="100" w:hanging="452"/>
        <w:spacing w:after="0" w:line="250" w:lineRule="auto"/>
        <w:tabs>
          <w:tab w:leader="none" w:pos="4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June 30, 2015, filed with the SEC on July 31, 2015.</w:t>
      </w:r>
    </w:p>
    <w:p>
      <w:pPr>
        <w:ind w:left="452" w:right="40" w:hanging="452"/>
        <w:spacing w:after="0" w:line="250" w:lineRule="auto"/>
        <w:tabs>
          <w:tab w:leader="none" w:pos="4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Quarterly Report on Form 10-Q, for the quarterly period ended September 30, 2015, filed with the SEC on October 30, 2015.</w:t>
      </w:r>
    </w:p>
    <w:p>
      <w:pPr>
        <w:ind w:left="452" w:hanging="452"/>
        <w:spacing w:after="0"/>
        <w:tabs>
          <w:tab w:leader="none" w:pos="4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May 26, 2016.</w:t>
      </w:r>
    </w:p>
    <w:p>
      <w:pPr>
        <w:sectPr>
          <w:pgSz w:w="11900" w:h="16838" w:orient="portrait"/>
          <w:cols w:equalWidth="0" w:num="1">
            <w:col w:w="11292"/>
          </w:cols>
          <w:pgMar w:left="248" w:top="121" w:right="35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color w:val="auto"/>
        </w:rPr>
        <w:t>EXHIBIT 10.11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Director and Executive Officer Compensation</w:t>
      </w:r>
    </w:p>
    <w:p>
      <w:pPr>
        <w:spacing w:after="0" w:line="22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Director Compensation</w:t>
      </w:r>
      <w:r>
        <w:rPr>
          <w:rFonts w:ascii="Times New Roman" w:cs="Times New Roman" w:eastAsia="Times New Roman" w:hAnsi="Times New Roman"/>
          <w:sz w:val="18"/>
          <w:szCs w:val="18"/>
          <w:color w:val="auto"/>
        </w:rPr>
        <w:t>. Directors who are employees of the Company do not receive additional compensation for serving as directors of the Company. The following table sets forth current rates of cash compensation for the Company’s non-employee directors. For fiscal year 2017, each director will receive an annual retainer of $5,000, except for the Audit Committee Chair and Nominating and Corporate Governance Chair, who will receive an additional annual retainer of $7,500, and the Compensation Committee Chair, who will receive an additional annual retainer of $2,000. Non-employee directors will also receive a $15,000 flat-fee for board and committee meeting attendance and participation in lieu of per meeting fees.</w:t>
      </w:r>
    </w:p>
    <w:p>
      <w:pPr>
        <w:spacing w:after="0" w:line="18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addition to the cash compensation set forth above, each non-employee director is eligible to receive a nondiscretionary annual grant of restricted share units. The restricted share units are granted annually and vest ratably over a three year period.</w:t>
      </w:r>
    </w:p>
    <w:p>
      <w:pPr>
        <w:spacing w:after="0" w:line="158" w:lineRule="exact"/>
        <w:rPr>
          <w:sz w:val="20"/>
          <w:szCs w:val="20"/>
          <w:color w:val="auto"/>
        </w:rPr>
      </w:pPr>
    </w:p>
    <w:p>
      <w:pPr>
        <w:ind w:right="100" w:firstLine="8"/>
        <w:spacing w:after="0" w:line="286" w:lineRule="auto"/>
        <w:tabs>
          <w:tab w:leader="none" w:pos="21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Officer Compensation</w:t>
      </w:r>
      <w:r>
        <w:rPr>
          <w:rFonts w:ascii="Times New Roman" w:cs="Times New Roman" w:eastAsia="Times New Roman" w:hAnsi="Times New Roman"/>
          <w:sz w:val="18"/>
          <w:szCs w:val="18"/>
          <w:color w:val="auto"/>
        </w:rPr>
        <w:t>. The following table sets forth the current base salaries and fiscal 2016 performance bonuses provided to our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including the individuals who the Company expects to be its Named Executive Officers for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23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Current Base Salary</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2016 Bonus Amount</w:t>
            </w:r>
          </w:p>
        </w:tc>
      </w:tr>
      <w:tr>
        <w:trPr>
          <w:trHeight w:val="20"/>
        </w:trPr>
        <w:tc>
          <w:tcPr>
            <w:tcW w:w="1080" w:type="dxa"/>
            <w:vAlign w:val="bottom"/>
            <w:tcBorders>
              <w:bottom w:val="single" w:sz="8" w:color="CCEEFF"/>
            </w:tcBorders>
            <w:shd w:val="clear" w:color="auto" w:fill="000000"/>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03"/>
        </w:trPr>
        <w:tc>
          <w:tcPr>
            <w:tcW w:w="74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A. Frist, Jr.</w:t>
            </w:r>
          </w:p>
        </w:tc>
        <w:tc>
          <w:tcPr>
            <w:tcW w:w="12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$310,000</w:t>
            </w:r>
          </w:p>
        </w:tc>
        <w:tc>
          <w:tcPr>
            <w:tcW w:w="102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Edward Pearson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$293,000</w:t>
            </w:r>
          </w:p>
        </w:tc>
        <w:tc>
          <w:tcPr>
            <w:tcW w:w="10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Sousa</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$283,000</w:t>
            </w:r>
          </w:p>
        </w:tc>
        <w:tc>
          <w:tcPr>
            <w:tcW w:w="10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Gerard M. Hayden, Jr.</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$268,000</w:t>
            </w:r>
          </w:p>
        </w:tc>
        <w:tc>
          <w:tcPr>
            <w:tcW w:w="102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S. Doster</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$265,000</w:t>
            </w:r>
          </w:p>
        </w:tc>
        <w:tc>
          <w:tcPr>
            <w:tcW w:w="102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Schultz</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$214,000</w:t>
            </w:r>
          </w:p>
        </w:tc>
        <w:tc>
          <w:tcPr>
            <w:tcW w:w="10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Base salary adjustments for 2017, bonus targets for 2017 cash bonuses, and 2017 equity grants for executive officers have not yet been determined by the Compensation Committee.</w:t>
      </w:r>
    </w:p>
    <w:p>
      <w:pPr>
        <w:spacing w:after="0" w:line="158" w:lineRule="exact"/>
        <w:rPr>
          <w:sz w:val="20"/>
          <w:szCs w:val="20"/>
          <w:color w:val="auto"/>
        </w:rPr>
      </w:pPr>
    </w:p>
    <w:p>
      <w:pPr>
        <w:ind w:right="440" w:firstLine="8"/>
        <w:spacing w:after="0" w:line="286" w:lineRule="auto"/>
        <w:tabs>
          <w:tab w:leader="none" w:pos="2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Information</w:t>
      </w:r>
      <w:r>
        <w:rPr>
          <w:rFonts w:ascii="Times New Roman" w:cs="Times New Roman" w:eastAsia="Times New Roman" w:hAnsi="Times New Roman"/>
          <w:sz w:val="18"/>
          <w:szCs w:val="18"/>
          <w:color w:val="auto"/>
        </w:rPr>
        <w:t>. The foregoing information is summary in nature. Additional information regarding Director and Named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will be contained in the Company’s 2017 Proxy Statement.</w:t>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 UNIT AGREEMENT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RESTRICTED SHARE UNIT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the [●] day of December, 2016 (the “Grant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between HealthStream, Inc., a Tennessee corporation (together with its Subsidiaries and Affiliates, the “Company”), and Michael Sousa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Capitalized terms not otherwise defined herein shall have the meaning ascribed to such terms in the HealthStream, Inc. 2016 Omnibus Incentive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the Company has adopted the Plan, which permits the issuance of Restricted Share Units; and</w:t>
      </w:r>
    </w:p>
    <w:p>
      <w:pPr>
        <w:spacing w:after="0" w:line="225"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WHEREAS, the Compensation Committee of the Board of Directors of the Company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is responsible for administering the Plan and has determined that it would be to the advantage and best interest of the Company and its shareholders to grant an award of the RSUs (as defined below) as a “Restricted Share Unit Award” as defined by and pursuant to the terms of the Plan, and pursuant to the terms set forth herein;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ind w:left="780" w:hanging="31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Share Unit Award.</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1.1 The Company hereby grants to the Grantee an award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of 4,250 Restricted Share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on the terms and conditions set forth in this Agreement and as otherwise provided in the Plan. Each RSU shall have a value equal to the Fair Market Value of one Share. A bookkeeping account will be maintained by the Company to keep track of the RSUs.</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 xml:space="preserve">1.2 The Grantee’s rights with respect to any unvested portion of the Award shall remain forfeitable at all times prior to the dates on which the RSUs shall vest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This Award may not be assigned, alienated, pledged, attached, sold or otherwise transferred or encumbered by Grantee other than by will or the laws of descent and distribution.</w:t>
      </w:r>
    </w:p>
    <w:p>
      <w:pPr>
        <w:spacing w:after="0" w:line="176" w:lineRule="exact"/>
        <w:rPr>
          <w:sz w:val="20"/>
          <w:szCs w:val="20"/>
          <w:color w:val="auto"/>
        </w:rPr>
      </w:pPr>
    </w:p>
    <w:p>
      <w:pPr>
        <w:ind w:left="780" w:hanging="31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Payment.</w:t>
      </w:r>
    </w:p>
    <w:p>
      <w:pPr>
        <w:spacing w:after="0" w:line="22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Up to 4,250 of the RSUs subject to this Award shall vest on March 15, 2020 (the “</w:t>
      </w: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 xml:space="preserve">”), as follows, subject to the time-based vesting condition set forth in the last sentence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based on the extent of the satisfaction of the Performance Criteria (as defined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for the period beginning on January 1, 2017 and ending December 31, 2019, as referenced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Notwithstanding the foregoing or anything contained herein to the contrary (but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below), this Award shall not become vested as to any RSUs that have not vested as of the time of the Grantee’s termination of employment with the Company for any reason and Grantee shall forfeit any unvested RSUs as of the date of such termination of employment.</w:t>
      </w:r>
    </w:p>
    <w:p>
      <w:pPr>
        <w:spacing w:after="0" w:line="18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Notwithstanding the foregoing, except as may otherwise be determined by the Committee, upon the occurrence of a Change in Control (as defined in the Plan), this Award shall become vested immediately prior to a Change in Control as to 100% of the RSUs for which the Vesting Date has not yet occurred (it being understood that, in such circumstance, Grantee will not be entitled to any RSUs that have not vested in respect of any Vesting Dates preceding the occurrence of the Change of Control).</w:t>
      </w:r>
    </w:p>
    <w:p>
      <w:pPr>
        <w:spacing w:after="0" w:line="18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The Grantee shall be entitled to settlement of the RSUs subject to this Award at the time that such RSUs vest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as applicable. Such settlement shall be made as promptly as practicable thereafter (but in no event after the fifteenth day following the applicable vesting date, or in the case of a Change in Control, the date of the occurrence of the Change in Control) through the issuance of Shares to the number of such vested RSUs. Any settlement of RSUs granted pursuant to this Award shall be made in Shares as evidenced by a “book entry” (i.e., a computerized or manual entry) in the records of the Company or its designated agent in the name of the Grantee who has become vested in such Shares (or, if requested by the Grantee, a stock certificate evidencing such Shares). Notwithstanding the foregoing, if this Award vests in connection with a Change in Control and the Shares issuable in connection with such vesting subsequently have been converted into or have other been transferred in exchange for other consideration in connection with such Change in Control, Grantee will be entitled to receive such other consideration in lieu of the converted or transferred Shares. The Grantee will not be entitled to any dividend equivalent or voting rights with regard to the RSUs.</w:t>
      </w:r>
    </w:p>
    <w:p>
      <w:pPr>
        <w:spacing w:after="0" w:line="18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Prior to the settlement of any RSUs subject to this Award, Grantee shall provide (i) full payment (in cash or by check or by a combination thereof) to satisfy the minimum Withholding Tax Obligation (as defined below) with respect to which the Award or portion thereof shall settle or (ii) subject to compliance with applicable Legal Requirements, indication that the Grantee elects to tender to the Company Shares owned by the Grantee (or by the Grantee and his or her spouse jointly) and purchased and held for the requisite period of time as may be required to avoid the Company’s incurring an adverse</w:t>
      </w:r>
    </w:p>
    <w:p>
      <w:pPr>
        <w:sectPr>
          <w:pgSz w:w="11900" w:h="16838" w:orient="portrait"/>
          <w:cols w:equalWidth="0" w:num="1">
            <w:col w:w="11420"/>
          </w:cols>
          <w:pgMar w:left="240" w:top="117" w:right="239" w:bottom="1440" w:gutter="0" w:footer="0" w:header="0"/>
        </w:sectPr>
      </w:pPr>
    </w:p>
    <w:bookmarkStart w:id="73" w:name="page74"/>
    <w:bookmarkEnd w:id="73"/>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accounting charge, based on the Fair Market Value of such Shares on the payment date necessary to satisfy the minimum Withholding Tax Obligation that would otherwise be required to be paid by the Grantee to the Company pursuant to clause (i)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or (iii) notwithstanding the foregoing and unless notice to the contrary is given to the Grantee by the Company, the number of Shares that would otherwise be issued to the Grantee upon settlement of the Award (or portion thereof) reduced by a number of Shares having an aggregate Fair Market Value, on the date of such issuance, equal to the payment to satisfy the minimum Withholding Tax Obligation that would otherwise be required to be made by the Grantee to the Company pursuant to clause (i)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Any social security calculation or other adjustments discovered after the net Share payment described in clause (iii)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will be settled in cash, not in Shares. For the avoidance of doubt, the Company may satisfy the Grantee’s withholding obligation from the Grantee’s other compensation which may be payable by the Company, including any withholding obligation which may not be satisfied though the procedures identified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For purposes hereof, the “Withholding Tax Obligation” means the minimum amount necessary to satisfy Federal, state, local or foreign withholding tax requirements, if any, in connection with vesting of the Award; provided, however, that, in the discretion of the Company, the Company may allow the Grantee to withhold an additional amount or additional number of Shares to satisfy an additional amount of withholding taxes up to the maximum individual statutory tax rate in the applicable jurisdiction, but only if such additional withholding, or the discretion to elect such additional withholding, does not result in adverse accounting treatment of this Award to the Company. Vesting of the Award (or portion thereof) will result in taxable compensation reportable on the Grantee’s W-2 in year of vesting.</w:t>
      </w:r>
    </w:p>
    <w:p>
      <w:pPr>
        <w:spacing w:after="0" w:line="199" w:lineRule="exact"/>
        <w:rPr>
          <w:sz w:val="20"/>
          <w:szCs w:val="20"/>
          <w:color w:val="auto"/>
        </w:rPr>
      </w:pPr>
    </w:p>
    <w:p>
      <w:pPr>
        <w:ind w:right="360" w:firstLine="464"/>
        <w:spacing w:after="0" w:line="282" w:lineRule="auto"/>
        <w:tabs>
          <w:tab w:leader="none" w:pos="7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Nothing in this Agreement or the Plan shall be interpreted or construed to confer upon the Grantee any right to continue service as an officer or employee of the Company.</w:t>
      </w:r>
    </w:p>
    <w:p>
      <w:pPr>
        <w:spacing w:after="0" w:line="161" w:lineRule="exact"/>
        <w:rPr>
          <w:rFonts w:ascii="Times New Roman" w:cs="Times New Roman" w:eastAsia="Times New Roman" w:hAnsi="Times New Roman"/>
          <w:sz w:val="18"/>
          <w:szCs w:val="18"/>
          <w:color w:val="auto"/>
        </w:rPr>
      </w:pPr>
    </w:p>
    <w:p>
      <w:pPr>
        <w:ind w:right="200" w:firstLine="464"/>
        <w:spacing w:after="0" w:line="266" w:lineRule="auto"/>
        <w:tabs>
          <w:tab w:leader="none" w:pos="7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of the Plan are hereby incorporated by reference, and the RSUs are subject to such provisions. Any determination made by the Committee pursuant to such provisions shall be made in accordance with the provisions of the Plan and shall be final and binding for all purposes of the Plan and this Agreement.</w:t>
      </w:r>
    </w:p>
    <w:p>
      <w:pPr>
        <w:spacing w:after="0" w:line="176" w:lineRule="exact"/>
        <w:rPr>
          <w:rFonts w:ascii="Times New Roman" w:cs="Times New Roman" w:eastAsia="Times New Roman" w:hAnsi="Times New Roman"/>
          <w:sz w:val="18"/>
          <w:szCs w:val="18"/>
          <w:color w:val="auto"/>
        </w:rPr>
      </w:pPr>
    </w:p>
    <w:p>
      <w:pPr>
        <w:ind w:right="60" w:firstLine="464"/>
        <w:spacing w:after="0" w:line="255" w:lineRule="auto"/>
        <w:tabs>
          <w:tab w:leader="none" w:pos="7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Subject to the Plan</w:t>
      </w:r>
      <w:r>
        <w:rPr>
          <w:rFonts w:ascii="Times New Roman" w:cs="Times New Roman" w:eastAsia="Times New Roman" w:hAnsi="Times New Roman"/>
          <w:sz w:val="18"/>
          <w:szCs w:val="18"/>
          <w:color w:val="auto"/>
        </w:rPr>
        <w:t>.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Award.</w:t>
      </w:r>
    </w:p>
    <w:p>
      <w:pPr>
        <w:spacing w:after="0" w:line="189" w:lineRule="exact"/>
        <w:rPr>
          <w:rFonts w:ascii="Times New Roman" w:cs="Times New Roman" w:eastAsia="Times New Roman" w:hAnsi="Times New Roman"/>
          <w:sz w:val="18"/>
          <w:szCs w:val="18"/>
          <w:color w:val="auto"/>
        </w:rPr>
      </w:pPr>
    </w:p>
    <w:p>
      <w:pPr>
        <w:ind w:right="260" w:firstLine="464"/>
        <w:spacing w:after="0" w:line="266" w:lineRule="auto"/>
        <w:tabs>
          <w:tab w:leader="none" w:pos="7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of Agreement</w:t>
      </w:r>
      <w:r>
        <w:rPr>
          <w:rFonts w:ascii="Times New Roman" w:cs="Times New Roman" w:eastAsia="Times New Roman" w:hAnsi="Times New Roman"/>
          <w:sz w:val="18"/>
          <w:szCs w:val="18"/>
          <w:color w:val="auto"/>
        </w:rPr>
        <w:t>. Subject to the restrictions contained in the Plan and applicable law (including compliance with Section 409A of the Code), the Committee may waive any conditions or rights under, amend any terms of, or alter, suspend, discontinue, cancel or terminate, the RSU, prospectively or retroactively.</w:t>
      </w:r>
    </w:p>
    <w:p>
      <w:pPr>
        <w:spacing w:after="0" w:line="176" w:lineRule="exact"/>
        <w:rPr>
          <w:rFonts w:ascii="Times New Roman" w:cs="Times New Roman" w:eastAsia="Times New Roman" w:hAnsi="Times New Roman"/>
          <w:sz w:val="18"/>
          <w:szCs w:val="18"/>
          <w:color w:val="auto"/>
        </w:rPr>
      </w:pPr>
    </w:p>
    <w:p>
      <w:pPr>
        <w:ind w:firstLine="464"/>
        <w:spacing w:after="0" w:line="252" w:lineRule="auto"/>
        <w:tabs>
          <w:tab w:leader="none" w:pos="7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Notwithstanding anything herein to the contrary, to the maximum extent permitted by applicable law, the settlement of the RSUs to be made to the Grantee pursuant to this Agreement is intended to qualify as a “short-term deferral” pursuant to Section 1.409A-1(b)(4) of the Regulations and this Agreement shall be interpreted consistently therewith. However, in any circumstances where the settlement of the RSUs may not so qualify, the Committee shall administer the grant and settlement of such RSUs in strict compliance with Section 409A of the Code. Further, notwithstanding anything herein to the contrary, to the extent that this Award constitutes deferred compensation for purposes of Section 409A of the Code (i) no RSU payable upon the Grantee’s termination of service shall be issued, unless Grantee’s termination of service constitutes a “separation from service” within the meaning of Section 1.409A-1(h) of the Treasury Regulations and (ii) if at the time of a Grantee’s termination of employment with the Company and all “service recipients” (as defined in the applicable provision of the Treasury Regulations),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Participant’s termination of employment with the Company (or the earliest date as is permitted under Section 409A of the Code), if such payment or benefit is payable upon a termination of employment. Each payment of RSUs constitutes a “separate payment” for purposes of Section 409A of the Code. Notwithstanding any other provision of this Agreement or the Plan to the contrary, to the extent that this RSU Agreement constitutes deferred compensation for purposes of Section 409A of the Code, a “Change in Control” for purposes of this Agreement shall be defined as set forth in Section 1.409A-3(i)(5) of the Treasury Regulations. Notwithstanding the foregoing, Company does not warrant that this RSU will qualify for favorable tax treatment under Section 409A of the Code or any other provision of federal, state, local or foreign law. The Company shall not be liable to Grantee for any tax, interest, or penalties that the Grantee might owe as a result of the grant, holding, vesting, exercise, or payment of the RSUs.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74" w:name="page75"/>
    <w:bookmarkEnd w:id="74"/>
    <w:p>
      <w:pPr>
        <w:ind w:left="-460" w:firstLine="464"/>
        <w:spacing w:after="0" w:line="282" w:lineRule="auto"/>
        <w:tabs>
          <w:tab w:leader="none" w:pos="3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Right to Continued Employment</w:t>
      </w:r>
      <w:r>
        <w:rPr>
          <w:rFonts w:ascii="Times New Roman" w:cs="Times New Roman" w:eastAsia="Times New Roman" w:hAnsi="Times New Roman"/>
          <w:sz w:val="18"/>
          <w:szCs w:val="18"/>
          <w:color w:val="auto"/>
        </w:rPr>
        <w:t>. The grant of the RSU shall not be construed as giving the Grantee the right to be retained in the service of the Company, and the Company may at any time dismiss the Grantee from service, free from any liability or any claim under the Plan.</w:t>
      </w:r>
    </w:p>
    <w:p>
      <w:pPr>
        <w:spacing w:after="0" w:line="161" w:lineRule="exact"/>
        <w:rPr>
          <w:rFonts w:ascii="Times New Roman" w:cs="Times New Roman" w:eastAsia="Times New Roman" w:hAnsi="Times New Roman"/>
          <w:sz w:val="18"/>
          <w:szCs w:val="18"/>
          <w:color w:val="auto"/>
        </w:rPr>
      </w:pPr>
    </w:p>
    <w:p>
      <w:pPr>
        <w:ind w:left="-460" w:right="40" w:firstLine="464"/>
        <w:spacing w:after="0" w:line="258" w:lineRule="auto"/>
        <w:tabs>
          <w:tab w:leader="none" w:pos="3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or becomes, or is deemed to be invalid, illegal, or 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83" w:lineRule="exact"/>
        <w:rPr>
          <w:rFonts w:ascii="Times New Roman" w:cs="Times New Roman" w:eastAsia="Times New Roman" w:hAnsi="Times New Roman"/>
          <w:sz w:val="18"/>
          <w:szCs w:val="18"/>
          <w:color w:val="auto"/>
        </w:rPr>
      </w:pPr>
    </w:p>
    <w:p>
      <w:pPr>
        <w:ind w:left="-460" w:right="540" w:firstLine="464"/>
        <w:spacing w:after="0" w:line="282" w:lineRule="auto"/>
        <w:tabs>
          <w:tab w:leader="none" w:pos="4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interpretation, construction and performance of this Agreement shall be governed by the laws of the State of Tennessee without giving effect to the conflicts of law principles thereof, except to the extent that such laws are preempted by Federal law.</w:t>
      </w:r>
    </w:p>
    <w:p>
      <w:pPr>
        <w:spacing w:after="0" w:line="161" w:lineRule="exact"/>
        <w:rPr>
          <w:rFonts w:ascii="Times New Roman" w:cs="Times New Roman" w:eastAsia="Times New Roman" w:hAnsi="Times New Roman"/>
          <w:sz w:val="18"/>
          <w:szCs w:val="18"/>
          <w:color w:val="auto"/>
        </w:rPr>
      </w:pPr>
    </w:p>
    <w:p>
      <w:pPr>
        <w:ind w:left="-460" w:right="340" w:firstLine="464"/>
        <w:spacing w:after="0" w:line="266" w:lineRule="auto"/>
        <w:tabs>
          <w:tab w:leader="none" w:pos="3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in Interest</w:t>
      </w:r>
      <w:r>
        <w:rPr>
          <w:rFonts w:ascii="Times New Roman" w:cs="Times New Roman" w:eastAsia="Times New Roman" w:hAnsi="Times New Roman"/>
          <w:sz w:val="18"/>
          <w:szCs w:val="18"/>
          <w:color w:val="auto"/>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176" w:lineRule="exact"/>
        <w:rPr>
          <w:rFonts w:ascii="Times New Roman" w:cs="Times New Roman" w:eastAsia="Times New Roman" w:hAnsi="Times New Roman"/>
          <w:sz w:val="18"/>
          <w:szCs w:val="18"/>
          <w:color w:val="auto"/>
        </w:rPr>
      </w:pPr>
    </w:p>
    <w:p>
      <w:pPr>
        <w:ind w:left="-460" w:right="660" w:firstLine="464"/>
        <w:spacing w:after="0" w:line="266" w:lineRule="auto"/>
        <w:tabs>
          <w:tab w:leader="none" w:pos="4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176" w:lineRule="exact"/>
        <w:rPr>
          <w:rFonts w:ascii="Times New Roman" w:cs="Times New Roman" w:eastAsia="Times New Roman" w:hAnsi="Times New Roman"/>
          <w:sz w:val="18"/>
          <w:szCs w:val="18"/>
          <w:color w:val="auto"/>
        </w:rPr>
      </w:pPr>
    </w:p>
    <w:p>
      <w:pPr>
        <w:ind w:left="-460" w:firstLine="464"/>
        <w:spacing w:after="0" w:line="282" w:lineRule="auto"/>
        <w:tabs>
          <w:tab w:leader="none" w:pos="4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Shareholder</w:t>
      </w:r>
      <w:r>
        <w:rPr>
          <w:rFonts w:ascii="Times New Roman" w:cs="Times New Roman" w:eastAsia="Times New Roman" w:hAnsi="Times New Roman"/>
          <w:sz w:val="18"/>
          <w:szCs w:val="18"/>
          <w:color w:val="auto"/>
        </w:rPr>
        <w:t>. Grantee shall not have voting or any other rights as a shareholder of the Company with respect to the RSUs. Grantee will obtain voting and other rights as a shareholder of the Company upon any settlement of the RSUs in Shares.</w:t>
      </w:r>
    </w:p>
    <w:p>
      <w:pPr>
        <w:spacing w:after="0" w:line="161" w:lineRule="exact"/>
        <w:rPr>
          <w:rFonts w:ascii="Times New Roman" w:cs="Times New Roman" w:eastAsia="Times New Roman" w:hAnsi="Times New Roman"/>
          <w:sz w:val="18"/>
          <w:szCs w:val="18"/>
          <w:color w:val="auto"/>
        </w:rPr>
      </w:pPr>
    </w:p>
    <w:p>
      <w:pPr>
        <w:ind w:left="-460" w:right="60" w:firstLine="464"/>
        <w:spacing w:after="0" w:line="282" w:lineRule="auto"/>
        <w:tabs>
          <w:tab w:leader="none" w:pos="4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required to be given under this Agreement shall be deemed to be received if delivered or mailed as provided for herein to the parties at the following addresses, or to such other address as either party may provide in writing from time to time.</w:t>
      </w:r>
    </w:p>
    <w:p>
      <w:pPr>
        <w:sectPr>
          <w:pgSz w:w="11900" w:h="16838" w:orient="portrait"/>
          <w:cols w:equalWidth="0" w:num="1">
            <w:col w:w="10920"/>
          </w:cols>
          <w:pgMar w:left="700" w:top="270" w:right="27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 the Company</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HealthStream, Inc.</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Cummins Station, Suite 450</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209 10th Avenue South</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Nashville TN 37203</w:t>
      </w:r>
    </w:p>
    <w:p>
      <w:pPr>
        <w:spacing w:after="0" w:line="200" w:lineRule="exact"/>
        <w:rPr>
          <w:sz w:val="20"/>
          <w:szCs w:val="20"/>
          <w:color w:val="auto"/>
        </w:rPr>
      </w:pPr>
    </w:p>
    <w:p>
      <w:pPr>
        <w:sectPr>
          <w:pgSz w:w="11900" w:h="16838" w:orient="portrait"/>
          <w:cols w:equalWidth="0" w:num="2">
            <w:col w:w="1780" w:space="720"/>
            <w:col w:w="8420"/>
          </w:cols>
          <w:pgMar w:left="700" w:top="270" w:right="27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 the Grantee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1980"/>
        <w:spacing w:after="0"/>
        <w:rPr>
          <w:sz w:val="20"/>
          <w:szCs w:val="20"/>
          <w:color w:val="auto"/>
        </w:rPr>
      </w:pPr>
      <w:r>
        <w:rPr>
          <w:rFonts w:ascii="Times New Roman" w:cs="Times New Roman" w:eastAsia="Times New Roman" w:hAnsi="Times New Roman"/>
          <w:sz w:val="17"/>
          <w:szCs w:val="17"/>
          <w:color w:val="auto"/>
        </w:rPr>
        <w:t>The address then maintained with respect to the Grantee in the Company’s records.</w:t>
      </w:r>
    </w:p>
    <w:p>
      <w:pPr>
        <w:spacing w:after="0" w:line="169" w:lineRule="exact"/>
        <w:rPr>
          <w:sz w:val="20"/>
          <w:szCs w:val="20"/>
          <w:color w:val="auto"/>
        </w:rPr>
      </w:pPr>
    </w:p>
    <w:p>
      <w:pPr>
        <w:sectPr>
          <w:pgSz w:w="11900" w:h="16838" w:orient="portrait"/>
          <w:cols w:equalWidth="0" w:num="2">
            <w:col w:w="2240" w:space="720"/>
            <w:col w:w="7960"/>
          </w:cols>
          <w:pgMar w:left="700" w:top="270" w:right="279" w:bottom="1440" w:gutter="0" w:footer="0" w:header="0"/>
          <w:type w:val="continuous"/>
        </w:sect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700" w:top="270" w:right="279" w:bottom="1440" w:gutter="0" w:footer="0" w:header="0"/>
          <w:type w:val="continuous"/>
        </w:sectPr>
      </w:pPr>
    </w:p>
    <w:bookmarkStart w:id="75" w:name="page76"/>
    <w:bookmarkEnd w:id="75"/>
    <w:p>
      <w:pPr>
        <w:ind w:left="31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Restricted Share Unit Award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effective as of the day and year first above written.</w:t>
      </w:r>
    </w:p>
    <w:p>
      <w:pPr>
        <w:spacing w:after="0" w:line="26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22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-7620</wp:posOffset>
            </wp:positionV>
            <wp:extent cx="23431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157480</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Michael Sousa</w:t>
      </w:r>
    </w:p>
    <w:p>
      <w:pPr>
        <w:spacing w:after="0" w:line="1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980"/>
          </w:cols>
          <w:pgMar w:left="700" w:top="270" w:right="1219" w:bottom="1440" w:gutter="0" w:footer="0" w:header="0"/>
        </w:sectPr>
      </w:pPr>
    </w:p>
    <w:bookmarkStart w:id="76" w:name="page77"/>
    <w:bookmarkEnd w:id="76"/>
    <w:p>
      <w:pPr>
        <w:jc w:val="center"/>
        <w:ind w:right="-3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Performance Criteria</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For purposes of this Award, performance will be measured for the period beginning on January 1, 2017 and ending on December 31, 2019 (the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The performance criteria (the “</w:t>
      </w:r>
      <w:r>
        <w:rPr>
          <w:rFonts w:ascii="Times New Roman" w:cs="Times New Roman" w:eastAsia="Times New Roman" w:hAnsi="Times New Roman"/>
          <w:sz w:val="18"/>
          <w:szCs w:val="18"/>
          <w:u w:val="single" w:color="auto"/>
          <w:color w:val="auto"/>
        </w:rPr>
        <w:t>Performance Criteria</w:t>
      </w:r>
      <w:r>
        <w:rPr>
          <w:rFonts w:ascii="Times New Roman" w:cs="Times New Roman" w:eastAsia="Times New Roman" w:hAnsi="Times New Roman"/>
          <w:sz w:val="18"/>
          <w:szCs w:val="18"/>
          <w:color w:val="auto"/>
        </w:rPr>
        <w:t>”) for the Performance Period shall be determined by the Committee and communicated to Grantee and shall be based on certain financial performance targets of the business unit over which Grantee is President being achieved during the Performance Period.</w:t>
      </w:r>
    </w:p>
    <w:p>
      <w:pPr>
        <w:spacing w:after="0" w:line="11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240" w:top="266" w:right="59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HEALTHSTREAM,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Names Under Which We Do Business</w:t>
            </w:r>
          </w:p>
        </w:tc>
        <w:tc>
          <w:tcPr>
            <w:tcW w:w="6440" w:type="dxa"/>
            <w:vAlign w:val="bottom"/>
            <w:gridSpan w:val="3"/>
          </w:tcPr>
          <w:p>
            <w:pPr>
              <w:jc w:val="center"/>
              <w:ind w:left="29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r>
      <w:tr>
        <w:trPr>
          <w:trHeight w:val="20"/>
        </w:trPr>
        <w:tc>
          <w:tcPr>
            <w:tcW w:w="18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Management &amp; Research, Inc.</w:t>
            </w:r>
          </w:p>
        </w:tc>
        <w:tc>
          <w:tcPr>
            <w:tcW w:w="3020" w:type="dxa"/>
            <w:vAlign w:val="bottom"/>
          </w:tcPr>
          <w:p>
            <w:pPr>
              <w:spacing w:after="0"/>
              <w:rPr>
                <w:sz w:val="24"/>
                <w:szCs w:val="24"/>
                <w:color w:val="auto"/>
              </w:rPr>
            </w:pPr>
          </w:p>
        </w:tc>
        <w:tc>
          <w:tcPr>
            <w:tcW w:w="3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Jackson Organization, Research Consultants, Inc.</w:t>
            </w:r>
          </w:p>
        </w:tc>
        <w:tc>
          <w:tcPr>
            <w:tcW w:w="3020" w:type="dxa"/>
            <w:vAlign w:val="bottom"/>
          </w:tcPr>
          <w:p>
            <w:pPr>
              <w:spacing w:after="0"/>
              <w:rPr>
                <w:sz w:val="24"/>
                <w:szCs w:val="24"/>
                <w:color w:val="auto"/>
              </w:rPr>
            </w:pPr>
          </w:p>
        </w:tc>
        <w:tc>
          <w:tcPr>
            <w:tcW w:w="34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Maryland</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Decision Critical, Inc.</w:t>
            </w:r>
          </w:p>
        </w:tc>
        <w:tc>
          <w:tcPr>
            <w:tcW w:w="3020" w:type="dxa"/>
            <w:vAlign w:val="bottom"/>
          </w:tcPr>
          <w:p>
            <w:pPr>
              <w:spacing w:after="0"/>
              <w:rPr>
                <w:sz w:val="24"/>
                <w:szCs w:val="24"/>
                <w:color w:val="auto"/>
              </w:rPr>
            </w:pPr>
          </w:p>
        </w:tc>
        <w:tc>
          <w:tcPr>
            <w:tcW w:w="3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Echo, Inc.</w:t>
            </w:r>
          </w:p>
        </w:tc>
        <w:tc>
          <w:tcPr>
            <w:tcW w:w="3020" w:type="dxa"/>
            <w:vAlign w:val="bottom"/>
          </w:tcPr>
          <w:p>
            <w:pPr>
              <w:spacing w:after="0"/>
              <w:rPr>
                <w:sz w:val="24"/>
                <w:szCs w:val="24"/>
                <w:color w:val="auto"/>
              </w:rPr>
            </w:pPr>
          </w:p>
        </w:tc>
        <w:tc>
          <w:tcPr>
            <w:tcW w:w="3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Morrisey Associates, Inc.</w:t>
            </w:r>
          </w:p>
        </w:tc>
        <w:tc>
          <w:tcPr>
            <w:tcW w:w="3020" w:type="dxa"/>
            <w:vAlign w:val="bottom"/>
          </w:tcPr>
          <w:p>
            <w:pPr>
              <w:spacing w:after="0"/>
              <w:rPr>
                <w:sz w:val="24"/>
                <w:szCs w:val="24"/>
                <w:color w:val="auto"/>
              </w:rPr>
            </w:pPr>
          </w:p>
        </w:tc>
        <w:tc>
          <w:tcPr>
            <w:tcW w:w="3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Illinois</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Management Services, Inc.</w:t>
            </w:r>
          </w:p>
        </w:tc>
        <w:tc>
          <w:tcPr>
            <w:tcW w:w="3020" w:type="dxa"/>
            <w:vAlign w:val="bottom"/>
          </w:tcPr>
          <w:p>
            <w:pPr>
              <w:spacing w:after="0"/>
              <w:rPr>
                <w:sz w:val="24"/>
                <w:szCs w:val="24"/>
                <w:color w:val="auto"/>
              </w:rPr>
            </w:pPr>
          </w:p>
        </w:tc>
        <w:tc>
          <w:tcPr>
            <w:tcW w:w="3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Nursing Registry Consultants Corporation</w:t>
            </w:r>
          </w:p>
        </w:tc>
        <w:tc>
          <w:tcPr>
            <w:tcW w:w="3020" w:type="dxa"/>
            <w:vAlign w:val="bottom"/>
          </w:tcPr>
          <w:p>
            <w:pPr>
              <w:spacing w:after="0"/>
              <w:rPr>
                <w:sz w:val="24"/>
                <w:szCs w:val="24"/>
                <w:color w:val="auto"/>
              </w:rPr>
            </w:pPr>
          </w:p>
        </w:tc>
        <w:tc>
          <w:tcPr>
            <w:tcW w:w="3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Care Compliance Strategies, Inc.</w:t>
            </w:r>
          </w:p>
        </w:tc>
        <w:tc>
          <w:tcPr>
            <w:tcW w:w="3020" w:type="dxa"/>
            <w:vAlign w:val="bottom"/>
          </w:tcPr>
          <w:p>
            <w:pPr>
              <w:spacing w:after="0"/>
              <w:rPr>
                <w:sz w:val="24"/>
                <w:szCs w:val="24"/>
                <w:color w:val="auto"/>
              </w:rPr>
            </w:pPr>
          </w:p>
        </w:tc>
        <w:tc>
          <w:tcPr>
            <w:tcW w:w="3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HealthStream Acquisition I, Inc.</w:t>
            </w:r>
          </w:p>
        </w:tc>
        <w:tc>
          <w:tcPr>
            <w:tcW w:w="3020" w:type="dxa"/>
            <w:vAlign w:val="bottom"/>
          </w:tcPr>
          <w:p>
            <w:pPr>
              <w:spacing w:after="0"/>
              <w:rPr>
                <w:sz w:val="24"/>
                <w:szCs w:val="24"/>
                <w:color w:val="auto"/>
              </w:rPr>
            </w:pPr>
          </w:p>
        </w:tc>
        <w:tc>
          <w:tcPr>
            <w:tcW w:w="3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HealthStream Acquisition II, Inc.</w:t>
            </w:r>
          </w:p>
        </w:tc>
        <w:tc>
          <w:tcPr>
            <w:tcW w:w="3020" w:type="dxa"/>
            <w:vAlign w:val="bottom"/>
          </w:tcPr>
          <w:p>
            <w:pPr>
              <w:spacing w:after="0"/>
              <w:rPr>
                <w:sz w:val="24"/>
                <w:szCs w:val="24"/>
                <w:color w:val="auto"/>
              </w:rPr>
            </w:pPr>
          </w:p>
        </w:tc>
        <w:tc>
          <w:tcPr>
            <w:tcW w:w="3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5"/>
              </w:rPr>
              <w:t>Tennessee</w:t>
            </w:r>
          </w:p>
        </w:tc>
      </w:tr>
    </w:tbl>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31" w:lineRule="exact"/>
        <w:rPr>
          <w:sz w:val="20"/>
          <w:szCs w:val="20"/>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333-211725) pertaining to the 2016 Omnibus Incentive Plan of HealthStream, Inc.,</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333-167241) pertaining to the 2010 Stock Incentive Plan of HealthStream, Inc.,</w:t>
      </w:r>
    </w:p>
    <w:p>
      <w:pPr>
        <w:spacing w:after="0" w:line="130"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333-37440) pertaining to the 1994 Employee Stock Option Plan, 2000 Stock Incentive Plan and Employee Stock Purchase Plan of HealthStream, Inc., and</w:t>
      </w:r>
    </w:p>
    <w:p>
      <w:pPr>
        <w:spacing w:after="0" w:line="67"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333-206897) of HealthStream, Inc., as amended by that Post-Effective Amendment No. 1 to Registration Statement (Form POS AM No. 333-206897).</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of our reports dated February 27, 2017, with respect to the consolidated financial statements of HealthStream, Inc., and the effectiveness of internal control over financial reporting of HealthStream, Inc., included in this Annual Report (Form 10-K) of HealthStream, Inc. for the year ended December 31, 2016.</w:t>
      </w:r>
    </w:p>
    <w:p>
      <w:pPr>
        <w:spacing w:after="0" w:line="16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2017</w:t>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Frist, Jr., certify that:</w:t>
      </w:r>
    </w:p>
    <w:p>
      <w:pPr>
        <w:spacing w:after="0" w:line="131"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HealthStream,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460" w:right="40" w:firstLine="4"/>
        <w:spacing w:after="0" w:line="266" w:lineRule="auto"/>
        <w:tabs>
          <w:tab w:leader="none" w:pos="6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20" w:firstLine="4"/>
        <w:spacing w:after="0" w:line="266" w:lineRule="auto"/>
        <w:tabs>
          <w:tab w:leader="none" w:pos="65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80" w:firstLine="4"/>
        <w:spacing w:after="0" w:line="282" w:lineRule="auto"/>
        <w:tabs>
          <w:tab w:leader="none" w:pos="6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60" w:right="100" w:firstLine="4"/>
        <w:spacing w:after="0" w:line="266" w:lineRule="auto"/>
        <w:tabs>
          <w:tab w:leader="none" w:pos="65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firstLine="4"/>
        <w:spacing w:after="0" w:line="282" w:lineRule="auto"/>
        <w:tabs>
          <w:tab w:leader="none" w:pos="64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40" w:firstLine="4"/>
        <w:spacing w:after="0" w:line="282" w:lineRule="auto"/>
        <w:tabs>
          <w:tab w:leader="none" w:pos="65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27, 2017</w:t>
            </w: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5"/>
                <w:szCs w:val="15"/>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5"/>
                <w:szCs w:val="15"/>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tc>
      </w:tr>
      <w:tr>
        <w:trPr>
          <w:trHeight w:val="21"/>
        </w:trPr>
        <w:tc>
          <w:tcPr>
            <w:tcW w:w="340" w:type="dxa"/>
            <w:vAlign w:val="bottom"/>
            <w:tcBorders>
              <w:top w:val="single" w:sz="8" w:color="auto"/>
            </w:tcBorders>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r>
      <w:tr>
        <w:trPr>
          <w:trHeight w:val="191"/>
        </w:trPr>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53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Robert A. Frist, Jr.</w:t>
            </w: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M. Hayden, Jr., certify that:</w:t>
      </w:r>
    </w:p>
    <w:p>
      <w:pPr>
        <w:spacing w:after="0" w:line="131"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HealthStream,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460" w:right="40" w:firstLine="4"/>
        <w:spacing w:after="0" w:line="266" w:lineRule="auto"/>
        <w:tabs>
          <w:tab w:leader="none" w:pos="64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20" w:firstLine="4"/>
        <w:spacing w:after="0" w:line="266" w:lineRule="auto"/>
        <w:tabs>
          <w:tab w:leader="none" w:pos="65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80" w:firstLine="4"/>
        <w:spacing w:after="0" w:line="282" w:lineRule="auto"/>
        <w:tabs>
          <w:tab w:leader="none" w:pos="64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60" w:right="100" w:firstLine="4"/>
        <w:spacing w:after="0" w:line="266" w:lineRule="auto"/>
        <w:tabs>
          <w:tab w:leader="none" w:pos="65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firstLine="4"/>
        <w:spacing w:after="0" w:line="282" w:lineRule="auto"/>
        <w:tabs>
          <w:tab w:leader="none" w:pos="64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40" w:firstLine="4"/>
        <w:spacing w:after="0" w:line="282" w:lineRule="auto"/>
        <w:tabs>
          <w:tab w:leader="none" w:pos="65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27, 2017</w:t>
            </w: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5"/>
                <w:szCs w:val="15"/>
                <w:color w:val="auto"/>
              </w:rPr>
              <w:t>ERARD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5"/>
                <w:szCs w:val="15"/>
                <w:color w:val="auto"/>
              </w:rPr>
              <w:t>AYDEN</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tc>
      </w:tr>
      <w:tr>
        <w:trPr>
          <w:trHeight w:val="21"/>
        </w:trPr>
        <w:tc>
          <w:tcPr>
            <w:tcW w:w="340" w:type="dxa"/>
            <w:vAlign w:val="bottom"/>
            <w:tcBorders>
              <w:top w:val="single" w:sz="8" w:color="auto"/>
            </w:tcBorders>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r>
      <w:tr>
        <w:trPr>
          <w:trHeight w:val="191"/>
        </w:trPr>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53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Gerard M. Hayden, Jr.</w:t>
            </w: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HealthStream, Inc. (the “Company”) on Form 10-K for the year ending December 31, 2016, as filed with the Securities and Exchange Commission on the date hereof (the “Report”), Robert A. Frist, Jr., Chief Executive Officer of the Company certifies, pursuant to 18 U.S.C. §1350, as adopted pursuant to §906 of the Sarbanes-Oxley Act of 2002, that:</w:t>
      </w:r>
    </w:p>
    <w:p>
      <w:pPr>
        <w:spacing w:after="0" w:line="82" w:lineRule="exact"/>
        <w:rPr>
          <w:sz w:val="20"/>
          <w:szCs w:val="20"/>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5"/>
          <w:szCs w:val="15"/>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5"/>
          <w:szCs w:val="15"/>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2017</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HealthStream, Inc. (the “Company”) on Form 10-K for the year ending December 31, 2016, as filed with the Securities and Exchange Commission on the date hereof (the “Report”), Gerard M. Hayden, Jr., Chief Financial Officer of the Company certifies, pursuant to 18 U.S.C. § 1350, as adopted pursuant to §906 of the Sarbanes-Oxley Act of 2002, that:</w:t>
      </w:r>
    </w:p>
    <w:p>
      <w:pPr>
        <w:spacing w:after="0" w:line="82" w:lineRule="exact"/>
        <w:rPr>
          <w:sz w:val="20"/>
          <w:szCs w:val="20"/>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w:t>
      </w:r>
      <w:r>
        <w:rPr>
          <w:rFonts w:ascii="Times New Roman" w:cs="Times New Roman" w:eastAsia="Times New Roman" w:hAnsi="Times New Roman"/>
          <w:sz w:val="15"/>
          <w:szCs w:val="15"/>
          <w:u w:val="single" w:color="auto"/>
          <w:color w:val="auto"/>
        </w:rPr>
        <w:t>ERARD</w:t>
      </w:r>
      <w:r>
        <w:rPr>
          <w:rFonts w:ascii="Times New Roman" w:cs="Times New Roman" w:eastAsia="Times New Roman" w:hAnsi="Times New Roman"/>
          <w:sz w:val="18"/>
          <w:szCs w:val="18"/>
          <w:u w:val="single" w:color="auto"/>
          <w:color w:val="auto"/>
        </w:rPr>
        <w:t xml:space="preserve"> M. H</w:t>
      </w:r>
      <w:r>
        <w:rPr>
          <w:rFonts w:ascii="Times New Roman" w:cs="Times New Roman" w:eastAsia="Times New Roman" w:hAnsi="Times New Roman"/>
          <w:sz w:val="15"/>
          <w:szCs w:val="15"/>
          <w:u w:val="single" w:color="auto"/>
          <w:color w:val="auto"/>
        </w:rPr>
        <w:t>AYDEN</w:t>
      </w:r>
      <w:r>
        <w:rPr>
          <w:rFonts w:ascii="Times New Roman" w:cs="Times New Roman" w:eastAsia="Times New Roman" w:hAnsi="Times New Roman"/>
          <w:sz w:val="18"/>
          <w:szCs w:val="18"/>
          <w:u w:val="single" w:color="auto"/>
          <w:color w:val="auto"/>
        </w:rPr>
        <w:t>, J</w:t>
      </w:r>
      <w:r>
        <w:rPr>
          <w:rFonts w:ascii="Times New Roman" w:cs="Times New Roman" w:eastAsia="Times New Roman" w:hAnsi="Times New Roman"/>
          <w:sz w:val="15"/>
          <w:szCs w:val="15"/>
          <w:u w:val="single" w:color="auto"/>
          <w:color w:val="auto"/>
        </w:rPr>
        <w:t>R</w:t>
      </w:r>
      <w:r>
        <w:rPr>
          <w:rFonts w:ascii="Times New Roman" w:cs="Times New Roman" w:eastAsia="Times New Roman" w:hAnsi="Times New Roman"/>
          <w:sz w:val="18"/>
          <w:szCs w:val="18"/>
          <w:u w:val="single" w:color="auto"/>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2"/>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2"/>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5"/>
    </w:lvl>
  </w:abstractNum>
  <w:abstractNum w:abstractNumId="25">
    <w:nsid w:val="7C3DBD3D"/>
    <w:multiLevelType w:val="hybridMultilevel"/>
    <w:lvl w:ilvl="0">
      <w:lvlJc w:val="left"/>
      <w:lvlText w:val="%1."/>
      <w:numFmt w:val="upperLetter"/>
      <w:start w:val="35"/>
    </w:lvl>
  </w:abstractNum>
  <w:abstractNum w:abstractNumId="26">
    <w:nsid w:val="737B8DDC"/>
    <w:multiLevelType w:val="hybridMultilevel"/>
    <w:lvl w:ilvl="0">
      <w:lvlJc w:val="left"/>
      <w:lvlText w:val="%1."/>
      <w:numFmt w:val="upperLetter"/>
      <w:start w:val="6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2"/>
    </w:lvl>
  </w:abstractNum>
  <w:abstractNum w:abstractNumId="29">
    <w:nsid w:val="4516DDE9"/>
    <w:multiLevelType w:val="hybridMultilevel"/>
    <w:lvl w:ilvl="0">
      <w:lvlJc w:val="left"/>
      <w:lvlText w:val="%1."/>
      <w:numFmt w:val="decimal"/>
      <w:start w:val="3"/>
    </w:lvl>
  </w:abstractNum>
  <w:abstractNum w:abstractNumId="30">
    <w:nsid w:val="3006C83E"/>
    <w:multiLevelType w:val="hybridMultilevel"/>
    <w:lvl w:ilvl="0">
      <w:lvlJc w:val="left"/>
      <w:lvlText w:val="%1."/>
      <w:numFmt w:val="decimal"/>
      <w:start w:val="8"/>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2019-12-29T07:09:09Z</dcterms:created>
  <dcterms:modified xsi:type="dcterms:W3CDTF">2019-12-29T07:09:09Z</dcterms:modified>
</cp:coreProperties>
</file>