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 xml:space="preserve">For the quarterly period ended </w:t>
            </w:r>
            <w:r>
              <w:rPr>
                <w:rFonts w:ascii="Times New Roman" w:cs="Times New Roman" w:eastAsia="Times New Roman" w:hAnsi="Times New Roman"/>
                <w:sz w:val="18"/>
                <w:szCs w:val="18"/>
                <w:color w:val="auto"/>
                <w:w w:val="97"/>
              </w:rPr>
              <w:t>June 30, 2019</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Commission File No.: 000-27701</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6"/>
          </w:tcPr>
          <w:p>
            <w:pPr>
              <w:jc w:val="center"/>
              <w:ind w:right="60"/>
              <w:spacing w:after="0"/>
              <w:rPr>
                <w:sz w:val="20"/>
                <w:szCs w:val="20"/>
                <w:color w:val="auto"/>
              </w:rPr>
            </w:pPr>
            <w:r>
              <w:rPr>
                <w:rFonts w:ascii="Times New Roman" w:cs="Times New Roman" w:eastAsia="Times New Roman" w:hAnsi="Times New Roman"/>
                <w:sz w:val="43"/>
                <w:szCs w:val="43"/>
                <w:b w:val="1"/>
                <w:bCs w:val="1"/>
                <w:color w:val="auto"/>
                <w:w w:val="98"/>
              </w:rPr>
              <w:t>HealthStream, Inc.</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2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4"/>
          </w:tcPr>
          <w:p>
            <w:pPr>
              <w:jc w:val="center"/>
              <w:ind w:right="2420"/>
              <w:spacing w:after="0" w:line="207" w:lineRule="exact"/>
              <w:rPr>
                <w:sz w:val="20"/>
                <w:szCs w:val="20"/>
                <w:color w:val="auto"/>
              </w:rPr>
            </w:pPr>
            <w:r>
              <w:rPr>
                <w:rFonts w:ascii="Times New Roman" w:cs="Times New Roman" w:eastAsia="Times New Roman" w:hAnsi="Times New Roman"/>
                <w:sz w:val="18"/>
                <w:szCs w:val="18"/>
                <w:b w:val="1"/>
                <w:bCs w:val="1"/>
                <w:color w:val="auto"/>
                <w:w w:val="99"/>
              </w:rPr>
              <w:t>62</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1443555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80" w:type="dxa"/>
            <w:vAlign w:val="bottom"/>
            <w:gridSpan w:val="5"/>
          </w:tcPr>
          <w:p>
            <w:pPr>
              <w:jc w:val="center"/>
              <w:ind w:left="186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00" w:type="dxa"/>
            <w:vAlign w:val="bottom"/>
            <w:gridSpan w:val="5"/>
          </w:tcPr>
          <w:p>
            <w:pPr>
              <w:jc w:val="center"/>
              <w:ind w:right="19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90"/>
        </w:trPr>
        <w:tc>
          <w:tcPr>
            <w:tcW w:w="3780" w:type="dxa"/>
            <w:vAlign w:val="bottom"/>
            <w:gridSpan w:val="5"/>
          </w:tcPr>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00" w:type="dxa"/>
            <w:vAlign w:val="bottom"/>
            <w:gridSpan w:val="5"/>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25"/>
        </w:trPr>
        <w:tc>
          <w:tcPr>
            <w:tcW w:w="7700" w:type="dxa"/>
            <w:vAlign w:val="bottom"/>
            <w:gridSpan w:val="1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7"/>
              </w:rPr>
              <w:t>500 11th Avenue North , Suite 1000,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680" w:type="dxa"/>
            <w:vAlign w:val="bottom"/>
            <w:gridSpan w:val="4"/>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6"/>
              </w:rPr>
              <w:t>Nashville, Tennessee</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gridSpan w:val="4"/>
          </w:tcPr>
          <w:p>
            <w:pPr>
              <w:jc w:val="right"/>
              <w:ind w:right="11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00" w:type="dxa"/>
            <w:vAlign w:val="bottom"/>
            <w:gridSpan w:val="12"/>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0" w:type="dxa"/>
            <w:vAlign w:val="bottom"/>
          </w:tcPr>
          <w:p>
            <w:pPr>
              <w:spacing w:after="0"/>
              <w:rPr>
                <w:sz w:val="16"/>
                <w:szCs w:val="16"/>
                <w:color w:val="auto"/>
              </w:rPr>
            </w:pPr>
          </w:p>
        </w:tc>
        <w:tc>
          <w:tcPr>
            <w:tcW w:w="3280" w:type="dxa"/>
            <w:vAlign w:val="bottom"/>
            <w:gridSpan w:val="4"/>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388"/>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4"/>
          </w:tcPr>
          <w:p>
            <w:pPr>
              <w:jc w:val="center"/>
              <w:ind w:right="1420"/>
              <w:spacing w:after="0" w:line="207" w:lineRule="exact"/>
              <w:rPr>
                <w:sz w:val="20"/>
                <w:szCs w:val="20"/>
                <w:color w:val="auto"/>
              </w:rPr>
            </w:pPr>
            <w:r>
              <w:rPr>
                <w:rFonts w:ascii="Times New Roman" w:cs="Times New Roman" w:eastAsia="Times New Roman" w:hAnsi="Times New Roman"/>
                <w:sz w:val="18"/>
                <w:szCs w:val="18"/>
                <w:b w:val="1"/>
                <w:bCs w:val="1"/>
                <w:color w:val="auto"/>
              </w:rPr>
              <w:t>(615) 301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3100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color w:val="auto"/>
                <w:w w:val="99"/>
              </w:rPr>
              <w:t>Securities registered pursuant to Section 12(b) of the Act: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 w:type="dxa"/>
            <w:vAlign w:val="bottom"/>
          </w:tcPr>
          <w:p>
            <w:pPr>
              <w:spacing w:after="0"/>
              <w:rPr>
                <w:sz w:val="24"/>
                <w:szCs w:val="24"/>
                <w:color w:val="auto"/>
              </w:rPr>
            </w:pPr>
          </w:p>
        </w:tc>
        <w:tc>
          <w:tcPr>
            <w:tcW w:w="3900" w:type="dxa"/>
            <w:vAlign w:val="bottom"/>
            <w:gridSpan w:val="6"/>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HSTM</w:t>
            </w:r>
          </w:p>
        </w:tc>
        <w:tc>
          <w:tcPr>
            <w:tcW w:w="100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2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9"/>
              </w:rPr>
              <w:t>Nasdaq</w:t>
            </w:r>
          </w:p>
        </w:tc>
        <w:tc>
          <w:tcPr>
            <w:tcW w:w="0" w:type="dxa"/>
            <w:vAlign w:val="bottom"/>
          </w:tcPr>
          <w:p>
            <w:pPr>
              <w:spacing w:after="0"/>
              <w:rPr>
                <w:sz w:val="1"/>
                <w:szCs w:val="1"/>
                <w:color w:val="auto"/>
              </w:rPr>
            </w:pPr>
          </w:p>
        </w:tc>
      </w:tr>
    </w:tbl>
    <w:p>
      <w:pPr>
        <w:spacing w:after="0" w:line="19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60" w:hanging="252"/>
        <w:spacing w:after="0" w:line="207" w:lineRule="exact"/>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8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4"/>
          <w:szCs w:val="24"/>
          <w:color w:val="auto"/>
        </w:rPr>
      </w:pPr>
    </w:p>
    <w:p>
      <w:pPr>
        <w:ind w:right="238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24, 2019, there were 32,373,525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768350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 w:name="page2"/>
    <w:bookmarkEnd w:id="1"/>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6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60" w:type="dxa"/>
            <w:vAlign w:val="bottom"/>
            <w:tcBorders>
              <w:top w:val="single" w:sz="8" w:color="0000EE"/>
            </w:tcBorders>
          </w:tcPr>
          <w:p>
            <w:pPr>
              <w:spacing w:after="0"/>
              <w:rPr>
                <w:sz w:val="24"/>
                <w:szCs w:val="24"/>
                <w:color w:val="auto"/>
              </w:rPr>
            </w:pPr>
          </w:p>
        </w:tc>
        <w:tc>
          <w:tcPr>
            <w:tcW w:w="79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1020" w:type="dxa"/>
            <w:vAlign w:val="bottom"/>
          </w:tcPr>
          <w:p>
            <w:pPr>
              <w:spacing w:after="0"/>
              <w:rPr>
                <w:sz w:val="24"/>
                <w:szCs w:val="24"/>
                <w:color w:val="auto"/>
              </w:rPr>
            </w:pPr>
          </w:p>
        </w:tc>
        <w:tc>
          <w:tcPr>
            <w:tcW w:w="6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Condensed Consolidated Balance Sheets (Unaudited) – June 30, 2019 and December 31, 2018</w:t>
              </w:r>
            </w:hyperlink>
          </w:p>
        </w:tc>
        <w:tc>
          <w:tcPr>
            <w:tcW w:w="28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1020" w:type="dxa"/>
            <w:vAlign w:val="bottom"/>
          </w:tcPr>
          <w:p>
            <w:pPr>
              <w:spacing w:after="0"/>
              <w:rPr>
                <w:sz w:val="24"/>
                <w:szCs w:val="24"/>
                <w:color w:val="auto"/>
              </w:rPr>
            </w:pPr>
          </w:p>
        </w:tc>
        <w:tc>
          <w:tcPr>
            <w:tcW w:w="946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(Unaudited) – Three and Six Months Ended June 30, 2019 and 2018</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9460" w:type="dxa"/>
            <w:vAlign w:val="bottom"/>
            <w:gridSpan w:val="15"/>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Condensed Consolidated Statements of Comprehensive Income (Unaudited) – Three and Six Months Ended June 30, 2019 and 2018</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20" w:type="dxa"/>
            <w:vAlign w:val="bottom"/>
          </w:tcPr>
          <w:p>
            <w:pPr>
              <w:spacing w:after="0"/>
              <w:rPr>
                <w:sz w:val="24"/>
                <w:szCs w:val="24"/>
                <w:color w:val="auto"/>
              </w:rPr>
            </w:pPr>
          </w:p>
        </w:tc>
        <w:tc>
          <w:tcPr>
            <w:tcW w:w="9340" w:type="dxa"/>
            <w:vAlign w:val="bottom"/>
            <w:tcBorders>
              <w:top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Shareholders' Equity (Unaudited) – Three and Six Months Ended June 30, 2019 and 2018</w:t>
              </w:r>
            </w:hyperlink>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020" w:type="dxa"/>
            <w:vAlign w:val="bottom"/>
          </w:tcPr>
          <w:p>
            <w:pPr>
              <w:spacing w:after="0"/>
              <w:rPr>
                <w:sz w:val="24"/>
                <w:szCs w:val="24"/>
                <w:color w:val="auto"/>
              </w:rPr>
            </w:pPr>
          </w:p>
        </w:tc>
        <w:tc>
          <w:tcPr>
            <w:tcW w:w="77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Condensed Consolidated Statements of Cash Flows (Unaudited) – Six Months Ended June 30, 2019 and 2018</w:t>
              </w:r>
            </w:hyperlink>
          </w:p>
        </w:tc>
        <w:tc>
          <w:tcPr>
            <w:tcW w:w="1380" w:type="dxa"/>
            <w:vAlign w:val="bottom"/>
            <w:tcBorders>
              <w:top w:val="single" w:sz="8" w:color="0000EE"/>
            </w:tcBorders>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020" w:type="dxa"/>
            <w:vAlign w:val="bottom"/>
          </w:tcPr>
          <w:p>
            <w:pPr>
              <w:spacing w:after="0"/>
              <w:rPr>
                <w:sz w:val="24"/>
                <w:szCs w:val="24"/>
                <w:color w:val="auto"/>
              </w:rPr>
            </w:pPr>
          </w:p>
        </w:tc>
        <w:tc>
          <w:tcPr>
            <w:tcW w:w="9460" w:type="dxa"/>
            <w:vAlign w:val="bottom"/>
            <w:gridSpan w:val="15"/>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 (Unaudited)</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1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Quantitative and Qualitative Disclosures about Market Risk</w:t>
              </w:r>
            </w:hyperlink>
          </w:p>
        </w:tc>
        <w:tc>
          <w:tcPr>
            <w:tcW w:w="52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Controls and Procedures</w:t>
              </w:r>
            </w:hyperlink>
          </w:p>
        </w:tc>
        <w:tc>
          <w:tcPr>
            <w:tcW w:w="772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3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Other Information</w:t>
              </w:r>
            </w:hyperlink>
          </w:p>
        </w:tc>
        <w:tc>
          <w:tcPr>
            <w:tcW w:w="816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Exhibits</w:t>
              </w:r>
            </w:hyperlink>
          </w:p>
        </w:tc>
        <w:tc>
          <w:tcPr>
            <w:tcW w:w="886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1020" w:type="dxa"/>
            <w:vAlign w:val="bottom"/>
          </w:tcPr>
          <w:p>
            <w:pPr>
              <w:spacing w:after="0"/>
              <w:rPr>
                <w:sz w:val="24"/>
                <w:szCs w:val="24"/>
                <w:color w:val="auto"/>
              </w:rPr>
            </w:pPr>
          </w:p>
        </w:tc>
        <w:tc>
          <w:tcPr>
            <w:tcW w:w="9460" w:type="dxa"/>
            <w:vAlign w:val="bottom"/>
            <w:gridSpan w:val="15"/>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Signature</w:t>
              </w:r>
            </w:hyperlink>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4438015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340" w:top="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2019</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40" w:type="dxa"/>
            <w:vAlign w:val="bottom"/>
            <w:shd w:val="clear" w:color="auto" w:fill="CFF0FC"/>
          </w:tcPr>
          <w:p>
            <w:pPr>
              <w:ind w:left="3520"/>
              <w:spacing w:after="0" w:line="169" w:lineRule="exact"/>
              <w:rPr>
                <w:sz w:val="20"/>
                <w:szCs w:val="20"/>
                <w:color w:val="auto"/>
              </w:rPr>
            </w:pPr>
            <w:r>
              <w:rPr>
                <w:rFonts w:ascii="Times New Roman" w:cs="Times New Roman" w:eastAsia="Times New Roman" w:hAnsi="Times New Roman"/>
                <w:sz w:val="15"/>
                <w:szCs w:val="15"/>
                <w:b w:val="1"/>
                <w:bCs w:val="1"/>
                <w:color w:val="auto"/>
              </w:rPr>
              <w:t>ASSETS</w:t>
            </w: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6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8"/>
              </w:rPr>
              <w:t>120,849</w:t>
            </w:r>
          </w:p>
        </w:tc>
        <w:tc>
          <w:tcPr>
            <w:tcW w:w="50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134,321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Marketable securities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5"/>
                <w:szCs w:val="15"/>
                <w:color w:val="auto"/>
              </w:rPr>
              <w:t>Accounts receivable, net of allowance for doubtful accounts of $843 and</w:t>
            </w:r>
          </w:p>
        </w:tc>
        <w:tc>
          <w:tcPr>
            <w:tcW w:w="10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$1,161 at June 30, 2019 and December 31, 2018, respectively</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27,800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 unbilled</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Prepaid royalties, net of amortization</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11,970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5"/>
                <w:szCs w:val="15"/>
                <w:color w:val="auto"/>
              </w:rPr>
              <w:t>Other prepaid expenses and other current assets</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11,089</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4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current assets</w:t>
            </w: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rPr>
              <w:t>214,481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241,434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78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Property and equipment, net of accumulated depreciation of $16,754 and</w:t>
            </w:r>
          </w:p>
        </w:tc>
        <w:tc>
          <w:tcPr>
            <w:tcW w:w="10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$20,827 at June 30, 2019 and December 31, 2018, respectively</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28,544</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Capitalized software development, net of accumulated amortization of $52,084 and</w:t>
            </w: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$46,757 at June 30, 2019 and December 31, 2018, respectively</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Operating lease right of use assets, net</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30,774</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Customer-related intangibles, net of accumulated amortization of $26,478 and</w:t>
            </w:r>
          </w:p>
        </w:tc>
        <w:tc>
          <w:tcPr>
            <w:tcW w:w="10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$23,245 at June 30, 2019 and December 31, 2018, respectively</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53,437</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Other intangible assets, net of accumulated amortization of $11,266 and</w:t>
            </w: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$9,663 at June 30, 2019 and December 31, 2018, respectively</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Deferred commissions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15,534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Non-marketable equity investments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6,786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40" w:type="dxa"/>
            <w:vAlign w:val="bottom"/>
            <w:tcBorders>
              <w:bottom w:val="single" w:sz="8" w:color="CFF0FC"/>
            </w:tcBorders>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1060" w:type="dxa"/>
            <w:vAlign w:val="bottom"/>
            <w:tcBorders>
              <w:bottom w:val="single" w:sz="8" w:color="auto"/>
            </w:tcBorders>
            <w:shd w:val="clear" w:color="auto" w:fill="CFF0FC"/>
          </w:tcPr>
          <w:p>
            <w:pPr>
              <w:jc w:val="right"/>
              <w:ind w:right="9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rPr>
              <w:t>476,451</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441,948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06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18,121</w:t>
            </w:r>
          </w:p>
        </w:tc>
        <w:tc>
          <w:tcPr>
            <w:tcW w:w="50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royalties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13,462</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Deferred revenue</w:t>
            </w:r>
          </w:p>
        </w:tc>
        <w:tc>
          <w:tcPr>
            <w:tcW w:w="10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66,730</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66,061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4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current liabilities</w:t>
            </w:r>
          </w:p>
        </w:tc>
        <w:tc>
          <w:tcPr>
            <w:tcW w:w="106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98,313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106,854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8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revenue, noncurrent</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2,669</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liability, noncurrent</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32,046</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long term liabilities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8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5"/>
                <w:szCs w:val="15"/>
                <w:color w:val="auto"/>
              </w:rPr>
              <w:t>Common stock, no par value, 75,000 shares authorized; 32,374 and 32,325 shares</w:t>
            </w:r>
          </w:p>
        </w:tc>
        <w:tc>
          <w:tcPr>
            <w:tcW w:w="10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5"/>
                <w:szCs w:val="15"/>
                <w:color w:val="auto"/>
              </w:rPr>
              <w:t>issued and outstanding at June 30, 2019 and December 31, 2018, respectively</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8"/>
              </w:rPr>
              <w:t>288,900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286,597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Retained earnings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40,748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40" w:type="dxa"/>
            <w:vAlign w:val="bottom"/>
            <w:tcBorders>
              <w:bottom w:val="single" w:sz="8" w:color="CFF0FC"/>
            </w:tcBorders>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10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rPr>
              <w:t>329,671</w:t>
            </w:r>
          </w:p>
        </w:tc>
        <w:tc>
          <w:tcPr>
            <w:tcW w:w="3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318,947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40" w:type="dxa"/>
            <w:vAlign w:val="bottom"/>
            <w:tcBorders>
              <w:bottom w:val="single" w:sz="8" w:color="CFF0FC"/>
            </w:tcBorders>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1060" w:type="dxa"/>
            <w:vAlign w:val="bottom"/>
            <w:tcBorders>
              <w:bottom w:val="single" w:sz="8" w:color="auto"/>
            </w:tcBorders>
            <w:shd w:val="clear" w:color="auto" w:fill="CFF0FC"/>
          </w:tcPr>
          <w:p>
            <w:pPr>
              <w:jc w:val="right"/>
              <w:ind w:right="9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rPr>
              <w:t>476,451</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441,948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 (unaudited).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 provision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before income tax provision</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Gain on sale of discontinued operations</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60" w:type="dxa"/>
            <w:vAlign w:val="bottom"/>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50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6"/>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580" w:type="dxa"/>
            <w:vAlign w:val="bottom"/>
            <w:gridSpan w:val="6"/>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9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58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286,597</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 donated to Company (held in treasury)</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9"/>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5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060" w:type="dxa"/>
            <w:vAlign w:val="bottom"/>
            <w:tcBorders>
              <w:top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31,908</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282,666</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on common stock ($1.00 per share)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(32,518)</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issued under stock plans,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285,673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80" w:type="dxa"/>
            <w:vAlign w:val="bottom"/>
          </w:tcPr>
          <w:p>
            <w:pPr>
              <w:spacing w:after="0"/>
              <w:rPr>
                <w:sz w:val="19"/>
                <w:szCs w:val="19"/>
                <w:color w:val="auto"/>
              </w:rPr>
            </w:pPr>
          </w:p>
        </w:tc>
        <w:tc>
          <w:tcPr>
            <w:tcW w:w="106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non-marketable equity investments</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royalties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commissions</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royalties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9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(18,018)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discontinued operations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(44,158)</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to acquire cost method investments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(8,374)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(19,598)</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continuing investing activities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discontinued investing activities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earn-outs related to acquisitions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continuing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discontinued financing activities</w:t>
            </w:r>
          </w:p>
        </w:tc>
        <w:tc>
          <w:tcPr>
            <w:tcW w:w="9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(13,472)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4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accompanying Condensed Consolidated Financial Statements (unaudited)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months ended June 30, 2019 are not necessarily indicative of the results that may be expected for the year ending December 31, 2019.</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12, 2018, the Company divested its Patient Experience (“PX”) business to Press Ganey Associates, Inc. (“Press Ganey”). The sale of the PX business resulted in the Company’s divestiture of the Company’s patient experience solutions business segment. The Company has classified the results of its previously owned PX segment as discontinued operations in its Condensed Consolidated Statements of Income and Cash Flows for all periods presented. See Note 8 for additional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2018 has been derived from the audited Consolidated Financial Statements at that date and has been adjusted to reflect the Company’s discontinued operations as noted above but does not include all of the information and footnotes required by US GAAP for complete financial statements. For further information, refer to the Consolidated Financial Statements and footnotes thereto for the year ended December 31, 2018 (included in the Company's Annual Report on Form 10-K, filed with the Securities and Exchange Commission on February 25,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xml:space="preserve"> which, among other things, requires an entity to recognize a right-of-use asset and a lease liability on the balance sheet for substantially all leases, including operating leases. The Company adopted ASC 842 effective January 1, 2019 utilizing the modified retrospective approach such that prior year Financial Statements were not recast under the new standard. Adoption of this standard resulted in changes to the Company’s Condensed Consolidated Balance Sheets and accounting policies for leases but did not have an impact on the Condensed Consolidated Statements of Income or Cash Flows. See Note 12 for additional information regarding the new standard and its impact on the Company’s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2016-03, </w:t>
      </w:r>
      <w:r>
        <w:rPr>
          <w:rFonts w:ascii="Times New Roman" w:cs="Times New Roman" w:eastAsia="Times New Roman" w:hAnsi="Times New Roman"/>
          <w:sz w:val="18"/>
          <w:szCs w:val="18"/>
          <w:i w:val="1"/>
          <w:iCs w:val="1"/>
          <w:color w:val="auto"/>
        </w:rPr>
        <w:t>Financial Instruments—Credit Losses (“ASC 326”): Measurement of Credit Losses on Financial Instruments</w:t>
      </w:r>
      <w:r>
        <w:rPr>
          <w:rFonts w:ascii="Times New Roman" w:cs="Times New Roman" w:eastAsia="Times New Roman" w:hAnsi="Times New Roman"/>
          <w:sz w:val="18"/>
          <w:szCs w:val="18"/>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SALES COMMISSIONS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 Company expects to be entitled to in exchange for transferring those goods or services.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based on the following five step model:</w:t>
      </w:r>
    </w:p>
    <w:p>
      <w:pPr>
        <w:spacing w:after="0" w:line="117" w:lineRule="exact"/>
        <w:rPr>
          <w:sz w:val="20"/>
          <w:szCs w:val="20"/>
          <w:color w:val="auto"/>
        </w:rPr>
      </w:pPr>
    </w:p>
    <w:p>
      <w:pPr>
        <w:ind w:left="800" w:hanging="40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11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our revenues included in continuing operations from contracts with customers disaggregated by revenue source for the three and six months ended June 30, 2019 and 2018 (in thousands). Sales taxes are excluded from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200" w:type="dxa"/>
            <w:vAlign w:val="bottom"/>
          </w:tcPr>
          <w:p>
            <w:pPr>
              <w:spacing w:after="0"/>
              <w:rPr>
                <w:sz w:val="11"/>
                <w:szCs w:val="11"/>
                <w:color w:val="auto"/>
              </w:rPr>
            </w:pPr>
          </w:p>
        </w:tc>
        <w:tc>
          <w:tcPr>
            <w:tcW w:w="100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Subscription/SaaS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200" w:type="dxa"/>
            <w:vAlign w:val="bottom"/>
          </w:tcPr>
          <w:p>
            <w:pPr>
              <w:spacing w:after="0"/>
              <w:rPr>
                <w:sz w:val="11"/>
                <w:szCs w:val="11"/>
                <w:color w:val="auto"/>
              </w:rPr>
            </w:pPr>
          </w:p>
        </w:tc>
        <w:tc>
          <w:tcPr>
            <w:tcW w:w="100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Workforce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Provider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Subscription/SaaS services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89,444</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revenues, net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Subscription/SaaS services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Subscription/SaaS contracts are generally non-cancelable, one to five years in length, and billed annually, semi-annually, quarterly, or monthly in advance.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services revenues primarily consist of fees for implementation services, custom courseware development, and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not significant.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within the contract.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2019, the Company recognized $46,000 in impairment losses on receivables and contract assets arising from the Company’s contracts with customers. For the three months ended June 30, 2018 the Company did not recognize any impairment losses on receivables and contract assets arising from the Company’s contracts with customers. For the six months ended June 30, 2019 and 2018, the Company recognized $48,000 and $390,000 in impairment losses on receivables and contract assets arising from the Company’s contracts with customers.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contract liabilities that are recorded when cash payments are received or are due in advance of our satisfaction of performance obligations. During the three months ended June 30, 2019 and 2018, we recognized $36.3 million and $33.8 million of revenue from amounts included in deferred revenues at the beginning of the respective period, respectively. During the six months ended June 30, 2019 and 2018, we recognized $51.2 million and $48.0 million of revenue from amounts included in deferred revenues at the beginning of the respective periods. As of June 30, 2019, $436 million of revenue is expected to be recognized from remaining performance obligations under contract with customers. We expect to recognize revenue with respect to 47% of these remaining performance obligations over the next 12 months, with the remaining amounts recognized thereafter.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commissions earned by our sales force are considered incremental and recoverable costs of obtaining a contract with a customer. The Company’s sales commission plans for 2018 and 2019 typically include multiple payments, including initial payments in the period a customer contract is obtained and subsequent payments either 15 or 27 months after the initial payment. Under ASC 606, costs to acquire contracts with customers, such as the initial sales commission payment, are capitalized in the period a customer contract is obtained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The capitalized contract cost is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expected period of benefit or technological obsolescence period. The Company recorded amortization of deferred commissions of $2.1 million and $1.9 million for the three months ended June 30, 2019 and 2018, respectively, and $4.2 million and $3.7 million for the six months ended June 30, 2019 and 2018, respectively, which is included in Sales and marketing expenses in the accompanying Condensed Consolidated Statements of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2019 and 2018, the Company recorded a provision for income taxes from continuing operations of $719,000 and $1.1 million, respectively. During the six months ended June 30, 2019 and 2018, the Company recorded a provision for income taxes from continuing operations of $2.1 million and $1.5 million, respectively. The Company’s effective tax rate for continuing operations for the six months ended June 30, 2019 and 2018 was 23% and 17%, respectively. The Company’s effective tax rate primarily reflects the statutory corporate income tax rate, the net effect of state taxes, and the effect of various permanent tax differences. Additionally, during the six months ended June 30, 2019 and 2018, the Company recorded excess tax benefits related to stock based awards of $123,000 and $663,000, respectively, as a component of the provision for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12, 2018, the Company’s Board of Directors declared a $1.00 per common share special cash dividend, which was paid on April 3, 2018 to shareholders of record on March 6,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stock awards outstanding under two stock incentive plans: the Company’s 2016 Omnibus Incentive Plan and 2010 Stock Incentive Plan. The Company accounts for its stock based compensation plans using the fair-value based method for costs related to stock based payments, including stock options and restricted share units (“RSUs”). During the six months ended June 30, 2019, the Company issued 86,220 RSUs, subject to service-based time vesting, with a weighted average grant date fair value of $27.39 per share, measured based on the closing fair market value of the Company’s stock on the date of grant. During the six months ended June 30, 2018, the Company issued 83,168 RSUs, subject to service-based time vesting, with a weighted average grant date fair value of $24.70 per share, measured based on the closing fair market value of the Company’s stock on the date of grant.</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recorded for the three and six months ended June 30, 2019 and 2018, which is recorded within continuing operations in the Condensed Consolidated Statements of Income,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1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9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9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9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2,558</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2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During June 2019, the Company’s Chief Executive Officer, Robert A. Frist, Jr., contributed 78,520 of his personally owned shares of HealthStream, Inc. common stock (valued at $2.0 million) to the Company, without any consideration paid to him, for the benefit of the Company’s employees. In connection therewith, effective June 26, 2019 the Company approved the award of 78,520 fully vested shares of common stock to approximately 820 employees of the Company under the HealthStream, Inc. 2016 Omnibus Incentive Plan. These shares were issued in July 2019. As required by ASC Topic 718, </w:t>
      </w:r>
      <w:r>
        <w:rPr>
          <w:rFonts w:ascii="Times New Roman" w:cs="Times New Roman" w:eastAsia="Times New Roman" w:hAnsi="Times New Roman"/>
          <w:sz w:val="17"/>
          <w:szCs w:val="17"/>
          <w:i w:val="1"/>
          <w:iCs w:val="1"/>
          <w:color w:val="auto"/>
        </w:rPr>
        <w:t>Compensation</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Stock Compensation</w:t>
      </w:r>
      <w:r>
        <w:rPr>
          <w:rFonts w:ascii="Times New Roman" w:cs="Times New Roman" w:eastAsia="Times New Roman" w:hAnsi="Times New Roman"/>
          <w:sz w:val="18"/>
          <w:szCs w:val="18"/>
          <w:color w:val="auto"/>
        </w:rPr>
        <w:t>, the Company recognized $2.0 million of stock based compensation expense for these stock awards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2019 based on the closing fair market value of the Company’s stock on the date of the Company’s approval of these grants. Total payments related to the employees’ tax obligations to taxing authorities for these stock awards were $627,000 and are reflected as a financing activity within the Condensed Consolidated Statements of Cash Flows for the six months ended June 30, 2019. In addition, the employer taxes and expenses associated with these grants were $0.2 million and were recorded as an expense during June 2019. Mr. Frist contributed an additional 7,852 of his personally owned shares to cover these costs. The receipt of shares from Mr. Frist and in connection with the withholding of shares as set forth above are presented on the Company’s Statement of Shareholders’ Equity in a similar manner as a share repurchase (i.e., reduction of outstanding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131,000 and 70,000 for the three months ended June 30, 2019 and 2018, respectively, and 134,000 and 114,000 for the six months ended June 30, 2019 and 2018,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six months ended June 30, 2019 and 2018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1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13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2019 and December 31, 2018, the fair value of marketable securities, which were all classified as available for sale, included the following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Government-sponsored enterprise debt securities</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Government-sponsored enterprise debt securities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the fair value based on quoted market prices or alternative pricing sources and models utilizing market observable inputs. As of June 30, 2019, the Company does not consider any of its marketable securities to be other than temporarily impaired. During the three and six months ended June 30, 2019 and 2018, the Company did not reclassify any items out of accumulated other comprehensive (loss) income to net income. All investments in marketable securities are classified as current assets on the balance sheet because the underlying securities mature within one year from the balance sheet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Experience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2018, the Company divested PX to Press Ganey for $65.2 million in cash (after giving effect to the post-closing working capital adjustment), resulting in a gain, net of tax, of $20.2 million, of which $19.0 million was recorded during the year ended December 31, 2018 and $1.2 million was recorded during the three months ended March 31, 2019. Approximately $6.55 million of the proceeds was held in escrow for a period of time following the closing as a source of recovery for indemnification claims by Press Ganey, of which $6.22 million was released and paid to the Company in April 2019. Approximately $328,000 remains in escrow through August 12, 2019 as a source of recovery for certain potential indemnification claims.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sale of the PX business resulted in the Company’s divestiture of the Company’s patient experience solutions business segment. The Company has classified the results of the patient experience solutions business segment as discontinued operations in its Condensed Consolidated Statements of Income and Cash Flows for all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of the PX business for the period prior to divestiture during the six months ended June 30, 2018, are presented in discontinued operations in the Company’s Condensed Consolidated Statement of Income. The following table presents financial results of the PX business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920" w:type="dxa"/>
            <w:vAlign w:val="bottom"/>
            <w:tcBorders>
              <w:top w:val="single" w:sz="8" w:color="auto"/>
              <w:bottom w:val="single" w:sz="8" w:color="auto"/>
            </w:tcBorders>
          </w:tcPr>
          <w:p>
            <w:pPr>
              <w:jc w:val="center"/>
              <w:ind w:right="2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development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 provision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and enrollment products and services (HealthStream Provider Solutions).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sale of the PX business on February 12, 2018 resulted in the Company’s divestiture of the Company’s Patient Experience Solutions segment. Beginning with the first quarter of 2018, the Company classified the results of its Patient Experience segment as discontinued operations in its Condensed Consolidated Statements of Income and Cash Flows for all periods presented. See Note 8 for additional information.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and six months ended June 30, 2019 and 2018 and as of June 30, 2019 and December 31, 2018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2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 net</w:t>
            </w:r>
          </w:p>
        </w:tc>
        <w:tc>
          <w:tcPr>
            <w:tcW w:w="10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from continuing operations:</w:t>
            </w: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13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Unallocated</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(6,337)</w:t>
            </w:r>
          </w:p>
        </w:tc>
        <w:tc>
          <w:tcPr>
            <w:tcW w:w="14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(15,603)</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(12,356)</w:t>
            </w:r>
          </w:p>
        </w:tc>
        <w:tc>
          <w:tcPr>
            <w:tcW w:w="0" w:type="dxa"/>
            <w:vAlign w:val="bottom"/>
          </w:tcPr>
          <w:p>
            <w:pPr>
              <w:spacing w:after="0"/>
              <w:rPr>
                <w:sz w:val="1"/>
                <w:szCs w:val="1"/>
                <w:color w:val="auto"/>
              </w:rPr>
            </w:pPr>
          </w:p>
        </w:tc>
      </w:tr>
      <w:tr>
        <w:trPr>
          <w:trHeight w:val="223"/>
        </w:trPr>
        <w:tc>
          <w:tcPr>
            <w:tcW w:w="4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income from continuing operations</w:t>
            </w:r>
          </w:p>
        </w:tc>
        <w:tc>
          <w:tcPr>
            <w:tcW w:w="1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assets *</w:t>
            </w:r>
          </w:p>
        </w:tc>
        <w:tc>
          <w:tcPr>
            <w:tcW w:w="26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75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145,637</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Unallocated</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214,835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191,643</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476,451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441,948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400" w:hanging="392"/>
        <w:spacing w:after="0" w:line="241"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assets include accounts and unbilled receivables, prepaid and other current assets, other assets, capitalized software development, certain property and equipment, goodwill and intangible assets. Cash and cash equivalents and marketable securities are not allocated to individual segments, and are included within Unallocated. A significant portion of property and equipment assets are included within Unallocated.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COMBINATION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Providigm, LLC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10, 2019, the Company acquired the outstanding equity of Providigm, LLC (“Providigm”), a Denver, Colorado based company focusing on quality assurance and performance improvement in healthcare, primarily serving skilled nursing facilities. The Company acquired Providigm to add its comprehensive quality management system, known as “abaqis®,” to its product portfolio and gain customers in the skilled nursing market. The consideration paid for Providigm consisted of $18.0 million in cash, which the Company funded with cash on hand. In addition, up to an additional $500,000 in cash may be paid by the Company based on the financial performance of Providigm during an 18-month period following closing. Of the purchase price paid by the Company at closing, $3.65 million is being held in escrow for a period of time following the closing to serve as a source of recovery for certain potential indemnification claims by the Company. The Company incurred $388,000 in transaction costs, of which $63,000 was incurred during the six months ended June 30, 2019 and $325,000 was incurred during the year ended 2018. The transaction costs were recorded in other general and administrative in the Condensed Consolidated Statements of Income for such periods. The results of operations for Providigm have been included in the HealthStream Workforce Solutions segment of the Company’s Financial Statements from the date of acquisition.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840" w:type="dxa"/>
            <w:vAlign w:val="bottom"/>
            <w:gridSpan w:val="2"/>
          </w:tcPr>
          <w:p>
            <w:pPr>
              <w:jc w:val="right"/>
              <w:ind w:right="70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20" w:type="dxa"/>
            <w:vAlign w:val="bottom"/>
          </w:tcPr>
          <w:p>
            <w:pPr>
              <w:spacing w:after="0"/>
              <w:rPr>
                <w:sz w:val="20"/>
                <w:szCs w:val="20"/>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held in escrow</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consideration paid</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unbilled receivable, net</w:t>
            </w:r>
          </w:p>
        </w:tc>
        <w:tc>
          <w:tcPr>
            <w:tcW w:w="5740" w:type="dxa"/>
            <w:vAlign w:val="bottom"/>
            <w:gridSpan w:val="2"/>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assets acquired</w:t>
            </w:r>
          </w:p>
        </w:tc>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00" w:type="dxa"/>
            <w:vAlign w:val="bottom"/>
            <w:vMerge w:val="restart"/>
          </w:tcPr>
          <w:p>
            <w:pPr>
              <w:jc w:val="right"/>
              <w:ind w:right="329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2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During the three months ended June 30, 2019, the Company updated the composition and valuation of intangible assets and recorded a measurement period adjustment increasing goodwill and decreasing intangible assets by approximately $2.0 million. The measurement period adjustment resulted in a decrease to depreciation and amortization expense of $113,000 during the three months ended June 30, 2019.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intangible assets and indemnification asset and liability. The goodwill balance is primarily attributed to the assembled workforce, additional market opportunities from offering Providigm’s products, and expected synergies from integrating Providigm with other products or other combined functional areas within the Company. The goodwill balance is deductible for U.S. income tax purposes. The net tangible assets include deferred revenue, which was adjusted down from a book value at the acquisition date of $266,000 to an estimated fair value of $141,000. The $125,000 write-down of deferred revenue will result in lower revenues than would have otherwise been recognized for such services. The acquired assets and liabilities include a $750,000 indemnification asset and liability related to tax liabilities. The purchase agreement also contains a provision for up to $500,000 of additional consideration based on the achievement of financial performance targets by Providigm during an 18-month period following the closing date. Management assessed the likelihood of achieving the financial performance targets, which has been included in the preliminary purchase price allocation.</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identifiable intangible assets and their estimated useful lives as of the acquisition date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c>
          <w:tcPr>
            <w:tcW w:w="280" w:type="dxa"/>
            <w:vAlign w:val="bottom"/>
            <w:tcBorders>
              <w:bottom w:val="single" w:sz="8" w:color="CFF0FC"/>
            </w:tcBorders>
          </w:tcPr>
          <w:p>
            <w:pPr>
              <w:spacing w:after="0"/>
              <w:rPr>
                <w:sz w:val="15"/>
                <w:szCs w:val="15"/>
                <w:color w:val="auto"/>
              </w:rPr>
            </w:pPr>
          </w:p>
        </w:tc>
        <w:tc>
          <w:tcPr>
            <w:tcW w:w="18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2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years</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3"/>
        </w:trPr>
        <w:tc>
          <w:tcPr>
            <w:tcW w:w="7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preliminary intangible assets subject to amortization</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of revenue and operating loss of Providigm included in the Company’s Condensed Consolidated Statements of Income from the date of acquisition of January 10, 2019 to the three and six months ended June 30, 2019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5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continuing and discontinued operations of the Company, unless otherwise noted, and Providigm as though the companies were combined as of January 1, 2018 (in thousands, except per share data):</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vMerge w:val="continue"/>
          </w:tcPr>
          <w:p>
            <w:pPr>
              <w:spacing w:after="0"/>
              <w:rPr>
                <w:sz w:val="22"/>
                <w:szCs w:val="22"/>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240" w:type="dxa"/>
            <w:vAlign w:val="bottom"/>
          </w:tcPr>
          <w:p>
            <w:pPr>
              <w:spacing w:after="0"/>
              <w:rPr>
                <w:sz w:val="22"/>
                <w:szCs w:val="22"/>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amortization of intangible assets, depreciation of property and equipment, interest expense related to Providigm’s previously outstanding debt,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31, 2018, the Company entered into a Second Amendment to its Revolving Credit Agreement, dated as of November 24, 2014 (as amended, the “Revolving Credit Facility”), with SunTrust Bank (“SunTrust”), which extended the maturity date to November 24, 2020.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2020,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2019, the Company was in compliance with all covenants. There were no balances outstanding on the Revolving Credit Facility as of or during the three and six months ended June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2019, the Company adopted ASC 842, which requires an entity to recognize a right-of-use (“ROU”) asset and a lease liability on the balance sheet for substantially all leases, including operating leases, using the modified retrospective approach. The Company elected to use the package of practicable expedients which allows companies to not reassess the following: (1) the lease classification for any expired or existing leases, (2) the treatment of initial direct costs as they related to existing leases, and (3) whether expired or existing contracts are or contain leases. The Company did not elect the use of the hindsight practical expedient, but did elect the practical expedient not to separate lease components from non-lease components related to its office space leases.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adoption of ASC 842, the Company had non-cancellable operating leases for office space subject to recognition as ROU assets. Accordingly, on January 1, 2019 the Company recorded $4.8 million in ROU assets and $6.4 million in operating lease liabilities (the difference of $1.6 million related to existing deferred rent liabilities as of December 31, 2018 which had the effect of reducing the ROU asset upon adoption). During 2019, the Company acquired an operating lease as part of its acquisition of Providigm, resulting in a $1.2 million ROU asset and lease liability, and another operating lease for office space commenced for the Company’s new corporate headquarters in Nashville, TN, resulting in a $26.5 million ROU asset and lease liability. As of June 30, 2019, the Company does not have any leases that have not yet commenced.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have any lease contracts that contain: (1) an option to extend that the Company is reasonably certain to exercise, (2) an option to terminate that the Company is reasonably certain not to exercise, or (3) an option to extend (or not to terminate) in which exercise of the option is controlled by the lessor. Additionally, the Company does not have any leases with residual value guarantees or material restrictive covenants. For leases already commenced, the lease term was determined to be the remaining months in the lease term as of January 1, 2019, the date of adoption. The Company has elected not to recognize leases with initial terms of one year or less on the balance sheet. Lease liabilities and their corresponding right-of-use assets have been recorded based on the present value of the future lease payments over the expected lease term. Most of the Company’s lease agreements contain provisions for escalating rent payments over the terms of the leases.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do not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operating lease cost as presented in other general and administrative expense in the Condensed Consolidated Statement of Income was $1.4 million and $2.6 million for the three and six months ended June 30, 2019, respectively. Cash paid for amounts included in the measurement of operating lease liabilities was $1.1 million for the six months ended June 30, 2019. As of June 30, 2019, the weighted-average remaining lease term was 11.0 years, and the weighted-average incremental borrowing rate was 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Condensed Consolidated Balance Sheet as of June 30, 2019 (in thousands).</w:t>
      </w:r>
    </w:p>
    <w:p>
      <w:pPr>
        <w:spacing w:after="0" w:line="354"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4"/>
          <w:szCs w:val="14"/>
          <w:b w:val="1"/>
          <w:bCs w:val="1"/>
          <w:color w:val="auto"/>
        </w:rPr>
        <w:t>Assets</w:t>
      </w:r>
      <w:r>
        <w:rPr>
          <w:sz w:val="20"/>
          <w:szCs w:val="20"/>
          <w:color w:val="auto"/>
        </w:rPr>
        <w:tab/>
      </w:r>
      <w:r>
        <w:rPr>
          <w:rFonts w:ascii="Times New Roman" w:cs="Times New Roman" w:eastAsia="Times New Roman" w:hAnsi="Times New Roman"/>
          <w:sz w:val="14"/>
          <w:szCs w:val="14"/>
          <w:b w:val="1"/>
          <w:bCs w:val="1"/>
          <w:color w:val="auto"/>
        </w:rPr>
        <w:t>Classification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5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820" w:type="dxa"/>
            <w:vAlign w:val="bottom"/>
            <w:gridSpan w:val="2"/>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120" w:type="dxa"/>
            <w:vAlign w:val="bottom"/>
            <w:shd w:val="clear" w:color="auto" w:fill="CFF0FC"/>
          </w:tcPr>
          <w:p>
            <w:pPr>
              <w:spacing w:after="0"/>
              <w:rPr>
                <w:sz w:val="19"/>
                <w:szCs w:val="19"/>
                <w:color w:val="auto"/>
              </w:rPr>
            </w:pPr>
          </w:p>
        </w:tc>
      </w:tr>
      <w:tr>
        <w:trPr>
          <w:trHeight w:val="263"/>
        </w:trPr>
        <w:tc>
          <w:tcPr>
            <w:tcW w:w="3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leased assets</w:t>
            </w:r>
          </w:p>
        </w:tc>
        <w:tc>
          <w:tcPr>
            <w:tcW w:w="55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30,774</w:t>
            </w:r>
          </w:p>
        </w:tc>
        <w:tc>
          <w:tcPr>
            <w:tcW w:w="120" w:type="dxa"/>
            <w:vAlign w:val="bottom"/>
            <w:tcBorders>
              <w:bottom w:val="single" w:sz="8" w:color="CFF0FC"/>
            </w:tcBorders>
          </w:tcPr>
          <w:p>
            <w:pPr>
              <w:spacing w:after="0"/>
              <w:rPr>
                <w:sz w:val="22"/>
                <w:szCs w:val="22"/>
                <w:color w:val="auto"/>
              </w:rPr>
            </w:pPr>
          </w:p>
        </w:tc>
      </w:tr>
      <w:tr>
        <w:trPr>
          <w:trHeight w:val="190"/>
        </w:trPr>
        <w:tc>
          <w:tcPr>
            <w:tcW w:w="366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5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gridSpan w:val="2"/>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5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32,046</w:t>
            </w:r>
          </w:p>
        </w:tc>
        <w:tc>
          <w:tcPr>
            <w:tcW w:w="120" w:type="dxa"/>
            <w:vAlign w:val="bottom"/>
            <w:shd w:val="clear" w:color="auto" w:fill="CFF0FC"/>
          </w:tcPr>
          <w:p>
            <w:pPr>
              <w:spacing w:after="0"/>
              <w:rPr>
                <w:sz w:val="19"/>
                <w:szCs w:val="19"/>
                <w:color w:val="auto"/>
              </w:rPr>
            </w:pPr>
          </w:p>
        </w:tc>
      </w:tr>
      <w:tr>
        <w:trPr>
          <w:trHeight w:val="223"/>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12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maturities of lease liabilities under non-cancellable leases as of June 30, 2019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20"/>
                <w:szCs w:val="20"/>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28,655</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47,321</w:t>
            </w:r>
          </w:p>
        </w:tc>
        <w:tc>
          <w:tcPr>
            <w:tcW w:w="12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33,739</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NON-MARKETABLE EQUITY INVESTMENTS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Non-marketable equity investments, where the Company is not able to exercise significant influence over the investee, are accounted for under the cost method. ASU 2016-01, </w:t>
      </w:r>
      <w:r>
        <w:rPr>
          <w:rFonts w:ascii="Times New Roman" w:cs="Times New Roman" w:eastAsia="Times New Roman" w:hAnsi="Times New Roman"/>
          <w:sz w:val="18"/>
          <w:szCs w:val="18"/>
          <w:i w:val="1"/>
          <w:iCs w:val="1"/>
          <w:color w:val="auto"/>
        </w:rPr>
        <w:t>Financial Instruments – Overall (Subtopic 825-10)</w:t>
      </w:r>
      <w:r>
        <w:rPr>
          <w:rFonts w:ascii="Times New Roman" w:cs="Times New Roman" w:eastAsia="Times New Roman" w:hAnsi="Times New Roman"/>
          <w:sz w:val="18"/>
          <w:szCs w:val="18"/>
          <w:color w:val="auto"/>
        </w:rPr>
        <w:t>, became effective for the Company as of January 1, 2018 and requires equity investments (except those accounted for under the equity method of accounting or those that result in consolidation of the investee) to be measured at fair value with changes in fair value recognized in net income. The aggregate carrying amount of all cost method investments was $5.4 million and $2.1 million as of June 30, 2019 and December 31, 2018, respectively, which carrying value we evaluate for impairment at each reporting period. Cumulatively, the Company has recorded $1.3 million in reductions to the carrying value of cost method investments due to downward changes in fair value based on observable prices from orderly transactions for similar investments made in the investee. The fair value of cost method investments is not estimated if there are no identified events or changes in circumstances that may have a significant adverse effect on the fair value of the investment.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ind w:right="4320"/>
        <w:spacing w:after="0" w:line="291" w:lineRule="exact"/>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2018, appearing in our Annual Report on Form 10-K that was filed with the Securities and Exchange Commission (“SEC”) on February 25, 2019 (the “2018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and the information set forth under the caption Part I, Item 1A. Risk Factors in our 2018 Form 10-K and the information regarding forward-looking statements and other disclosures in our 2018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HealthStream provides workforce and provider solutions for healthcare organizations—all designed to develop the people that deliver patient care, which, in turn, supports the improvement of business and clinical outcomes. Workforce Solutions products are used by healthcare organizations to meet a broad range of their clinical development, talent management, training, certification,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 At June 30, 2019, we had approximately 2.34 million contracted subscriptions to hStream</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our Platform-as-a-Service technology. hStream technology enables healthcare organizations and their respective workforces to easily connect to and gain value from the growing HealthStream ecosystem of applications, tools, and content.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12, 2018, the Company divested its Patient Experience (“PX”) business to Press Ganey for $65.2 million in cash (after giving effect to the post-closing adjustment), resulting in a gain, net of tax, of $20.2 million.</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Prior to the disposition of the PX business, our Patient Experience Solutions products provided our customers information about patients’ experiences and how to improve them, workforce engagement, physician relations, and community perceptions of their services. The historical financial results of the PX business for periods prior to the closing of the disposition of the PX business on February 12, 2018 are reflected in the Company’s Condensed Consolidated Financial Statements as discontinued operations. This sale of the PX business resulted in the Company’s divestiture of the patient experience solutions business segment.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indicators of operations for the second quarter of 2019 are set forth in the bullets below.</w:t>
      </w:r>
    </w:p>
    <w:p>
      <w:pPr>
        <w:spacing w:after="0" w:line="117" w:lineRule="exact"/>
        <w:rPr>
          <w:sz w:val="20"/>
          <w:szCs w:val="20"/>
          <w:color w:val="auto"/>
        </w:rPr>
      </w:pPr>
    </w:p>
    <w:p>
      <w:pPr>
        <w:ind w:left="400" w:right="60" w:hanging="392"/>
        <w:spacing w:after="0" w:line="266"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Robert A. Frist, Jr., contributed $2.2 million of his personally owned HealthStream stock to the Company in order to facilitate the grant of 78,520 shares of common stock to approximately 820 employees under our 2016 Omnibus Incentive Plan, which grant resulted in a corresponding $2.2 million charge for stock based compensation and related expense in the second quarter</w:t>
      </w:r>
    </w:p>
    <w:p>
      <w:pPr>
        <w:sectPr>
          <w:pgSz w:w="11900" w:h="16838" w:orient="portrait"/>
          <w:cols w:equalWidth="0" w:num="1">
            <w:col w:w="11420"/>
          </w:cols>
          <w:pgMar w:left="240" w:top="347" w:right="2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of $63.8 million in the second quarter of 2019, up 12% from $57.0 million in the second quarter of 2018</w:t>
      </w:r>
    </w:p>
    <w:p>
      <w:pPr>
        <w:spacing w:after="0" w:line="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Operating income of $2.3 million in the second quarter of 2019, down 47% from $4.3 million in the second quarter of 2018, which was negatively impacted in the amount of $2.2 million by the charge associated with the stock grant to employees referenced above</w:t>
      </w:r>
    </w:p>
    <w:p>
      <w:pPr>
        <w:spacing w:after="0" w:line="5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Income from continuing operations of $2.4 million in the second quarter of 2019, down 34% from $3.7 million in the second quarter of 2018, which was negatively impacted in the amount of $1.7 million by the charge associated with the stock grant to employees referenced above</w:t>
      </w:r>
    </w:p>
    <w:p>
      <w:pPr>
        <w:spacing w:after="0" w:line="17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219075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00" w:space="300"/>
            <w:col w:w="11020"/>
          </w:cols>
          <w:pgMar w:left="240" w:top="347" w:right="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7"/>
          <w:szCs w:val="27"/>
          <w:color w:val="auto"/>
        </w:rPr>
        <w: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Earnings per share (EPS) from continuing operations of $0.07 per share (diluted) in the second quarter of 2019, which was negatively impacted by $0.05 from the charge associated with the stock grant to employees referenced above, compared to EPS from continuing operations of $0.11 per share (diluted) in the second quarter of 2018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3"/>
          <w:szCs w:val="13"/>
          <w:color w:val="auto"/>
        </w:rPr>
        <w:t>1</w:t>
      </w:r>
      <w:r>
        <w:rPr>
          <w:rFonts w:ascii="Times New Roman" w:cs="Times New Roman" w:eastAsia="Times New Roman" w:hAnsi="Times New Roman"/>
          <w:sz w:val="18"/>
          <w:szCs w:val="18"/>
          <w:color w:val="auto"/>
        </w:rPr>
        <w:t xml:space="preserve"> from continuing operations of $11.8 million in the second quarter of 2019, up 10% from $10.7 million in the second quarter of 2018</w:t>
      </w:r>
    </w:p>
    <w:p>
      <w:pPr>
        <w:spacing w:after="0" w:line="99" w:lineRule="exact"/>
        <w:rPr>
          <w:sz w:val="20"/>
          <w:szCs w:val="20"/>
          <w:color w:val="auto"/>
        </w:rPr>
      </w:pPr>
    </w:p>
    <w:p>
      <w:pPr>
        <w:sectPr>
          <w:pgSz w:w="11900" w:h="16838" w:orient="portrait"/>
          <w:cols w:equalWidth="0" w:num="2">
            <w:col w:w="100" w:space="300"/>
            <w:col w:w="11020"/>
          </w:cols>
          <w:pgMar w:left="240" w:top="396" w:right="239" w:bottom="1440" w:gutter="0" w:footer="0" w:header="0"/>
        </w:sectPr>
      </w:pPr>
    </w:p>
    <w:p>
      <w:pPr>
        <w:ind w:left="400" w:hanging="392"/>
        <w:spacing w:after="0" w:line="180" w:lineRule="auto"/>
        <w:tabs>
          <w:tab w:leader="none" w:pos="400" w:val="left"/>
        </w:tabs>
        <w:numPr>
          <w:ilvl w:val="0"/>
          <w:numId w:val="7"/>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2"/>
          <w:szCs w:val="12"/>
          <w:color w:val="auto"/>
        </w:rPr>
        <w:t>Adjusted EBITDA from continuing operations is a non-GAAP financial measure. A reconciliation of adjusted EBITDA from continuing operations to income from continuing operations and disclosure regarding why we believe adjusted EBITDA from continuing operations provides useful information to investors is included later in this report.</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referenced above, in June 2019, Robert A. Frist, Jr. contributed 78,520 of his personally owned shares of common stock (with a value of $2.0 million) to the Company for the benefit of HealthStream employees, without any consideration paid to Mr. Frist. In connection therewith, the Company has approved the grant of the same number of shares under its 2016 Omnibus Incentive Plan to approximately 820 of its employees. These shares were issued in July 2019. Mr. Frist also contributed an additional 7,852 of his personally owned shares to cover the Company’s costs associated with such grants, such as administrative expenses and employer payroll taxes. Together, these grants resulted in the Company recognizing approximately $2.0 million stock based compensation expense and $0.2 million payroll tax expense in the second quarter of 2019. The only shareholder who will be diluted from these transactions will be Mr. Frist. See Note 5 to the Condensed Consolidated Financial Statements, included within this report, for additional information.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10, 2019, the Company acquired the outstanding equity of Providigm, LLC (“Providigm”), a Denver-based company focused on quality assurance and performance improvement in healthcare, primarily serving skilled nursing facilities, for $18.0 million in cash. In addition, up to an additional $500,000 in cash may be paid by the Company contingent upon the performance of Providigm during an 18-month period following closing. The results of operations for Providigm have been included in the HealthStream Workforce Solutions segment of our Financial Statements from the date of acquisition.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420"/>
          </w:cols>
          <w:pgMar w:left="240" w:top="396" w:right="239" w:bottom="1440" w:gutter="0" w:footer="0" w:header="0"/>
          <w:type w:val="continuous"/>
        </w:sectPr>
      </w:pP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7"/>
          <w:szCs w:val="27"/>
          <w:color w:val="auto"/>
        </w:rPr>
        <w:t>•</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7"/>
          <w:szCs w:val="27"/>
          <w:color w:val="auto"/>
        </w:rPr>
        <w:t>•</w:t>
      </w:r>
    </w:p>
    <w:p>
      <w:pPr>
        <w:ind w:left="400"/>
        <w:spacing w:after="0" w:line="229" w:lineRule="auto"/>
        <w:rPr>
          <w:sz w:val="20"/>
          <w:szCs w:val="20"/>
          <w:color w:val="auto"/>
        </w:rPr>
      </w:pPr>
      <w:r>
        <w:rPr>
          <w:rFonts w:ascii="Times New Roman" w:cs="Times New Roman" w:eastAsia="Times New Roman" w:hAnsi="Times New Roman"/>
          <w:sz w:val="27"/>
          <w:szCs w:val="27"/>
          <w:color w:val="auto"/>
        </w:rPr>
        <w:t>•</w:t>
      </w:r>
    </w:p>
    <w:p>
      <w:pPr>
        <w:ind w:left="400"/>
        <w:spacing w:after="0" w:line="230" w:lineRule="auto"/>
        <w:rPr>
          <w:sz w:val="20"/>
          <w:szCs w:val="20"/>
          <w:color w:val="auto"/>
        </w:rPr>
      </w:pPr>
      <w:r>
        <w:rPr>
          <w:rFonts w:ascii="Times New Roman" w:cs="Times New Roman" w:eastAsia="Times New Roman" w:hAnsi="Times New Roman"/>
          <w:sz w:val="27"/>
          <w:szCs w:val="27"/>
          <w:color w:val="auto"/>
        </w:rPr>
        <w:t>•</w:t>
      </w:r>
    </w:p>
    <w:p>
      <w:pPr>
        <w:ind w:left="40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for income taxes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development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intangibles, and other long-lived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103" w:lineRule="exact"/>
        <w:rPr>
          <w:sz w:val="20"/>
          <w:szCs w:val="20"/>
          <w:color w:val="auto"/>
        </w:rPr>
      </w:pPr>
    </w:p>
    <w:p>
      <w:pPr>
        <w:sectPr>
          <w:pgSz w:w="11900" w:h="16838" w:orient="portrait"/>
          <w:cols w:equalWidth="0" w:num="2">
            <w:col w:w="500" w:space="300"/>
            <w:col w:w="10620"/>
          </w:cols>
          <w:pgMar w:left="240" w:top="396" w:right="2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2018 Form 10-K and the Notes to the Condensed Consolidated Financial Statements herein, which contain additional information regarding our accounting policies and other disclosures required by US GAAP. There have been no material changes in our critical accounting policies and estimates from those reported in our 2018 Form 10-K. Note 2 in the Notes to Condensed Consolidated Financial Statements summarizes new accounting guidance issued by the Financial Accounting Standards Board (“FASB”) that has been recently adopted by the Company, or not yet adopted by the Company, and our evaluation of such accounting guidance and the anticipated impact of such guidance (if known) on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2019 Compared to Three Months Ended June 30, 2018</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$6.8 million, or 12%, to $63.8 million for the three months ended June 30, 2019 from $57.0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comparison of revenues by business segment is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1"/>
                <w:szCs w:val="11"/>
                <w:color w:val="auto"/>
              </w:rPr>
            </w:pPr>
          </w:p>
        </w:tc>
        <w:tc>
          <w:tcPr>
            <w:tcW w:w="13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80" w:type="dxa"/>
            <w:vAlign w:val="bottom"/>
            <w:tcBorders>
              <w:bottom w:val="single" w:sz="8" w:color="CFF0FC"/>
            </w:tcBorders>
            <w:vMerge w:val="continue"/>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2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3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 net</w:t>
            </w:r>
          </w:p>
        </w:tc>
        <w:tc>
          <w:tcPr>
            <w:tcW w:w="2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3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39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3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82%</w:t>
            </w:r>
          </w:p>
        </w:tc>
        <w:tc>
          <w:tcPr>
            <w:tcW w:w="27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398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18%</w:t>
            </w:r>
          </w:p>
        </w:tc>
        <w:tc>
          <w:tcPr>
            <w:tcW w:w="2700" w:type="dxa"/>
            <w:vAlign w:val="bottom"/>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Revenues for HealthStream Workforce Solutions increased $5.4 million, or 12%, to $52.4 million for the three months ended June 30, 2019 from $47.0 million for the three months ended June 30, 2018. Revenue growth in 2019 was positively impacted by higher revenues from our legacy resuscitation products, which were $15.5 million in the second quarter of 2019 compared to $13.2 million in the second quarter of 2018, and growth in our proprietary learning and compliance products. The acquisition of Providigm, which was completed in January 2019, also added $1.8 million of revenue to the second quarter of 2019.</w:t>
      </w:r>
    </w:p>
    <w:p>
      <w:pPr>
        <w:spacing w:after="0" w:line="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HealthStream Provider Solutions increased $1.4 million, or 13%, to $11.4 million for the three months ended June 30, 2019 from $10.0 million for the three months ended June 30, 2018. Revenue growth was primarily a result of new Verity platform subscriptions and professional services for implementation of new customers.</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$3.6 million, or 15%, to $26.8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2019 from $23.2 million for the three months ended June 30, 2018. Cost of revenues as a percentage of revenues was 42% and 41% for the three months ended June 30, 2019 and 2018, respectively.</w:t>
      </w:r>
    </w:p>
    <w:p>
      <w:pPr>
        <w:spacing w:after="0" w:line="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Cost of revenues for HealthStream Workforce Solutions increased $2.9 million to $22.9 million and approximated 44% and 43% of revenues for HealthStream Workforce Solutions for the three months ended June 30, 2019 and 2018, respectively. The increase is primarily associated with increased royalties paid by us resulting from growth in courseware subscription revenues, personnel costs, and stock based compensation related to the stock awards granted during the three months ended June 30, 2019. Cost of revenues for HealthStream Provider Solutions increased $664,000 to $3.9 million and approximated 35% and 32% of HealthStream Provider Solutions revenues for the three months ended June 30, 2019 and 2018, respectively. The increase is primarily associated with increased personnel costs and stock based compensation related to the stock awards granted during the three months ended June 30, 2019 as described above.</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$1.1 million, or 17%, to $7.6 million for the three months ended June 30, 2019 from $6.5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2018. Product development expenses as a percentage of revenues were 12% and 11% for the three months ended June 30, 2019 and 2018, respectively.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$1.1 million to $6.3 million and approximated 12% and 11% of revenues for HealthStream Workforce Solutions for the three months ended June 30, 2019 and 2018, respectively. The increase is primarily due to increased personnel costs and stock based compensation related to the stock awards granted during the three months ended June 30, 2019 as described above. Product development expenses for HealthStream Provider Solutions increased $29,000 to $1.3 million and approximated 11% and 12% of revenues for HealthStream Provider Solutions for the three months ended June 30, 2019 and 2018, respectively.</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$906,000, or 10%, to $9.8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from $8.9 million for the three months ended June 30, 2018. Sales and marketing expenses were 15% and 16% of revenues for the three months ended June 30, 2019 and 2018,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$776,000 to $8.0 million and approximated 15% of revenues for HealthStream Workforce Solutions for both the three months ended June 30, 2019 and 2018. The increase is primarily due higher stock based compensation related to the stock awards granted during the three months ended June 30, 2019 as described above as well as higher sales commissions, consistent with the increases in revenue. Sales and marketing expenses for HealthStream Provider Solutions increased $196,000 to $1.5 million and approximated 14% of revenues for HealthStream Provider Solutions for both the three months ended June 30, 2019 and 2018. The increase is due to increased personnel and related costs and stock based compensation related to stock awards granted during the three months ended June 30, 2019. The unallocated portion of sales and marketing expenses decreased $66,000 to $279,000 compared to the prior year period primarily due to decreases in personnel costs.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$2.3 million, or 28%, to $10.3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2019 from $8.0 million for the three months ended June 30, 2018. Other general and administrative expenses as a percentage of revenues were 16% and 14% of revenues for the three months ended June 30, 2019 and 2018, respectively.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$1.4 million to $3.6 million and approximated 7% and 5% of HealthStream Workforce Solutions revenues for the three months ended June 30, 2019 and 2018, respectively. The increase is primarily due to higher facilities expense related to our new corporate headquarters as well as increased personnel costs. Other general and administrative expenses for HealthStream Provider Solutions decreased $395,000 to $795,000 and approximated 7% and 12% of HealthStream Provider Solutions revenues for the three months ended June 30, 2019 and 2018, respectively. The decrease is due to lower contract labor and facilities costs. The unallocated corporate portion of other general and administrative expenses increased $1.3 million to $5.9 million compared to the prior year period primarily due to increases to personnel, software expenses, and stock based compensation.</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was $6.9 million and $6.0 million for the three months ended June 30,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resulted from an increase in amortization of capitalized software and intangible assets, as well as depreciation of property and equipment.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Other income, net was $852,000 for the three months ended June 30, 2019 compared to $476,000 for the three months ended June 30, 2018.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a result of higher interest income from cash and investments in marketable securities.</w:t>
      </w:r>
    </w:p>
    <w:p>
      <w:pPr>
        <w:spacing w:after="0" w:line="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from continuing operations of $719,000 for the three months ended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 million for the three months ended June 30, 2018. The Company’s effective tax rate was 23% for both the three months ended June 30, 2019 and 2018, respectively.</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Continuing Operations. </w:t>
      </w:r>
      <w:r>
        <w:rPr>
          <w:rFonts w:ascii="Times New Roman" w:cs="Times New Roman" w:eastAsia="Times New Roman" w:hAnsi="Times New Roman"/>
          <w:sz w:val="18"/>
          <w:szCs w:val="18"/>
          <w:color w:val="auto"/>
        </w:rPr>
        <w:t>Income from continuing operations was $2.4 million in the second quarter of 2019, up from $3.7 million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2018, which decline was driven by the $1.7 million charge associated with the stock grant to employees referenced above. Earnings per diluted share from continuing operations were $0.07 and $0.11 per share for the three months ended June 30, 2019 and 2018, respectively.</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Income from Discontinued Operations. </w:t>
      </w:r>
      <w:r>
        <w:rPr>
          <w:rFonts w:ascii="Times New Roman" w:cs="Times New Roman" w:eastAsia="Times New Roman" w:hAnsi="Times New Roman"/>
          <w:sz w:val="18"/>
          <w:szCs w:val="18"/>
          <w:color w:val="auto"/>
        </w:rPr>
        <w:t>The Company recorded no (loss) income from discontinued operations for the three months ended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loss of $1.1 million for the three months ended June 30, 2018. Loss from discontinued operations during the three months ended June 30, 2018 was primarily due to a reduction in the gain previously recognized by the Company in connection with the sale of the PX business in February 2018.</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$144,000, to $2.4 million for the three months ended June 30, 2019 from $2.5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2018. Earnings per diluted share were $0.07 and $0.08 per share for the three months ended June 30, 2019 and 2018, respectively.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(a non-GAAP financial measure which we define as net income before interest, income taxes, stock based compensation, and depreciation and amortization) from continuing operations increased 10% to $11.8 million for the three months ended June 30, 2019, compared to $10.7 million for the three months ended June 30, 2018. Adjusted EBITDA was not impacted by the stock contribution and grant transactions described above, except for the $0.2 million payroll tax expense.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increased $2.6 million to $11.8 million for the three months ended June 30, 2019, compared to $9.2 million for the three months ended June 30, 2018, which increase was primarily driven by the divestiture of the PX business as noted above. See “Reconciliation of Non-GAAP Financial Measures” below for our reconciliation of Adjusted EBITDA from continuing operations and Adjusted EBITDA to the most directly comparable measures under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2019 Compared to Six Months Ended June 30, 2018</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$17.1 million, or 15%, to $129.0 million for the six months ended June 30, 2019 from $111.9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comparison of revenues by business segment is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40" w:type="dxa"/>
            <w:vAlign w:val="bottom"/>
          </w:tcPr>
          <w:p>
            <w:pPr>
              <w:spacing w:after="0"/>
              <w:rPr>
                <w:sz w:val="11"/>
                <w:szCs w:val="11"/>
                <w:color w:val="auto"/>
              </w:rPr>
            </w:pPr>
          </w:p>
        </w:tc>
        <w:tc>
          <w:tcPr>
            <w:tcW w:w="13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80" w:type="dxa"/>
            <w:vAlign w:val="bottom"/>
            <w:tcBorders>
              <w:bottom w:val="single" w:sz="8" w:color="CFF0FC"/>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106,716</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91,915</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86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w:t>
            </w: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18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400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Workforce Solutions</w:t>
            </w:r>
          </w:p>
        </w:tc>
        <w:tc>
          <w:tcPr>
            <w:tcW w:w="4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83%</w:t>
            </w:r>
          </w:p>
        </w:tc>
        <w:tc>
          <w:tcPr>
            <w:tcW w:w="27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Provider Solutions</w:t>
            </w:r>
          </w:p>
        </w:tc>
        <w:tc>
          <w:tcPr>
            <w:tcW w:w="40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17%</w:t>
            </w:r>
          </w:p>
        </w:tc>
        <w:tc>
          <w:tcPr>
            <w:tcW w:w="2700" w:type="dxa"/>
            <w:vAlign w:val="bottom"/>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rPr>
              <w:t>18%</w:t>
            </w: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HealthStream Workforce Solutions increased $14.8 million, or 16%, over the first six months of 2018. Revenue growth in 2019 was positively impacted by higher revenues from our legacy resuscitation products, which were $32.8 million in the first six months of 2019 compared to $25.5 million in the first six months of 2018, and growth in our proprietary learning and compliance products. The acquisition of Providigm, which was completed in January 2019 also added $3.3 million of revenue to the first six months of 2019.</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HealthStream Provider Solutions increased $2.3 million, or 12%, over the first six months of 2018. Revenue growth was primarily a result of new Verity platform subscriptions and professional services for implementation of new customers.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$8.2 million, or 18%, to $53.7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2019 from $45.5 million for the six months ended June 30, 2018. Cost of revenues as a percentage of revenues was 42% and 41% for the six months ended June 30, 2019 and 2018, respectively.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revenues for HealthStream Workforce Solutions increased $7.2 million to $46.1 million and approximated 43% and 42% of revenues for HealthStream Workforce Solutions for the six months ended June 30, 2019 and 2018, respectively. The increase is primarily associated with increased royalties paid by us resulting from growth in courseware subscription revenues and additions to personnel. Cost of revenues for HealthStream Provider Solutions increased $1.0 million to $7.6 million and approximated 34% and 33% of HealthStream Provider Solutions revenues for the six months ended June 30, 2019 and 2018, respectively. The increase is primarily due to increased personnel over the prior year period.</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$2.1 million, or 16%, to $14.6 million for the six months ended June 30, 2019 from $12.5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2018. Product development expenses as a percentage of revenues were 11% of revenues for both the six months ended June 30, 2019 and 2018.</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$2.1 million to $12.2 million and approximated 11% of revenues for HealthStream Workforce Solutions for both the six months ended June 30, 2019 and 2018. The increase is primarily due to increased personnel over the prior year period. Product development expenses for HealthStream Provider Solutions decreased $13,000 to $2.4 million and approximated 11% and 12% of revenues for HealthStream Provider Solutions for the six months ended June 30, 2019 and 2018, respectively.</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$1.4 million, or 8%, to $19.3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from $18.0 million for the six months ended June 30, 2018. Sales and marketing expenses were 15% and 16% of revenues for the six months ended June 30, 2019 and 2018, respectively.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$1.3 million to $15.8 million and approximated 15% and 16% of revenues for HealthStream Workforce Solutions for the six months ended June 30, 2019 and 2018, respectively. The increase is primarily due to higher sales commissions, consistent with the increases in revenues, and stock based compensation related to the stock awards granted during the six months ended June 30, 2019. Sales and marketing expenses for HealthStream Provider Solutions increased $173,000 to $3.0 million and approximated 13% and 14% of revenues for HealthStream Provider Solutions for the six months ended June 30, 2019 and 2018, respectively. The increase in amount is primarily associated with the increases to personnel and related costs. The unallocated portion of sales and marketing expenses decreased $119,000 to $539,000 compared to the prior year period primarily due to decreased personnel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$4.5 million, or 29%, to $20.3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2019 from $15.8 million for the six months ended June 30, 2018. Other general and administrative expenses as a percentage of revenues were 16% and 14% of revenues for the six months ended June 30, 2019 and 2018, respectively.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$2.5 million to $6.9 million and approximated 6% and 5% of revenues for HealthStream Workforce Solutions for the six months ended June 30, 2019 and 2018, respectively. The increase is primarily due to increases to personnel, software expenses, facilities, and telecom costs. The acquisition of Providigm in January 2019 also contributed to this increase during the first six months of 2019. Other general and administrative expenses for HealthStream Provider Solutions decreased $815,000 to $1.7 million and approximated 8% and 13% of revenues for HealthStream Provider Solutions for the six months ended June 30, 2019 and 2018, respectively. The decrease is primarily associated with lower contract labor expense compared to the prior year period. The unallocated corporate portion of other general and administrative expenses increased $2.8 million to $11.7 million compared to the first six months of 2018 primarily due to increases in software expenses as well as increases to personnel and related costs over the prior year period.</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$1.4 million, or 11%, to $13.5 million for the six months ended June 30, 2019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$12.1 million for the six months ended June 30, 2018. The increase resulted from an increase in amortization of capitalized software and intangible assets, as well as depreciation of property and equipment.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r>
        <w:rPr>
          <w:rFonts w:ascii="Times New Roman" w:cs="Times New Roman" w:eastAsia="Times New Roman" w:hAnsi="Times New Roman"/>
          <w:sz w:val="17"/>
          <w:szCs w:val="17"/>
          <w:color w:val="auto"/>
        </w:rPr>
        <w:t>. Other income, net was $1.7 million for the six months ended June 30, 2019 compared to $789,000 for the six months ended June 30, 2018.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a result of higher interest income from cash and investments in marketable securities.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$2.1 million and $1.5 million for the six months ended June 30,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Company’s effective tax rate was 23% for the six months ended June 30, 2019 compared to 17% for the six months ended June 30, 2018. During the six months ended June 30, 2019 and 2018, the Company recorded excess tax benefits from stock based awards of $123,000 and $663,000, respectively, as a component of the provision for income taxes, which reduced the effective tax rate compared to the statutory tax rates.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Continuing Operations. </w:t>
      </w:r>
      <w:r>
        <w:rPr>
          <w:rFonts w:ascii="Times New Roman" w:cs="Times New Roman" w:eastAsia="Times New Roman" w:hAnsi="Times New Roman"/>
          <w:sz w:val="18"/>
          <w:szCs w:val="18"/>
          <w:color w:val="auto"/>
        </w:rPr>
        <w:t>Income from continuing operations was $7.2 million for the six months ended June 30, 2019 compared to $7.3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2018. Earnings per diluted share from continuing operations were $0.22 and $0.23 per share for the six months ended June 30, 2019 and 2018, respectively.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Income from Discontinued Operations. </w:t>
      </w:r>
      <w:r>
        <w:rPr>
          <w:rFonts w:ascii="Times New Roman" w:cs="Times New Roman" w:eastAsia="Times New Roman" w:hAnsi="Times New Roman"/>
          <w:sz w:val="18"/>
          <w:szCs w:val="18"/>
          <w:color w:val="auto"/>
        </w:rPr>
        <w:t>(Loss) income from discontinued operations was income of $1.2 million for the six months ended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of $19.1 million for the six months ended June 30, 2018. Income from discontinued operations during the six months ended June 30, 2019 was the result of the release of escrow funds. The gain, net of tax, of $19.1 million recognized by the Company during the six months ended June 30, 2018, related to the sale of the PX business, which occurred on February 12, 2018.</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to $8.4 million for the six months ended June 30, 2019 from $26.4 million for the six months ended June 30, 2018.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attributable to the $19.1 million gain from the sale of the PX business. Earnings per diluted share were $0.26 per share and $0.82 per share for the six months ended June 30, 2019 and 2018, respectively.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from continuing operations increased 16% to $24.2 million for the six months ended June 30, 2019, compared to $20.9 million for the six months ended June 30, 2018.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decreased $24.6 million to $25.9 million for the six months ended June 30, 2019 compared to $50.5 million for the six months ended June 30, 2018. This decrease resulted from the factors mentioned above. See Reconciliation of Non-GAAP Financial Measures below for our reconciliation of this calculation to measures under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2018, the Company divested its PX business to Press Ganey for $65.2 million in cash (after giving effect to the post-closing working capital adjustment). This sale of the PX business resulted in the divestiture of our patient experience solutions business segment. We recorded a gain on sale, net of tax, of $20.2 million, of which $19.0 million was recorded during the year ended December 31, 2018 and $1.2 million was recorded during the six months ended June 30, 2019. With the proceeds of this sale, our Board of Directors declared a $1.00 per common share special cash dividend, which was paid on April 3, 2018 to shareholders of record on March 6, 2018.</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classified the results of our PX segment as discontinued operations in our Condensed Consolidated Statements of Income and Cash Flows for all periods presented. See Note 8 to our Condensed Consolidated Financial Statements included in this report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legacy agreements with Laerdal (the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In 2018, revenue generated by HeartCode and RQI products pursuant to the Legacy Agreements was $55 million. During the six months ended June 30, 2019, as noted above, we recorded revenue of $32.8 million related to HeartCode and RQI products under the Legacy Agreements compared to $25.5 million for the six months ended June 30, 2018. In addition, during the three months ended June 30, 2019, as noted above, we recorded revenue of $15.5 million related to HeartCode and RQI products under the Legacy Agreements compared to $13.2 million for the three months ended June 30, 2018. We expect revenue from HeartCode and RQI products generated pursuant to the Legacy Agreements to decline sequentially on a quarterly basis and that revenue to be generated from such products during the last six months of 2019 to be approximately $26 million to $27 million. We also continue to expect revenue from HeartCode and RQI products sold pursuant to the Legacy Agreements to be zero in the first quarter of 2021.</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new sales of HeartCode and RQI are delivered via the HealthStream Learning Center. This fee will not be sufficient to supplant the revenue runout associated with the Legacy Agreements.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have now begun efforts to market, sell, and deliver the American Red Cross Resuscitation Suite. Several customers have been implemented, and we began to recognize a de minimis amount of revenue under this agreement during the second quarter of 2019. We believe our efforts to market, sell, and deliver the American Red Cross Resuscitation Suite, along with efforts to bring additional simulation-related offerings to market, have the potential to give rise to additional and higher margin opportunities than those that existed under the Legacy Agreements. However, there is no assurance that we will be successful in these efforts, and to the extent that new simulation-based or other solutions do not generate revenue and/or earnings in a manner that supplants the impact of the Legacy Agreements, our revenue and results of operations may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presents adjusted EBITDA from continuing operations and adjusted EBITDA, both of which are non-GAAP financial measures used by management in analyzing our financial results and ongoing operational performance.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 based compensation, depreciation and amortization, and changes in fair value of cost method investments (“adjusted EBITDA”) is a useful measure for evaluating the operating performance of the Company because adjusted EBITDA reflects net income adjusted for certain non-cash and non-operating items. Management also believes that adjusted EBITDA from continuing operations is a useful measure for evaluating the operating performance of the Company because such measure excludes the results of operations of the PX business that we no longer own and the gain on sale in connection with the sale of such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 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should not be considered as a substitute for, or superior to, measures of financial performance which are prepared in accordance with US GAAP and may be different from non-GAAP financial measures used by other companies and have limitations as analytical tools.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adjusted EBITDA from continuing operations to the most directly comparable GAAP measures is set forth below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4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income from continuing operations</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4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c>
          <w:tcPr>
            <w:tcW w:w="4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cost method investments</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tcPr>
          <w:p>
            <w:pPr>
              <w:spacing w:after="0"/>
              <w:rPr>
                <w:sz w:val="19"/>
                <w:szCs w:val="19"/>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Pr>
          <w:p>
            <w:pPr>
              <w:spacing w:after="0"/>
              <w:rPr>
                <w:sz w:val="19"/>
                <w:szCs w:val="19"/>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Pr>
          <w:p>
            <w:pPr>
              <w:spacing w:after="0"/>
              <w:rPr>
                <w:sz w:val="19"/>
                <w:szCs w:val="19"/>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cost method investments</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increased by $20.4 million, or 126% to $36.6 million during the six months ended June 30, 2019 from $16.2 million during the six months ended June 30, 2018. The increase compared to the prior year period primarily resulted from reductions in receivables, prepaid expenses and other current assets, and current liabilities. The number of days sales outstanding (“DSO”) was 47 days for the second quarter of 2019 compared to 54 days for the second quarter of 2018. The decrease in DSO primarily relates to improved collections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$49.2 million for the six months ended June 30, 2019 compared to net cash provided by investing activities from continuing operations of $52.9 million for the six months ended June 30, 2018. During the six months ended June 30, 2019, the Company acquired Providigm for $18.0 million, invested in marketable securities of $44.2 million, purchased property and equipment of $19.6 million, made payments for capitalized software development of $8.4 million, and invested $3.3 million in cost method investments. These uses of cash were partially offset by $38.0 million in maturities of marketable securities and $6.2 million in proceeds from the sale of its PX business segment. During the six months ended June 30, 2018, the Company divested its PX business segment, receiving proceeds from the sale of $57.8 million and had maturities of marketable securities of $44.7 million. These sources of cash were partially offset by purchases of $3.3 million of property and equipment, $5.1 million for capitalized software development, and $41.3 million for investments in marketable securities.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from continuing operations was $860,000 for the six months ended June 30, 2019 compared to $30.1 million for the six months ended June 30, 2018. For the six months ended June 30, 2019 and 2018, the uses of cash included the payment of employee payroll taxes in relation to the vesting of restricted share units (“RSU”) and stock awards of $985,000 and $300,000, respectively. In this regard, the Company net-share settled the employee RSUs by withholding shares with value equivalent to the employee’s minimum statutory obligation for the applicable income and other employment taxes. The uses of cash for both the six months ended June 30, 2019 and 2018 also included $37,000 of payments of earn-outs related to prior acquisitions and also included cash dividend payments of $52,000 and $32.4 million, respectively. The source of cash from financing activities for both the six months ended June 30, 2019 and 2018 was from the exercise of stock options of $214,000 and $2.6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jc w:val="both"/>
        <w:spacing w:after="0" w:line="281" w:lineRule="auto"/>
        <w:rPr>
          <w:sz w:val="20"/>
          <w:szCs w:val="20"/>
          <w:color w:val="auto"/>
        </w:rPr>
      </w:pPr>
      <w:r>
        <w:rPr>
          <w:rFonts w:ascii="Times New Roman" w:cs="Times New Roman" w:eastAsia="Times New Roman" w:hAnsi="Times New Roman"/>
          <w:sz w:val="17"/>
          <w:szCs w:val="17"/>
          <w:color w:val="auto"/>
        </w:rPr>
        <w:t>Our balance sheet reflects positive working capital of $116.2 million at June 30, 2019 compared to $134.6 million at December 31, 2018. The decrease in working capital is primarily a result of the acquisition of Providigm in January 2019. The Company’s primary source of liquidity as of June 30, 2019 was $120.8 million of cash and cash equivalents and $40.7 million of marketable securities. The Company also has a $50.0 million revolving credit facility, all of which was available for additional borrowing at June 30, 2019. The revolving credit facility expires on November 24, 2020, unless earlier renewed or amended.</w:t>
      </w:r>
    </w:p>
    <w:p>
      <w:pPr>
        <w:spacing w:after="0" w:line="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June 30, 2019,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material foreign currency exchange rate risk or commodity price risk. As of June 30, 2019 and during the six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$161.6 million at June 30, 2019. Assuming a hypothetical 10% decrease in interest rates for invested balances, interest income from cash and investments would decrease on an annualized basis by $396,000.</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2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of market risk assuming the occurrence of certain adverse market conditions. Actual results in the future may differ materially from those projected as a result of actual developments in the market.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second quarter of 2019 that has materially affected, or that is reasonably likely to materially affect, HealthStream’s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OTHER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800" w:hanging="400"/>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10240" w:type="dxa"/>
            <w:vAlign w:val="bottom"/>
            <w:gridSpan w:val="7"/>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HealthStream, Inc. Amended 2019 Executive and Corporate Management Cash Incentive Bonus Plan</w:t>
              </w:r>
            </w:hyperlink>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530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HealthStream, Inc. Amended 2019 Provider Solutions Cash Incentive Bonus Plan</w:t>
              </w:r>
            </w:hyperlink>
          </w:p>
        </w:tc>
        <w:tc>
          <w:tcPr>
            <w:tcW w:w="1280" w:type="dxa"/>
            <w:vAlign w:val="bottom"/>
            <w:tcBorders>
              <w:top w:val="single" w:sz="8" w:color="0000EE"/>
            </w:tcBorders>
          </w:tcPr>
          <w:p>
            <w:pPr>
              <w:spacing w:after="0"/>
              <w:rPr>
                <w:sz w:val="24"/>
                <w:szCs w:val="24"/>
                <w:color w:val="auto"/>
              </w:rPr>
            </w:pPr>
          </w:p>
        </w:tc>
        <w:tc>
          <w:tcPr>
            <w:tcW w:w="3660" w:type="dxa"/>
            <w:vAlign w:val="bottom"/>
            <w:gridSpan w:val="5"/>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660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Contribution Agreement dated as of June 26, 2019 between HealthStream, Inc. and Robert A Frist, Jr.</w:t>
              </w:r>
            </w:hyperlink>
          </w:p>
        </w:tc>
        <w:tc>
          <w:tcPr>
            <w:tcW w:w="3640" w:type="dxa"/>
            <w:vAlign w:val="bottom"/>
            <w:gridSpan w:val="4"/>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672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rPr>
            </w:pPr>
            <w:hyperlink w:anchor="page39">
              <w:r>
                <w:rPr>
                  <w:rFonts w:ascii="Times New Roman" w:cs="Times New Roman" w:eastAsia="Times New Roman" w:hAnsi="Times New Roman"/>
                  <w:sz w:val="16"/>
                  <w:szCs w:val="16"/>
                  <w:color w:val="0000EE"/>
                </w:rPr>
                <w:t>Certification of the Chief Executive Officer Pursuant to Section 302 of the Sarbanes-Oxley Act of 2002</w:t>
              </w:r>
            </w:hyperlink>
          </w:p>
        </w:tc>
        <w:tc>
          <w:tcPr>
            <w:tcW w:w="3520" w:type="dxa"/>
            <w:vAlign w:val="bottom"/>
            <w:gridSpan w:val="3"/>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69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rPr>
            </w:pPr>
            <w:hyperlink w:anchor="page40">
              <w:r>
                <w:rPr>
                  <w:rFonts w:ascii="Times New Roman" w:cs="Times New Roman" w:eastAsia="Times New Roman" w:hAnsi="Times New Roman"/>
                  <w:sz w:val="16"/>
                  <w:szCs w:val="16"/>
                  <w:color w:val="0000EE"/>
                </w:rPr>
                <w:t>Certification of the Principal Financial Officer Pursuant to Section 302 of the Sarbanes-Oxley Act of 2002</w:t>
              </w:r>
            </w:hyperlink>
          </w:p>
        </w:tc>
        <w:tc>
          <w:tcPr>
            <w:tcW w:w="3340" w:type="dxa"/>
            <w:vAlign w:val="bottom"/>
            <w:gridSpan w:val="2"/>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240" w:type="dxa"/>
            <w:vAlign w:val="bottom"/>
            <w:gridSpan w:val="7"/>
          </w:tcPr>
          <w:p>
            <w:pPr>
              <w:spacing w:after="0"/>
              <w:rPr>
                <w:rFonts w:ascii="Times New Roman" w:cs="Times New Roman" w:eastAsia="Times New Roman" w:hAnsi="Times New Roman"/>
                <w:sz w:val="16"/>
                <w:szCs w:val="16"/>
                <w:color w:val="0000EE"/>
              </w:rPr>
            </w:pPr>
            <w:hyperlink w:anchor="page41">
              <w:r>
                <w:rPr>
                  <w:rFonts w:ascii="Times New Roman" w:cs="Times New Roman" w:eastAsia="Times New Roman" w:hAnsi="Times New Roman"/>
                  <w:sz w:val="16"/>
                  <w:szCs w:val="16"/>
                  <w:color w:val="0000EE"/>
                </w:rPr>
                <w:t>Certification Pursuant to 18 U.S.C. Section 1350, as Adopted Pursuant to Section 906 of the Sarbanes-Oxley Act of 2002</w:t>
              </w:r>
            </w:hyperlink>
          </w:p>
        </w:tc>
      </w:tr>
      <w:tr>
        <w:trPr>
          <w:trHeight w:val="20"/>
        </w:trPr>
        <w:tc>
          <w:tcPr>
            <w:tcW w:w="1160" w:type="dxa"/>
            <w:vAlign w:val="bottom"/>
          </w:tcPr>
          <w:p>
            <w:pPr>
              <w:spacing w:after="0" w:line="20" w:lineRule="exact"/>
              <w:rPr>
                <w:sz w:val="1"/>
                <w:szCs w:val="1"/>
                <w:color w:val="auto"/>
              </w:rPr>
            </w:pPr>
          </w:p>
        </w:tc>
        <w:tc>
          <w:tcPr>
            <w:tcW w:w="7860" w:type="dxa"/>
            <w:vAlign w:val="bottom"/>
            <w:gridSpan w:val="6"/>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240" w:type="dxa"/>
            <w:vAlign w:val="bottom"/>
            <w:gridSpan w:val="7"/>
          </w:tcPr>
          <w:p>
            <w:pPr>
              <w:spacing w:after="0"/>
              <w:rPr>
                <w:rFonts w:ascii="Times New Roman" w:cs="Times New Roman" w:eastAsia="Times New Roman" w:hAnsi="Times New Roman"/>
                <w:sz w:val="16"/>
                <w:szCs w:val="16"/>
                <w:color w:val="0000EE"/>
              </w:rPr>
            </w:pPr>
            <w:hyperlink w:anchor="page42">
              <w:r>
                <w:rPr>
                  <w:rFonts w:ascii="Times New Roman" w:cs="Times New Roman" w:eastAsia="Times New Roman" w:hAnsi="Times New Roman"/>
                  <w:sz w:val="16"/>
                  <w:szCs w:val="16"/>
                  <w:color w:val="0000EE"/>
                </w:rPr>
                <w:t>Certification Pursuant to 18 U.S.C. Section 1350, as Adopted Pursuant to Section 906 of the Sarbanes-Oxley Act of 2002</w:t>
              </w:r>
            </w:hyperlink>
          </w:p>
        </w:tc>
      </w:tr>
      <w:tr>
        <w:trPr>
          <w:trHeight w:val="20"/>
        </w:trPr>
        <w:tc>
          <w:tcPr>
            <w:tcW w:w="1160" w:type="dxa"/>
            <w:vAlign w:val="bottom"/>
          </w:tcPr>
          <w:p>
            <w:pPr>
              <w:spacing w:after="0" w:line="20" w:lineRule="exact"/>
              <w:rPr>
                <w:sz w:val="1"/>
                <w:szCs w:val="1"/>
                <w:color w:val="auto"/>
              </w:rPr>
            </w:pPr>
          </w:p>
        </w:tc>
        <w:tc>
          <w:tcPr>
            <w:tcW w:w="7860" w:type="dxa"/>
            <w:vAlign w:val="bottom"/>
            <w:gridSpan w:val="6"/>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 INS</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0"/>
        </w:trPr>
        <w:tc>
          <w:tcPr>
            <w:tcW w:w="1160" w:type="dxa"/>
            <w:vAlign w:val="bottom"/>
          </w:tcPr>
          <w:p>
            <w:pPr>
              <w:spacing w:after="0"/>
              <w:rPr>
                <w:sz w:val="18"/>
                <w:szCs w:val="18"/>
                <w:color w:val="auto"/>
              </w:rPr>
            </w:pP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 SCH</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 CAL</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 DEF</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 LAB</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35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 PRE</w:t>
            </w:r>
          </w:p>
        </w:tc>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Management contract or compensatory plan or arrangement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68" w:right="2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5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July 26, 2019</w:t>
            </w:r>
          </w:p>
        </w:tc>
        <w:tc>
          <w:tcPr>
            <w:tcW w:w="78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35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47" w:right="2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7"/>
          <w:szCs w:val="17"/>
          <w:color w:val="auto"/>
        </w:rPr>
        <w:t>EXHIBIT 10.18</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2019 Executive and Corporate Management Cash Incentive Bonus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4" w:lineRule="exact"/>
        <w:rPr>
          <w:sz w:val="20"/>
          <w:szCs w:val="20"/>
          <w:color w:val="auto"/>
        </w:rPr>
      </w:pPr>
    </w:p>
    <w:p>
      <w:pPr>
        <w:ind w:right="20" w:firstLine="877"/>
        <w:spacing w:after="0" w:line="254" w:lineRule="auto"/>
        <w:rPr>
          <w:sz w:val="20"/>
          <w:szCs w:val="20"/>
          <w:color w:val="auto"/>
        </w:rPr>
      </w:pPr>
      <w:r>
        <w:rPr>
          <w:rFonts w:ascii="Times New Roman" w:cs="Times New Roman" w:eastAsia="Times New Roman" w:hAnsi="Times New Roman"/>
          <w:sz w:val="17"/>
          <w:szCs w:val="17"/>
          <w:color w:val="auto"/>
        </w:rPr>
        <w:t>Pursuant to the HealthStream, Inc. 2016 Omnibus Incentive Plan, the Compensation Committee (the “Committee”) of the Board of Directors of HealthStream, Inc. (the “Company”) hereby establishes this Amended 2019 Executive and Corporate Management Cash Incentive Bonus Plan (the “Plan”). The Plan is the cash-based, short-term incentive portion of HealthStream's incentive compensation structure for certain executive officers, as well as the vice presidents, associate vice presidents, and directors who are assigned to a corporate function, as opposed to a business unit specific function (such individuals referred to collectively as “Management”). The purpose of the Plan is to specify appropriate opportunities to earn a cash bonus with respect to the Company’s 2019 fiscal year in order to reward Management for the Company’s financial performance during fiscal year 2019 and to further align their interests with those of the shareholders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10" w:lineRule="exact"/>
        <w:rPr>
          <w:sz w:val="20"/>
          <w:szCs w:val="20"/>
          <w:color w:val="auto"/>
        </w:rPr>
      </w:pPr>
    </w:p>
    <w:p>
      <w:pPr>
        <w:ind w:left="1300" w:hanging="428"/>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Actual Operating Income before bonuses </w:t>
      </w:r>
      <w:r>
        <w:rPr>
          <w:rFonts w:ascii="Times New Roman" w:cs="Times New Roman" w:eastAsia="Times New Roman" w:hAnsi="Times New Roman"/>
          <w:sz w:val="17"/>
          <w:szCs w:val="17"/>
          <w:color w:val="auto"/>
        </w:rPr>
        <w:t>– The Company’s Operating Income achieved in fiscal 2019, excluding bonuses.</w:t>
      </w:r>
    </w:p>
    <w:p>
      <w:pPr>
        <w:spacing w:after="0" w:line="209"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Bonus </w:t>
      </w:r>
      <w:r>
        <w:rPr>
          <w:rFonts w:ascii="Times New Roman" w:cs="Times New Roman" w:eastAsia="Times New Roman" w:hAnsi="Times New Roman"/>
          <w:sz w:val="17"/>
          <w:szCs w:val="17"/>
          <w:color w:val="auto"/>
        </w:rPr>
        <w:t>– The annual bonus paid to Management after the Committee determines the applicable financial measure has been achieved.</w:t>
      </w:r>
    </w:p>
    <w:p>
      <w:pPr>
        <w:spacing w:after="0" w:line="209"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Incremental Operating Income </w:t>
      </w:r>
      <w:r>
        <w:rPr>
          <w:rFonts w:ascii="Times New Roman" w:cs="Times New Roman" w:eastAsia="Times New Roman" w:hAnsi="Times New Roman"/>
          <w:sz w:val="17"/>
          <w:szCs w:val="17"/>
          <w:color w:val="auto"/>
        </w:rPr>
        <w:t>- Actual Operating Income before bonuses less Target Operating Income.</w:t>
      </w:r>
    </w:p>
    <w:p>
      <w:pPr>
        <w:spacing w:after="0" w:line="209" w:lineRule="exact"/>
        <w:rPr>
          <w:rFonts w:ascii="Times New Roman" w:cs="Times New Roman" w:eastAsia="Times New Roman" w:hAnsi="Times New Roman"/>
          <w:sz w:val="17"/>
          <w:szCs w:val="17"/>
          <w:color w:val="auto"/>
        </w:rPr>
      </w:pPr>
    </w:p>
    <w:p>
      <w:pPr>
        <w:ind w:left="1300" w:right="40" w:hanging="428"/>
        <w:spacing w:after="0" w:line="254"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 The Company’s operating income for the 2019 fiscal year calculated in accordance with generally accepted accounting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2019 budget; (ii) operating income (loss) from acquisitions and divestitures consummated during the calendar year; and (iii) expenses in connection with the stock contribution from Robert A. Frist, Jr. to the Company on or about June 26, 2019 and the associated stock issuance from the Company to non-executive officers of the Company on or about July 25, 2019 (collectively, the “Excluded Expenses”). The Committee has the negative discretion to include the Excluded Expenses in the calculation of Operating Income.</w:t>
      </w:r>
    </w:p>
    <w:p>
      <w:pPr>
        <w:spacing w:after="0" w:line="168" w:lineRule="exact"/>
        <w:rPr>
          <w:rFonts w:ascii="Times New Roman" w:cs="Times New Roman" w:eastAsia="Times New Roman" w:hAnsi="Times New Roman"/>
          <w:sz w:val="17"/>
          <w:szCs w:val="17"/>
          <w:color w:val="auto"/>
        </w:rPr>
      </w:pPr>
    </w:p>
    <w:p>
      <w:pPr>
        <w:ind w:left="1300" w:hanging="428"/>
        <w:spacing w:after="0" w:line="286"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Target Operating Income </w:t>
      </w:r>
      <w:r>
        <w:rPr>
          <w:rFonts w:ascii="Times New Roman" w:cs="Times New Roman" w:eastAsia="Times New Roman" w:hAnsi="Times New Roman"/>
          <w:sz w:val="17"/>
          <w:szCs w:val="17"/>
          <w:color w:val="auto"/>
        </w:rPr>
        <w:t>– Operating Income for the 2019 fiscal year in an amount established by the Committee by resolution within the first 90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of the Company’s 2019 fiscal year.</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2019 Financial Measure and Plan Principles:</w:t>
      </w:r>
    </w:p>
    <w:p>
      <w:pPr>
        <w:spacing w:after="0" w:line="210"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financial measure for 2019 is Operating Income </w:t>
      </w:r>
      <w:r>
        <w:rPr>
          <w:rFonts w:ascii="Times New Roman" w:cs="Times New Roman" w:eastAsia="Times New Roman" w:hAnsi="Times New Roman"/>
          <w:sz w:val="17"/>
          <w:szCs w:val="17"/>
          <w:color w:val="auto"/>
        </w:rPr>
        <w:t>- Operating Income will be the financial measure for 2019.</w:t>
      </w:r>
    </w:p>
    <w:p>
      <w:pPr>
        <w:spacing w:after="0" w:line="209" w:lineRule="exact"/>
        <w:rPr>
          <w:rFonts w:ascii="Times New Roman" w:cs="Times New Roman" w:eastAsia="Times New Roman" w:hAnsi="Times New Roman"/>
          <w:sz w:val="17"/>
          <w:szCs w:val="17"/>
          <w:color w:val="auto"/>
        </w:rPr>
      </w:pPr>
    </w:p>
    <w:p>
      <w:pPr>
        <w:ind w:left="880" w:right="520" w:hanging="440"/>
        <w:spacing w:after="0" w:line="286" w:lineRule="auto"/>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Annual Bonus is funded by Incremental Operating Income </w:t>
      </w:r>
      <w:r>
        <w:rPr>
          <w:rFonts w:ascii="Times New Roman" w:cs="Times New Roman" w:eastAsia="Times New Roman" w:hAnsi="Times New Roman"/>
          <w:sz w:val="17"/>
          <w:szCs w:val="17"/>
          <w:color w:val="auto"/>
        </w:rPr>
        <w:t>- The Annual Bonus will be earned from the amount of Incremental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Three groups are eligible for participation in the Plan:</w:t>
      </w:r>
    </w:p>
    <w:p>
      <w:pPr>
        <w:spacing w:after="0" w:line="206" w:lineRule="exact"/>
        <w:rPr>
          <w:sz w:val="20"/>
          <w:szCs w:val="20"/>
          <w:color w:val="auto"/>
        </w:rPr>
      </w:pPr>
    </w:p>
    <w:p>
      <w:pPr>
        <w:ind w:left="1740" w:right="20" w:hanging="868"/>
        <w:spacing w:after="0" w:line="258" w:lineRule="auto"/>
        <w:tabs>
          <w:tab w:leader="none" w:pos="1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Executive Team </w:t>
      </w:r>
      <w:r>
        <w:rPr>
          <w:rFonts w:ascii="Times New Roman" w:cs="Times New Roman" w:eastAsia="Times New Roman" w:hAnsi="Times New Roman"/>
          <w:sz w:val="17"/>
          <w:szCs w:val="17"/>
          <w:color w:val="auto"/>
        </w:rPr>
        <w:t>– The maximum Annual Bonus that Executive Team members, other than the Chief Executive Officer of HealthStream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President &amp; Chief Operating Officer of HealthStream, shall be eligible to receive under the Plan shall be an amount equal to 30% of such member’s base salary; provided the CEO and the President &amp; COO shall be eligible to receive an amount equal to 40% of their base salary. Unless otherwise excluded below, the Executive Team eligible for participation includes the Chief Executive Officer, President &amp; Chief Operating Officer, and Senior Vice Presidents of the Company.</w:t>
      </w:r>
    </w:p>
    <w:p>
      <w:pPr>
        <w:spacing w:after="0" w:line="164" w:lineRule="exact"/>
        <w:rPr>
          <w:rFonts w:ascii="Times New Roman" w:cs="Times New Roman" w:eastAsia="Times New Roman" w:hAnsi="Times New Roman"/>
          <w:sz w:val="17"/>
          <w:szCs w:val="17"/>
          <w:color w:val="auto"/>
        </w:rPr>
      </w:pPr>
    </w:p>
    <w:p>
      <w:pPr>
        <w:ind w:left="1560" w:hanging="688"/>
        <w:spacing w:after="0"/>
        <w:tabs>
          <w:tab w:leader="none" w:pos="15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Leadership Team (Vice Presidents and Associate Vice Presidents) </w:t>
      </w:r>
      <w:r>
        <w:rPr>
          <w:rFonts w:ascii="Times New Roman" w:cs="Times New Roman" w:eastAsia="Times New Roman" w:hAnsi="Times New Roman"/>
          <w:sz w:val="17"/>
          <w:szCs w:val="17"/>
          <w:color w:val="auto"/>
        </w:rPr>
        <w:t>– The</w:t>
      </w:r>
    </w:p>
    <w:p>
      <w:pPr>
        <w:spacing w:after="0" w:line="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maximum Annual Bonus that Vice Presidents and Associate Vice Presidents of</w:t>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the Business Unit shall be eligible to receive under the Plan shall be an amount</w:t>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equal to 16% of such Vice President or Associate Vice President’s base salary.</w:t>
      </w:r>
    </w:p>
    <w:p>
      <w:pPr>
        <w:spacing w:after="0" w:line="188" w:lineRule="exact"/>
        <w:rPr>
          <w:sz w:val="20"/>
          <w:szCs w:val="20"/>
          <w:color w:val="auto"/>
        </w:rPr>
      </w:pPr>
    </w:p>
    <w:p>
      <w:pPr>
        <w:ind w:left="1740" w:right="200" w:hanging="868"/>
        <w:spacing w:after="0" w:line="267" w:lineRule="auto"/>
        <w:tabs>
          <w:tab w:leader="none" w:pos="1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Directors </w:t>
      </w:r>
      <w:r>
        <w:rPr>
          <w:rFonts w:ascii="Times New Roman" w:cs="Times New Roman" w:eastAsia="Times New Roman" w:hAnsi="Times New Roman"/>
          <w:sz w:val="17"/>
          <w:szCs w:val="17"/>
          <w:color w:val="auto"/>
        </w:rPr>
        <w:t>- The maximum Annual Bonus that Directors of the Business Unit shall be eligible to receive under the Plan shall be an amount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equal to 4% of such Director’s base salary. For purposes of clarity, Directors do not include members of the Board of Directors, but are management-level employees of the Company.</w:t>
      </w:r>
    </w:p>
    <w:p>
      <w:pPr>
        <w:spacing w:after="0" w:line="157" w:lineRule="exact"/>
        <w:rPr>
          <w:rFonts w:ascii="Times New Roman" w:cs="Times New Roman" w:eastAsia="Times New Roman" w:hAnsi="Times New Roman"/>
          <w:sz w:val="17"/>
          <w:szCs w:val="17"/>
          <w:color w:val="auto"/>
        </w:rPr>
      </w:pPr>
    </w:p>
    <w:p>
      <w:pPr>
        <w:ind w:left="1560" w:hanging="688"/>
        <w:spacing w:after="0"/>
        <w:tabs>
          <w:tab w:leader="none" w:pos="15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Employment Requirements </w:t>
      </w:r>
      <w:r>
        <w:rPr>
          <w:rFonts w:ascii="Times New Roman" w:cs="Times New Roman" w:eastAsia="Times New Roman" w:hAnsi="Times New Roman"/>
          <w:sz w:val="17"/>
          <w:szCs w:val="17"/>
          <w:color w:val="auto"/>
        </w:rPr>
        <w:t>– Participants in the Plan who were employed with</w:t>
      </w:r>
    </w:p>
    <w:p>
      <w:pPr>
        <w:spacing w:after="0" w:line="29" w:lineRule="exact"/>
        <w:rPr>
          <w:sz w:val="20"/>
          <w:szCs w:val="20"/>
          <w:color w:val="auto"/>
        </w:rPr>
      </w:pPr>
    </w:p>
    <w:p>
      <w:pPr>
        <w:ind w:left="1760" w:right="60"/>
        <w:spacing w:after="0" w:line="254" w:lineRule="auto"/>
        <w:rPr>
          <w:sz w:val="20"/>
          <w:szCs w:val="20"/>
          <w:color w:val="auto"/>
        </w:rPr>
      </w:pPr>
      <w:r>
        <w:rPr>
          <w:rFonts w:ascii="Times New Roman" w:cs="Times New Roman" w:eastAsia="Times New Roman" w:hAnsi="Times New Roman"/>
          <w:sz w:val="17"/>
          <w:szCs w:val="17"/>
          <w:color w:val="auto"/>
        </w:rPr>
        <w:t>the Company through December 31, 2019 shall be eligible to receive bonus payments, if any, under the Plan regardless of whether such employees are employed on the date such payments are actually made. Notwithstanding the foregoing, in the case of death or disability, the participant’s pro rata share from January 1, 2019 through the date of participant’s death or disability shall be awarded.</w:t>
      </w:r>
    </w:p>
    <w:p>
      <w:pPr>
        <w:spacing w:after="0" w:line="168" w:lineRule="exact"/>
        <w:rPr>
          <w:sz w:val="20"/>
          <w:szCs w:val="20"/>
          <w:color w:val="auto"/>
        </w:rPr>
      </w:pPr>
    </w:p>
    <w:p>
      <w:pPr>
        <w:ind w:left="1740" w:hanging="868"/>
        <w:spacing w:after="0" w:line="261" w:lineRule="auto"/>
        <w:tabs>
          <w:tab w:leader="none" w:pos="1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Exclusions </w:t>
      </w:r>
      <w:r>
        <w:rPr>
          <w:rFonts w:ascii="Times New Roman" w:cs="Times New Roman" w:eastAsia="Times New Roman" w:hAnsi="Times New Roman"/>
          <w:sz w:val="17"/>
          <w:szCs w:val="17"/>
          <w:color w:val="auto"/>
        </w:rPr>
        <w:t>- Members of the Executive Team with a commission based incentive compensation plan shall not be eligible to participate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Additionally, members of the Executive Team who are eligible to participate in any one of the following shall not be eligible to participate in the Plan: (i) the 2019 Workforce Development Cash Bonus Incentive Plan, or (ii) the 2019 Provider Solutions Cash Bonus Incentive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Payout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Payouts under the Plan shall be determined as follows:</w:t>
      </w:r>
    </w:p>
    <w:p>
      <w:pPr>
        <w:spacing w:after="0" w:line="210" w:lineRule="exact"/>
        <w:rPr>
          <w:sz w:val="20"/>
          <w:szCs w:val="20"/>
          <w:color w:val="auto"/>
        </w:rPr>
      </w:pPr>
    </w:p>
    <w:p>
      <w:pPr>
        <w:ind w:left="880" w:right="360" w:hanging="440"/>
        <w:spacing w:after="0" w:line="259" w:lineRule="auto"/>
        <w:tabs>
          <w:tab w:leader="none" w:pos="8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Incremental Operating Income will be determined by subtracting the Target Operating Income from Actual Operating Income before bonuses. The Incremental Operating Income will then be multiplied by 30% of base salary for each member of the Executive Team other than the Chief Executive Officer and the President &amp; COO, 40% of base salary for the CEO and the President &amp; COO, 16% of base salary for each member of the Leadership Team, and 4% of base salary for each Director.</w:t>
      </w:r>
    </w:p>
    <w:p>
      <w:pPr>
        <w:spacing w:after="0" w:line="169" w:lineRule="exact"/>
        <w:rPr>
          <w:rFonts w:ascii="Times New Roman" w:cs="Times New Roman" w:eastAsia="Times New Roman" w:hAnsi="Times New Roman"/>
          <w:sz w:val="17"/>
          <w:szCs w:val="17"/>
          <w:color w:val="auto"/>
        </w:rPr>
      </w:pPr>
    </w:p>
    <w:p>
      <w:pPr>
        <w:ind w:left="880" w:right="20" w:hanging="440"/>
        <w:spacing w:after="0" w:line="281" w:lineRule="auto"/>
        <w:tabs>
          <w:tab w:leader="none" w:pos="8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Annual Bonus payouts made to the Executive Team, Leadership Team, or Directors pursuant to the Plan shall be payable at such time as bonuses are paid generally to executive officers of the Company.</w:t>
      </w:r>
    </w:p>
    <w:p>
      <w:pPr>
        <w:sectPr>
          <w:pgSz w:w="11900" w:h="16838" w:orient="portrait"/>
          <w:cols w:equalWidth="0" w:num="1">
            <w:col w:w="11400"/>
          </w:cols>
          <w:pgMar w:left="240" w:top="361" w:right="2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color w:val="auto"/>
        </w:rPr>
        <w:t>EXHIBIT 10.19</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HealthStream, Inc.</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Amended 2019 Provider Solutions Cash Incentive Bonus Plan</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For the Business Segment President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2" w:lineRule="exact"/>
        <w:rPr>
          <w:sz w:val="20"/>
          <w:szCs w:val="20"/>
          <w:color w:val="auto"/>
        </w:rPr>
      </w:pPr>
    </w:p>
    <w:p>
      <w:pPr>
        <w:ind w:right="40" w:firstLine="877"/>
        <w:spacing w:after="0" w:line="255" w:lineRule="auto"/>
        <w:rPr>
          <w:sz w:val="20"/>
          <w:szCs w:val="20"/>
          <w:color w:val="auto"/>
        </w:rPr>
      </w:pPr>
      <w:r>
        <w:rPr>
          <w:rFonts w:ascii="Times New Roman" w:cs="Times New Roman" w:eastAsia="Times New Roman" w:hAnsi="Times New Roman"/>
          <w:sz w:val="17"/>
          <w:szCs w:val="17"/>
          <w:color w:val="auto"/>
        </w:rPr>
        <w:t>Pursuant to the HealthStream, Inc. 2016 Omnibus Incentive Plan, the Compensation Committee (the “Committee”) of the Board of Directors of HealthStream, Inc. (the “Company”) hereby establishes this Amended 2019 Provider Solutions Cash Incentive Bonus Plan for the Business Segment President (the “Plan”). The Plan is a cash-based, short-term incentive portion of the Company’s Provider Solutions segment (the “Business Unit”) incentive compensation structure for the president (“President”) of the Business Unit. The purpose of the Plan is to specify appropriate opportunities to earn a cash bonus with respect to the (i) Business Unit’s 2019 fiscal year performance and/or (ii) the Company’s overall 2019 fiscal year performance, each in order to reward the President for the Business Unit’s and/or the Company’s financial performance during fiscal year 2019 and to further align his interest with those of the shareholders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00" w:lineRule="exact"/>
        <w:rPr>
          <w:sz w:val="20"/>
          <w:szCs w:val="20"/>
          <w:color w:val="auto"/>
        </w:rPr>
      </w:pPr>
    </w:p>
    <w:p>
      <w:pPr>
        <w:spacing w:after="0" w:line="212" w:lineRule="exact"/>
        <w:rPr>
          <w:sz w:val="20"/>
          <w:szCs w:val="20"/>
          <w:color w:val="auto"/>
        </w:rPr>
      </w:pPr>
    </w:p>
    <w:p>
      <w:pPr>
        <w:ind w:left="1300" w:right="480" w:hanging="428"/>
        <w:spacing w:after="0" w:line="286"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Actual Operating Income before bonuses </w:t>
      </w:r>
      <w:r>
        <w:rPr>
          <w:rFonts w:ascii="Times New Roman" w:cs="Times New Roman" w:eastAsia="Times New Roman" w:hAnsi="Times New Roman"/>
          <w:sz w:val="17"/>
          <w:szCs w:val="17"/>
          <w:color w:val="auto"/>
        </w:rPr>
        <w:t>– The Business Unit’s Operating Income achieved in fiscal 2019, excluding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bonuses.</w:t>
      </w:r>
    </w:p>
    <w:p>
      <w:pPr>
        <w:spacing w:after="0" w:line="141"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Actual Operating Income before bonuses </w:t>
      </w:r>
      <w:r>
        <w:rPr>
          <w:rFonts w:ascii="Times New Roman" w:cs="Times New Roman" w:eastAsia="Times New Roman" w:hAnsi="Times New Roman"/>
          <w:sz w:val="17"/>
          <w:szCs w:val="17"/>
          <w:color w:val="auto"/>
        </w:rPr>
        <w:t>– The Company’s Operating Income achieved in fiscal 2019, excluding bonuses.</w:t>
      </w:r>
    </w:p>
    <w:p>
      <w:pPr>
        <w:spacing w:after="0" w:line="209"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Bonus </w:t>
      </w:r>
      <w:r>
        <w:rPr>
          <w:rFonts w:ascii="Times New Roman" w:cs="Times New Roman" w:eastAsia="Times New Roman" w:hAnsi="Times New Roman"/>
          <w:sz w:val="17"/>
          <w:szCs w:val="17"/>
          <w:color w:val="auto"/>
        </w:rPr>
        <w:t>– The annual bonus paid to President after the Committee determines the applicable financial measure has been achieved.</w:t>
      </w:r>
    </w:p>
    <w:p>
      <w:pPr>
        <w:spacing w:after="0" w:line="209" w:lineRule="exact"/>
        <w:rPr>
          <w:rFonts w:ascii="Times New Roman" w:cs="Times New Roman" w:eastAsia="Times New Roman" w:hAnsi="Times New Roman"/>
          <w:sz w:val="17"/>
          <w:szCs w:val="17"/>
          <w:color w:val="auto"/>
        </w:rPr>
      </w:pPr>
    </w:p>
    <w:p>
      <w:pPr>
        <w:ind w:left="1300" w:right="20" w:hanging="428"/>
        <w:spacing w:after="0" w:line="286"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Incremental Operating Income </w:t>
      </w:r>
      <w:r>
        <w:rPr>
          <w:rFonts w:ascii="Times New Roman" w:cs="Times New Roman" w:eastAsia="Times New Roman" w:hAnsi="Times New Roman"/>
          <w:sz w:val="17"/>
          <w:szCs w:val="17"/>
          <w:color w:val="auto"/>
        </w:rPr>
        <w:t>– Provider Solutions Actual Operating Income before bonuses less Provider Solutions Target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Income.</w:t>
      </w:r>
    </w:p>
    <w:p>
      <w:pPr>
        <w:spacing w:after="0" w:line="141"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Incremental Operating Income </w:t>
      </w:r>
      <w:r>
        <w:rPr>
          <w:rFonts w:ascii="Times New Roman" w:cs="Times New Roman" w:eastAsia="Times New Roman" w:hAnsi="Times New Roman"/>
          <w:sz w:val="17"/>
          <w:szCs w:val="17"/>
          <w:color w:val="auto"/>
        </w:rPr>
        <w:t>– Enterprise Actual Operating Income before bonuses less Enterprise Target Operating Income.</w:t>
      </w:r>
    </w:p>
    <w:p>
      <w:pPr>
        <w:spacing w:after="0" w:line="209" w:lineRule="exact"/>
        <w:rPr>
          <w:rFonts w:ascii="Times New Roman" w:cs="Times New Roman" w:eastAsia="Times New Roman" w:hAnsi="Times New Roman"/>
          <w:sz w:val="17"/>
          <w:szCs w:val="17"/>
          <w:color w:val="auto"/>
        </w:rPr>
      </w:pPr>
    </w:p>
    <w:p>
      <w:pPr>
        <w:ind w:left="1300" w:right="60" w:hanging="428"/>
        <w:spacing w:after="0" w:line="256"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Operating Income </w:t>
      </w:r>
      <w:r>
        <w:rPr>
          <w:rFonts w:ascii="Times New Roman" w:cs="Times New Roman" w:eastAsia="Times New Roman" w:hAnsi="Times New Roman"/>
          <w:sz w:val="17"/>
          <w:szCs w:val="17"/>
          <w:color w:val="auto"/>
        </w:rPr>
        <w:t>– The Business Unit’s Operating Income for the 2019 fiscal year calculated in accordance with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accounting principles under ASC 606 and consistent with the Company’s past practice and presented in the Company’s audited financial statements, provided the following expenses are excluded from the calculation of Provider Solutions Operating Income: for acquisitions and divestitures within or directly impacting the Business Unit, acquisition and divestiture expenses for transactions within the calendar year and operating income (loss) from acquisitions and divestitures consummated during the calendar year (the “Excluded Expenses”). The Committee has the negative discretion to include the Excluded Expenses in the calculation of Provider Solutions Operating Income.</w:t>
      </w:r>
    </w:p>
    <w:p>
      <w:pPr>
        <w:spacing w:after="0" w:line="166" w:lineRule="exact"/>
        <w:rPr>
          <w:rFonts w:ascii="Times New Roman" w:cs="Times New Roman" w:eastAsia="Times New Roman" w:hAnsi="Times New Roman"/>
          <w:sz w:val="17"/>
          <w:szCs w:val="17"/>
          <w:color w:val="auto"/>
        </w:rPr>
      </w:pPr>
    </w:p>
    <w:p>
      <w:pPr>
        <w:ind w:left="1300" w:right="20" w:hanging="428"/>
        <w:spacing w:after="0" w:line="255"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Operating Income </w:t>
      </w:r>
      <w:r>
        <w:rPr>
          <w:rFonts w:ascii="Times New Roman" w:cs="Times New Roman" w:eastAsia="Times New Roman" w:hAnsi="Times New Roman"/>
          <w:sz w:val="17"/>
          <w:szCs w:val="17"/>
          <w:color w:val="auto"/>
        </w:rPr>
        <w:t>- The Company’s Operating Income for the 2019 fiscal year calculated in accordance with generally accepted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2019 budget; (ii) operating income (loss) from acquisitions and divestitures consummated during the calendar year; and (iii) expenses in connection with the stock contribution from Robert A. Frist, Jr. to the Company on or about June 26, 2019 and the associated stock issuance from the Company to non-executive officers of the Company on or about July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2" w:name="page33"/>
    <w:bookmarkEnd w:id="32"/>
    <w:p>
      <w:pPr>
        <w:ind w:left="1300" w:right="560"/>
        <w:spacing w:after="0" w:line="281" w:lineRule="auto"/>
        <w:rPr>
          <w:sz w:val="20"/>
          <w:szCs w:val="20"/>
          <w:color w:val="auto"/>
        </w:rPr>
      </w:pPr>
      <w:r>
        <w:rPr>
          <w:rFonts w:ascii="Times New Roman" w:cs="Times New Roman" w:eastAsia="Times New Roman" w:hAnsi="Times New Roman"/>
          <w:sz w:val="17"/>
          <w:szCs w:val="17"/>
          <w:color w:val="auto"/>
        </w:rPr>
        <w:t>(collectively, the “Excluded Expenses”). The Committee has the negative discretion to include the Excluded Expenses in the calculation of Enterprise Operating Income.</w:t>
      </w:r>
    </w:p>
    <w:p>
      <w:pPr>
        <w:spacing w:after="0" w:line="146" w:lineRule="exact"/>
        <w:rPr>
          <w:sz w:val="20"/>
          <w:szCs w:val="20"/>
          <w:color w:val="auto"/>
        </w:rPr>
      </w:pPr>
    </w:p>
    <w:p>
      <w:pPr>
        <w:ind w:left="1300" w:right="280" w:hanging="428"/>
        <w:spacing w:after="0" w:line="286"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Provider Solutions Target Operating Income </w:t>
      </w:r>
      <w:r>
        <w:rPr>
          <w:rFonts w:ascii="Times New Roman" w:cs="Times New Roman" w:eastAsia="Times New Roman" w:hAnsi="Times New Roman"/>
          <w:sz w:val="17"/>
          <w:szCs w:val="17"/>
          <w:color w:val="auto"/>
        </w:rPr>
        <w:t>– Provider Solutions Operating Income for the 2019 fiscal year in an amount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by resolution within the first 90 days of the Company’s 2019 fiscal year.</w:t>
      </w:r>
    </w:p>
    <w:p>
      <w:pPr>
        <w:spacing w:after="0" w:line="141" w:lineRule="exact"/>
        <w:rPr>
          <w:rFonts w:ascii="Times New Roman" w:cs="Times New Roman" w:eastAsia="Times New Roman" w:hAnsi="Times New Roman"/>
          <w:sz w:val="17"/>
          <w:szCs w:val="17"/>
          <w:color w:val="auto"/>
        </w:rPr>
      </w:pPr>
    </w:p>
    <w:p>
      <w:pPr>
        <w:ind w:left="1300" w:right="420" w:hanging="428"/>
        <w:spacing w:after="0" w:line="286"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Target Operating Income </w:t>
      </w:r>
      <w:r>
        <w:rPr>
          <w:rFonts w:ascii="Times New Roman" w:cs="Times New Roman" w:eastAsia="Times New Roman" w:hAnsi="Times New Roman"/>
          <w:sz w:val="17"/>
          <w:szCs w:val="17"/>
          <w:color w:val="auto"/>
        </w:rPr>
        <w:t>– Enterprise Operating Income for the 2019 fiscal year in an amount established by the Committee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resolution within the first 90 days of the Company’s 2019 fiscal year.</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2019 Financial Measure and Plan Principles:</w:t>
      </w:r>
    </w:p>
    <w:p>
      <w:pPr>
        <w:spacing w:after="0" w:line="210" w:lineRule="exact"/>
        <w:rPr>
          <w:sz w:val="20"/>
          <w:szCs w:val="20"/>
          <w:color w:val="auto"/>
        </w:rPr>
      </w:pPr>
    </w:p>
    <w:p>
      <w:pPr>
        <w:ind w:left="880" w:right="400" w:hanging="440"/>
        <w:spacing w:after="0" w:line="286" w:lineRule="auto"/>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financial measures for 2019 are Provider Solutions and/or Enterprise Operating Income </w:t>
      </w:r>
      <w:r>
        <w:rPr>
          <w:rFonts w:ascii="Times New Roman" w:cs="Times New Roman" w:eastAsia="Times New Roman" w:hAnsi="Times New Roman"/>
          <w:sz w:val="17"/>
          <w:szCs w:val="17"/>
          <w:color w:val="auto"/>
        </w:rPr>
        <w:t>– Provider Solutions and/or Enterprise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will be the financial measure for 2019.</w:t>
      </w:r>
    </w:p>
    <w:p>
      <w:pPr>
        <w:spacing w:after="0" w:line="141" w:lineRule="exact"/>
        <w:rPr>
          <w:rFonts w:ascii="Times New Roman" w:cs="Times New Roman" w:eastAsia="Times New Roman" w:hAnsi="Times New Roman"/>
          <w:sz w:val="17"/>
          <w:szCs w:val="17"/>
          <w:color w:val="auto"/>
        </w:rPr>
      </w:pPr>
    </w:p>
    <w:p>
      <w:pPr>
        <w:ind w:left="880" w:right="120" w:hanging="440"/>
        <w:spacing w:after="0" w:line="286" w:lineRule="auto"/>
        <w:tabs>
          <w:tab w:leader="none" w:pos="8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 Annual Bonus is funded by Provider Solutions and/or Enterprise Incremental Operating Income </w:t>
      </w:r>
      <w:r>
        <w:rPr>
          <w:rFonts w:ascii="Times New Roman" w:cs="Times New Roman" w:eastAsia="Times New Roman" w:hAnsi="Times New Roman"/>
          <w:sz w:val="17"/>
          <w:szCs w:val="17"/>
          <w:color w:val="auto"/>
        </w:rPr>
        <w:t>– The Annual Bonus will be earned from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of Provider Solutions and/or Enterprise Incremental Operating Income.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Two groups are eligible for participation in the Plan:</w:t>
      </w:r>
    </w:p>
    <w:p>
      <w:pPr>
        <w:spacing w:after="0" w:line="206" w:lineRule="exact"/>
        <w:rPr>
          <w:sz w:val="20"/>
          <w:szCs w:val="20"/>
          <w:color w:val="auto"/>
        </w:rPr>
      </w:pPr>
    </w:p>
    <w:p>
      <w:pPr>
        <w:ind w:left="1300" w:right="160" w:hanging="428"/>
        <w:spacing w:after="0" w:line="261"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President </w:t>
      </w:r>
      <w:r>
        <w:rPr>
          <w:rFonts w:ascii="Times New Roman" w:cs="Times New Roman" w:eastAsia="Times New Roman" w:hAnsi="Times New Roman"/>
          <w:sz w:val="17"/>
          <w:szCs w:val="17"/>
          <w:color w:val="auto"/>
        </w:rPr>
        <w:t>– The maximum Annual Bonus the President shall be eligible to receive under the Plan shall be an amount equal to 40 percent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President’s base salary, with that 40% being comprised as follows: 32% from Provider Solutions Incremental Operating Income and 8% from Enterprise Incremental Income.. Therefore, 80% of the President’s Annual Bonus is based on achieving and exceeding Provider Solutions Target Operating Income and the other 20% is based on achieving and exceeding Enterprise Target Operating Income.</w:t>
      </w:r>
    </w:p>
    <w:p>
      <w:pPr>
        <w:spacing w:after="0" w:line="162" w:lineRule="exact"/>
        <w:rPr>
          <w:rFonts w:ascii="Times New Roman" w:cs="Times New Roman" w:eastAsia="Times New Roman" w:hAnsi="Times New Roman"/>
          <w:sz w:val="17"/>
          <w:szCs w:val="17"/>
          <w:color w:val="auto"/>
        </w:rPr>
      </w:pPr>
    </w:p>
    <w:p>
      <w:pPr>
        <w:ind w:left="1300" w:hanging="428"/>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Employment Requirements </w:t>
      </w:r>
      <w:r>
        <w:rPr>
          <w:rFonts w:ascii="Times New Roman" w:cs="Times New Roman" w:eastAsia="Times New Roman" w:hAnsi="Times New Roman"/>
          <w:sz w:val="17"/>
          <w:szCs w:val="17"/>
          <w:color w:val="auto"/>
        </w:rPr>
        <w:t>– Participants in the Plan who were employed with</w:t>
      </w:r>
    </w:p>
    <w:p>
      <w:pPr>
        <w:spacing w:after="0" w:line="29" w:lineRule="exact"/>
        <w:rPr>
          <w:sz w:val="20"/>
          <w:szCs w:val="20"/>
          <w:color w:val="auto"/>
        </w:rPr>
      </w:pPr>
    </w:p>
    <w:p>
      <w:pPr>
        <w:ind w:left="1320" w:right="20"/>
        <w:spacing w:after="0" w:line="254" w:lineRule="auto"/>
        <w:rPr>
          <w:sz w:val="20"/>
          <w:szCs w:val="20"/>
          <w:color w:val="auto"/>
        </w:rPr>
      </w:pPr>
      <w:r>
        <w:rPr>
          <w:rFonts w:ascii="Times New Roman" w:cs="Times New Roman" w:eastAsia="Times New Roman" w:hAnsi="Times New Roman"/>
          <w:sz w:val="17"/>
          <w:szCs w:val="17"/>
          <w:color w:val="auto"/>
        </w:rPr>
        <w:t>the Company through December 31, 2019 shall be eligible to receive bonus payments, if any, under the Plan regardless of whether such employees are employed on the date such payments are actually made. Notwithstanding the foregoing, in the case of death or disability, the participant’s pro rata share from January 1, 2019 through the date of participant’s death or disability shall be awarded.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Payout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Payouts under the Plan shall be determined as follows:</w:t>
      </w:r>
    </w:p>
    <w:p>
      <w:pPr>
        <w:spacing w:after="0" w:line="210" w:lineRule="exact"/>
        <w:rPr>
          <w:sz w:val="20"/>
          <w:szCs w:val="20"/>
          <w:color w:val="auto"/>
        </w:rPr>
      </w:pPr>
    </w:p>
    <w:p>
      <w:pPr>
        <w:ind w:left="880" w:right="560" w:hanging="440"/>
        <w:spacing w:after="0" w:line="281" w:lineRule="auto"/>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Provider Solutions Incremental Operating Income will be determined by subtracting the Provider Solutions Target Operating Income from Actual Operating Income before bonuses. The Provider Solutions Incremental Operating Income will then be multiplied by 32% for the President.</w:t>
      </w:r>
    </w:p>
    <w:p>
      <w:pPr>
        <w:spacing w:after="0" w:line="149" w:lineRule="exact"/>
        <w:rPr>
          <w:rFonts w:ascii="Times New Roman" w:cs="Times New Roman" w:eastAsia="Times New Roman" w:hAnsi="Times New Roman"/>
          <w:sz w:val="17"/>
          <w:szCs w:val="17"/>
          <w:color w:val="auto"/>
        </w:rPr>
      </w:pPr>
    </w:p>
    <w:p>
      <w:pPr>
        <w:ind w:left="880" w:right="240" w:hanging="440"/>
        <w:spacing w:after="0" w:line="281" w:lineRule="auto"/>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Incremental Operating Income will be determined by subtracting the Enterprise Target Operating Income from Enterprise Actual Operating Income before bonuses. The Enterprise Incremental Operating Income will then be multiplied by 8% for the President.</w:t>
      </w:r>
    </w:p>
    <w:p>
      <w:pPr>
        <w:spacing w:after="0" w:line="149" w:lineRule="exact"/>
        <w:rPr>
          <w:rFonts w:ascii="Times New Roman" w:cs="Times New Roman" w:eastAsia="Times New Roman" w:hAnsi="Times New Roman"/>
          <w:sz w:val="17"/>
          <w:szCs w:val="17"/>
          <w:color w:val="auto"/>
        </w:rPr>
      </w:pPr>
    </w:p>
    <w:p>
      <w:pPr>
        <w:ind w:left="880" w:hanging="440"/>
        <w:spacing w:after="0" w:line="281" w:lineRule="auto"/>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Annual Bonus made to the President pursuant to the Plan shall be payable at such time as bonuses are paid generally to executive officers of the Company.</w:t>
      </w:r>
    </w:p>
    <w:p>
      <w:pPr>
        <w:sectPr>
          <w:pgSz w:w="11900" w:h="16838" w:orient="portrait"/>
          <w:cols w:equalWidth="0" w:num="1">
            <w:col w:w="11400"/>
          </w:cols>
          <w:pgMar w:left="240" w:top="361" w:right="2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color w:val="auto"/>
        </w:rPr>
        <w:t>EXHIBIT 10.20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CONTRIBUTION AGREEMENT</w:t>
      </w:r>
    </w:p>
    <w:p>
      <w:pPr>
        <w:spacing w:after="0" w:line="221" w:lineRule="exact"/>
        <w:rPr>
          <w:sz w:val="20"/>
          <w:szCs w:val="20"/>
          <w:color w:val="auto"/>
        </w:rPr>
      </w:pPr>
    </w:p>
    <w:p>
      <w:pPr>
        <w:ind w:right="160" w:firstLine="877"/>
        <w:spacing w:after="0" w:line="256" w:lineRule="auto"/>
        <w:rPr>
          <w:sz w:val="20"/>
          <w:szCs w:val="20"/>
          <w:color w:val="auto"/>
        </w:rPr>
      </w:pPr>
      <w:r>
        <w:rPr>
          <w:rFonts w:ascii="Times New Roman" w:cs="Times New Roman" w:eastAsia="Times New Roman" w:hAnsi="Times New Roman"/>
          <w:sz w:val="21"/>
          <w:szCs w:val="21"/>
          <w:color w:val="auto"/>
        </w:rPr>
        <w:t>This Contribution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made and entered into as of June 26, 2019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by and between HealthStream, Inc., a Tennessee corporation (“</w:t>
      </w:r>
      <w:r>
        <w:rPr>
          <w:rFonts w:ascii="Times New Roman" w:cs="Times New Roman" w:eastAsia="Times New Roman" w:hAnsi="Times New Roman"/>
          <w:sz w:val="21"/>
          <w:szCs w:val="21"/>
          <w:u w:val="single" w:color="auto"/>
          <w:color w:val="auto"/>
        </w:rPr>
        <w:t>HealthStream</w:t>
      </w:r>
      <w:r>
        <w:rPr>
          <w:rFonts w:ascii="Times New Roman" w:cs="Times New Roman" w:eastAsia="Times New Roman" w:hAnsi="Times New Roman"/>
          <w:sz w:val="21"/>
          <w:szCs w:val="21"/>
          <w:color w:val="auto"/>
        </w:rPr>
        <w:t>”), and Robert A. Frist, Jr., an individual resident of the State of Tennessee (“</w:t>
      </w:r>
      <w:r>
        <w:rPr>
          <w:rFonts w:ascii="Times New Roman" w:cs="Times New Roman" w:eastAsia="Times New Roman" w:hAnsi="Times New Roman"/>
          <w:sz w:val="21"/>
          <w:szCs w:val="21"/>
          <w:u w:val="single" w:color="auto"/>
          <w:color w:val="auto"/>
        </w:rPr>
        <w:t>Frist</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right="500" w:firstLine="877"/>
        <w:spacing w:after="0" w:line="29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Frist desires to contribute to HealthStream, and HealthStream desires to accept from Frist (the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86,372 shares of common stock, no par value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of HealthStream (collectively, the “</w:t>
      </w:r>
      <w:r>
        <w:rPr>
          <w:rFonts w:ascii="Times New Roman" w:cs="Times New Roman" w:eastAsia="Times New Roman" w:hAnsi="Times New Roman"/>
          <w:sz w:val="20"/>
          <w:szCs w:val="20"/>
          <w:u w:val="single" w:color="auto"/>
          <w:color w:val="auto"/>
        </w:rPr>
        <w:t>Contributed Shares</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right="320" w:firstLine="877"/>
        <w:spacing w:after="0" w:line="25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the terms and conditions of this Agreement and the HealthStream, Inc. 2016 Omnibus Incentive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HealthStream desires to grant 78,520 shares of Common Stock (the “</w:t>
      </w:r>
      <w:r>
        <w:rPr>
          <w:rFonts w:ascii="Times New Roman" w:cs="Times New Roman" w:eastAsia="Times New Roman" w:hAnsi="Times New Roman"/>
          <w:sz w:val="21"/>
          <w:szCs w:val="21"/>
          <w:u w:val="single" w:color="auto"/>
          <w:color w:val="auto"/>
        </w:rPr>
        <w:t>Grant Shares</w:t>
      </w:r>
      <w:r>
        <w:rPr>
          <w:rFonts w:ascii="Times New Roman" w:cs="Times New Roman" w:eastAsia="Times New Roman" w:hAnsi="Times New Roman"/>
          <w:sz w:val="21"/>
          <w:szCs w:val="21"/>
          <w:color w:val="auto"/>
        </w:rPr>
        <w:t xml:space="preserve">”) to the individuals and in the amounts set forth on the attached spreadsheet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(such individuals, the “</w:t>
      </w:r>
      <w:r>
        <w:rPr>
          <w:rFonts w:ascii="Times New Roman" w:cs="Times New Roman" w:eastAsia="Times New Roman" w:hAnsi="Times New Roman"/>
          <w:sz w:val="21"/>
          <w:szCs w:val="21"/>
          <w:u w:val="single" w:color="auto"/>
          <w:color w:val="auto"/>
        </w:rPr>
        <w:t>Recipients</w:t>
      </w:r>
      <w:r>
        <w:rPr>
          <w:rFonts w:ascii="Times New Roman" w:cs="Times New Roman" w:eastAsia="Times New Roman" w:hAnsi="Times New Roman"/>
          <w:sz w:val="21"/>
          <w:szCs w:val="21"/>
          <w:color w:val="auto"/>
        </w:rPr>
        <w:t>”); and</w:t>
      </w:r>
    </w:p>
    <w:p>
      <w:pPr>
        <w:spacing w:after="0" w:line="197" w:lineRule="exact"/>
        <w:rPr>
          <w:sz w:val="20"/>
          <w:szCs w:val="20"/>
          <w:color w:val="auto"/>
        </w:rPr>
      </w:pPr>
    </w:p>
    <w:p>
      <w:pPr>
        <w:ind w:right="40" w:firstLine="877"/>
        <w:spacing w:after="0" w:line="27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HealthStream and Frist desire to memorialize in writing the terms, provisions and conditions of the Contribution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share grant.</w:t>
      </w:r>
    </w:p>
    <w:p>
      <w:pPr>
        <w:spacing w:after="0" w:line="155" w:lineRule="exact"/>
        <w:rPr>
          <w:sz w:val="20"/>
          <w:szCs w:val="20"/>
          <w:color w:val="auto"/>
        </w:rPr>
      </w:pPr>
    </w:p>
    <w:p>
      <w:pPr>
        <w:ind w:right="360" w:firstLine="877"/>
        <w:spacing w:after="0" w:line="27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foregoing, and the representations, warranties, covenants and conditions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below, the parties hereto, intending to be legally bound, hereby agree as follows:</w:t>
      </w:r>
    </w:p>
    <w:p>
      <w:pPr>
        <w:spacing w:after="0" w:line="157" w:lineRule="exact"/>
        <w:rPr>
          <w:sz w:val="20"/>
          <w:szCs w:val="20"/>
          <w:color w:val="auto"/>
        </w:rPr>
      </w:pPr>
    </w:p>
    <w:p>
      <w:pPr>
        <w:ind w:left="88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0"/>
          <w:szCs w:val="20"/>
          <w:u w:val="single" w:color="auto"/>
          <w:color w:val="auto"/>
        </w:rPr>
        <w:t>Contribution; Share Grant</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ind w:right="100" w:firstLine="1763"/>
        <w:spacing w:after="0" w:line="248" w:lineRule="auto"/>
        <w:tabs>
          <w:tab w:leader="none" w:pos="263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Subject to the terms and conditions of this Agreement and without any compensation paid by HealthStream to Frist, at the Closing (as defined below), Frist hereby contributes the Contributed Shares to HealthStream, and HealthStream hereby accepts such contribution. Frist shall execute stock powers or other evidence of transfer evidencing such contribution and transfer as may reasonably be requested by HealthStream, and shall deliver to HealthStream stock certificates (as applicable) representing all of the Contributed Shares.</w:t>
      </w:r>
    </w:p>
    <w:p>
      <w:pPr>
        <w:spacing w:after="0" w:line="210" w:lineRule="exact"/>
        <w:rPr>
          <w:rFonts w:ascii="Times New Roman" w:cs="Times New Roman" w:eastAsia="Times New Roman" w:hAnsi="Times New Roman"/>
          <w:sz w:val="21"/>
          <w:szCs w:val="21"/>
          <w:color w:val="auto"/>
        </w:rPr>
      </w:pPr>
    </w:p>
    <w:p>
      <w:pPr>
        <w:jc w:val="both"/>
        <w:ind w:right="60" w:firstLine="1763"/>
        <w:spacing w:after="0" w:line="256" w:lineRule="auto"/>
        <w:tabs>
          <w:tab w:leader="none" w:pos="264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The closing of the Contribution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will take place concurrently with the execution and delivery hereof at the offices of HealthStream at 500 11</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Avenue North, Suite 1000, Nashville, Tennessee 37203 effective as of 3:01 p.m. (local time) on the Effective Date.</w:t>
      </w:r>
    </w:p>
    <w:p>
      <w:pPr>
        <w:spacing w:after="0" w:line="199" w:lineRule="exact"/>
        <w:rPr>
          <w:rFonts w:ascii="Times New Roman" w:cs="Times New Roman" w:eastAsia="Times New Roman" w:hAnsi="Times New Roman"/>
          <w:sz w:val="21"/>
          <w:szCs w:val="21"/>
          <w:color w:val="auto"/>
        </w:rPr>
      </w:pPr>
    </w:p>
    <w:p>
      <w:pPr>
        <w:ind w:right="100" w:firstLine="1763"/>
        <w:spacing w:after="0" w:line="251" w:lineRule="auto"/>
        <w:tabs>
          <w:tab w:leader="none" w:pos="268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Grant</w:t>
      </w:r>
      <w:r>
        <w:rPr>
          <w:rFonts w:ascii="Times New Roman" w:cs="Times New Roman" w:eastAsia="Times New Roman" w:hAnsi="Times New Roman"/>
          <w:sz w:val="21"/>
          <w:szCs w:val="21"/>
          <w:color w:val="auto"/>
        </w:rPr>
        <w:t xml:space="preserve">. HealthStream hereby agrees to grant the Grant Shares to the Recipients pursuant to the Plan in the amounts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as Other Stock-Based Awards (as defined in the Plan), which grants have been approved by the Compensation Committee of HealthStream. It is anticipated that the Grant Shares will be issued to the Recipients on or about July 25, 2019, and such Grant Shares will not be subject to any vesting conditions.</w:t>
      </w:r>
    </w:p>
    <w:p>
      <w:pPr>
        <w:spacing w:after="0" w:line="205" w:lineRule="exact"/>
        <w:rPr>
          <w:sz w:val="20"/>
          <w:szCs w:val="20"/>
          <w:color w:val="auto"/>
        </w:rPr>
      </w:pPr>
    </w:p>
    <w:p>
      <w:pPr>
        <w:ind w:left="88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0"/>
          <w:szCs w:val="20"/>
          <w:u w:val="single" w:color="auto"/>
          <w:color w:val="auto"/>
        </w:rPr>
        <w:t>Representations and Warranties of Frist</w:t>
      </w:r>
      <w:r>
        <w:rPr>
          <w:rFonts w:ascii="Times New Roman" w:cs="Times New Roman" w:eastAsia="Times New Roman" w:hAnsi="Times New Roman"/>
          <w:sz w:val="20"/>
          <w:szCs w:val="20"/>
          <w:color w:val="auto"/>
        </w:rPr>
        <w:t>. Frist represents and warrants as of the Closing to HealthStream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follows:</w:t>
      </w:r>
    </w:p>
    <w:p>
      <w:pPr>
        <w:spacing w:after="0" w:line="221" w:lineRule="exact"/>
        <w:rPr>
          <w:sz w:val="20"/>
          <w:szCs w:val="20"/>
          <w:color w:val="auto"/>
        </w:rPr>
      </w:pPr>
    </w:p>
    <w:p>
      <w:pPr>
        <w:ind w:right="60" w:firstLine="1763"/>
        <w:spacing w:after="0" w:line="256" w:lineRule="auto"/>
        <w:tabs>
          <w:tab w:leader="none" w:pos="263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This Agreement constitutes the valid and binding obligation of Frist, enforceable against Frist in accordance with its terms. Frist has all requisite power, authority and capacity to execute and deliver this Agreement and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ind w:firstLine="1763"/>
        <w:spacing w:after="0" w:line="251" w:lineRule="auto"/>
        <w:tabs>
          <w:tab w:leader="none" w:pos="264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Neither the execution and delivery of this Agreement by Frist nor the consummation of the transactions contemplated hereby will, directly or indirectly (with or without notice or lapse of time): (i) conflict with any legal requirement or order of any court or governmental authority to which Frist is subject, or (ii) breach any provision of any material contract to which Frist is a party.</w:t>
      </w:r>
    </w:p>
    <w:p>
      <w:pPr>
        <w:spacing w:after="0" w:line="205" w:lineRule="exact"/>
        <w:rPr>
          <w:rFonts w:ascii="Times New Roman" w:cs="Times New Roman" w:eastAsia="Times New Roman" w:hAnsi="Times New Roman"/>
          <w:sz w:val="21"/>
          <w:szCs w:val="21"/>
          <w:color w:val="auto"/>
        </w:rPr>
      </w:pPr>
    </w:p>
    <w:p>
      <w:pPr>
        <w:ind w:right="20" w:firstLine="1763"/>
        <w:spacing w:after="0" w:line="295" w:lineRule="auto"/>
        <w:tabs>
          <w:tab w:leader="none" w:pos="263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Consent</w:t>
      </w:r>
      <w:r>
        <w:rPr>
          <w:rFonts w:ascii="Times New Roman" w:cs="Times New Roman" w:eastAsia="Times New Roman" w:hAnsi="Times New Roman"/>
          <w:sz w:val="20"/>
          <w:szCs w:val="20"/>
          <w:color w:val="auto"/>
        </w:rPr>
        <w:t>. Frist is not required to give any notice to or obtain any consent or approval from any person in connection with the execution and delivery of this Agreement by Frist or the consummation of the transactions contemplated hereby.</w:t>
      </w:r>
    </w:p>
    <w:p>
      <w:pPr>
        <w:spacing w:after="0" w:line="163" w:lineRule="exact"/>
        <w:rPr>
          <w:rFonts w:ascii="Times New Roman" w:cs="Times New Roman" w:eastAsia="Times New Roman" w:hAnsi="Times New Roman"/>
          <w:sz w:val="20"/>
          <w:szCs w:val="20"/>
          <w:color w:val="auto"/>
        </w:rPr>
      </w:pPr>
    </w:p>
    <w:p>
      <w:pPr>
        <w:ind w:right="120" w:firstLine="1763"/>
        <w:spacing w:after="0" w:line="256" w:lineRule="auto"/>
        <w:tabs>
          <w:tab w:leader="none" w:pos="264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Proceedings; Orders</w:t>
      </w:r>
      <w:r>
        <w:rPr>
          <w:rFonts w:ascii="Times New Roman" w:cs="Times New Roman" w:eastAsia="Times New Roman" w:hAnsi="Times New Roman"/>
          <w:sz w:val="21"/>
          <w:szCs w:val="21"/>
          <w:color w:val="auto"/>
        </w:rPr>
        <w:t>. There are no legal proceedings or actions pending or, to the knowledge of Frist, threatened, against Frist that challenge, or that may have the effect of preventing, delaying, making illegal or otherwise interfering with, any of the transactions contemplated hereby.</w:t>
      </w:r>
    </w:p>
    <w:p>
      <w:pPr>
        <w:spacing w:after="0" w:line="199" w:lineRule="exact"/>
        <w:rPr>
          <w:rFonts w:ascii="Times New Roman" w:cs="Times New Roman" w:eastAsia="Times New Roman" w:hAnsi="Times New Roman"/>
          <w:sz w:val="21"/>
          <w:szCs w:val="21"/>
          <w:color w:val="auto"/>
        </w:rPr>
      </w:pPr>
    </w:p>
    <w:p>
      <w:pPr>
        <w:ind w:left="2640" w:hanging="877"/>
        <w:spacing w:after="0"/>
        <w:tabs>
          <w:tab w:leader="none" w:pos="2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Contributed Shares</w:t>
      </w:r>
      <w:r>
        <w:rPr>
          <w:rFonts w:ascii="Times New Roman" w:cs="Times New Roman" w:eastAsia="Times New Roman" w:hAnsi="Times New Roman"/>
          <w:sz w:val="20"/>
          <w:szCs w:val="20"/>
          <w:color w:val="auto"/>
        </w:rPr>
        <w:t>. Frist has good and valid title to the Contributed Shares, free and clear</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of all liens and encumbrances.</w:t>
      </w:r>
    </w:p>
    <w:p>
      <w:pPr>
        <w:spacing w:after="0" w:line="221" w:lineRule="exact"/>
        <w:rPr>
          <w:sz w:val="20"/>
          <w:szCs w:val="20"/>
          <w:color w:val="auto"/>
        </w:rPr>
      </w:pPr>
    </w:p>
    <w:p>
      <w:pPr>
        <w:ind w:left="88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0"/>
          <w:szCs w:val="20"/>
          <w:u w:val="single" w:color="auto"/>
          <w:color w:val="auto"/>
        </w:rPr>
        <w:t>Representations and Warranties of HealthStream</w:t>
      </w:r>
      <w:r>
        <w:rPr>
          <w:rFonts w:ascii="Times New Roman" w:cs="Times New Roman" w:eastAsia="Times New Roman" w:hAnsi="Times New Roman"/>
          <w:sz w:val="20"/>
          <w:szCs w:val="20"/>
          <w:color w:val="auto"/>
        </w:rPr>
        <w:t>. HealthStream represents and warrants as of the Closing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Frist as follows:</w:t>
      </w:r>
    </w:p>
    <w:p>
      <w:pPr>
        <w:spacing w:after="0" w:line="221" w:lineRule="exact"/>
        <w:rPr>
          <w:sz w:val="20"/>
          <w:szCs w:val="20"/>
          <w:color w:val="auto"/>
        </w:rPr>
      </w:pPr>
    </w:p>
    <w:p>
      <w:pPr>
        <w:ind w:right="180" w:firstLine="1763"/>
        <w:spacing w:after="0" w:line="248" w:lineRule="auto"/>
        <w:tabs>
          <w:tab w:leader="none" w:pos="263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This Agreement constitutes the valid and binding obligation of HealthStream, enforceable against HealthStream in accordance with its terms. HealthStream has all requisite corporate power and authority to execute and deliver this Agreement and to consummate the transactions contemplated hereby. The execution and delivery of this Agreement by HealthStream and the consummation of the transactions contemplated hereby have been duly and validly authorized and approved by HealthStream.</w:t>
      </w:r>
    </w:p>
    <w:p>
      <w:pPr>
        <w:spacing w:after="0" w:line="210" w:lineRule="exact"/>
        <w:rPr>
          <w:rFonts w:ascii="Times New Roman" w:cs="Times New Roman" w:eastAsia="Times New Roman" w:hAnsi="Times New Roman"/>
          <w:sz w:val="21"/>
          <w:szCs w:val="21"/>
          <w:color w:val="auto"/>
        </w:rPr>
      </w:pPr>
    </w:p>
    <w:p>
      <w:pPr>
        <w:ind w:right="40" w:firstLine="1763"/>
        <w:spacing w:after="0" w:line="251" w:lineRule="auto"/>
        <w:tabs>
          <w:tab w:leader="none" w:pos="264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w:t>
      </w:r>
      <w:r>
        <w:rPr>
          <w:rFonts w:ascii="Times New Roman" w:cs="Times New Roman" w:eastAsia="Times New Roman" w:hAnsi="Times New Roman"/>
          <w:sz w:val="21"/>
          <w:szCs w:val="21"/>
          <w:color w:val="auto"/>
        </w:rPr>
        <w:t>. Neither the execution and delivery of this Agreement by HealthStream nor the consummation of the transactions contemplated hereby will, directly or indirectly (with or without notice or lapse of time): (i) conflict with any legal requirement or order of any court or governmental authority to which HealthStream is subject, or (ii) breach any provision of any material contract to which HealthStream is a party.</w:t>
      </w:r>
    </w:p>
    <w:p>
      <w:pPr>
        <w:spacing w:after="0" w:line="205" w:lineRule="exact"/>
        <w:rPr>
          <w:rFonts w:ascii="Times New Roman" w:cs="Times New Roman" w:eastAsia="Times New Roman" w:hAnsi="Times New Roman"/>
          <w:sz w:val="21"/>
          <w:szCs w:val="21"/>
          <w:color w:val="auto"/>
        </w:rPr>
      </w:pPr>
    </w:p>
    <w:p>
      <w:pPr>
        <w:ind w:right="220" w:firstLine="1763"/>
        <w:spacing w:after="0" w:line="256" w:lineRule="auto"/>
        <w:tabs>
          <w:tab w:leader="none" w:pos="263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w:t>
      </w:r>
      <w:r>
        <w:rPr>
          <w:rFonts w:ascii="Times New Roman" w:cs="Times New Roman" w:eastAsia="Times New Roman" w:hAnsi="Times New Roman"/>
          <w:sz w:val="21"/>
          <w:szCs w:val="21"/>
          <w:color w:val="auto"/>
        </w:rPr>
        <w:t>. HealthStream is not required to give any notice to or obtain any consent or approval from any person in connection with the execution and delivery of this Agreement or the consummation of the transactions contemplated hereby.</w:t>
      </w:r>
    </w:p>
    <w:p>
      <w:pPr>
        <w:spacing w:after="0" w:line="199" w:lineRule="exact"/>
        <w:rPr>
          <w:rFonts w:ascii="Times New Roman" w:cs="Times New Roman" w:eastAsia="Times New Roman" w:hAnsi="Times New Roman"/>
          <w:sz w:val="21"/>
          <w:szCs w:val="21"/>
          <w:color w:val="auto"/>
        </w:rPr>
      </w:pPr>
    </w:p>
    <w:p>
      <w:pPr>
        <w:ind w:right="280" w:firstLine="1763"/>
        <w:spacing w:after="0" w:line="256" w:lineRule="auto"/>
        <w:tabs>
          <w:tab w:leader="none" w:pos="264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Proceedings; Orders</w:t>
      </w:r>
      <w:r>
        <w:rPr>
          <w:rFonts w:ascii="Times New Roman" w:cs="Times New Roman" w:eastAsia="Times New Roman" w:hAnsi="Times New Roman"/>
          <w:sz w:val="21"/>
          <w:szCs w:val="21"/>
          <w:color w:val="auto"/>
        </w:rPr>
        <w:t>. There are no legal proceedings or actions pending or, to the knowledge of HealthStream, threatened, against HealthStream that challenge, or that may have the effect of preventing, delaying, making illegal or otherwise interfering with, any of the transactions contemplated hereby.</w:t>
      </w:r>
    </w:p>
    <w:p>
      <w:pPr>
        <w:spacing w:after="0" w:line="200" w:lineRule="exact"/>
        <w:rPr>
          <w:sz w:val="20"/>
          <w:szCs w:val="20"/>
          <w:color w:val="auto"/>
        </w:rPr>
      </w:pPr>
    </w:p>
    <w:p>
      <w:pPr>
        <w:ind w:left="880"/>
        <w:spacing w:after="0"/>
        <w:tabs>
          <w:tab w:leader="none" w:pos="234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ind w:right="160" w:firstLine="1763"/>
        <w:spacing w:after="0" w:line="256" w:lineRule="auto"/>
        <w:tabs>
          <w:tab w:leader="none" w:pos="263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failure to exercise, and no delay in exercising, on the part of either party, any privilege, any power or any right hereunder will operate as a waiver thereof, nor will any single or partial exercise of any privilege, right or power hereunder preclude further exercise of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any other privilege, right or power hereunder.</w:t>
      </w:r>
    </w:p>
    <w:p>
      <w:pPr>
        <w:spacing w:after="0" w:line="245" w:lineRule="exact"/>
        <w:rPr>
          <w:sz w:val="20"/>
          <w:szCs w:val="20"/>
          <w:color w:val="auto"/>
        </w:rPr>
      </w:pPr>
    </w:p>
    <w:p>
      <w:pPr>
        <w:ind w:right="320" w:firstLine="1763"/>
        <w:spacing w:after="0" w:line="251" w:lineRule="auto"/>
        <w:tabs>
          <w:tab w:leader="none" w:pos="264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and Modification</w:t>
      </w:r>
      <w:r>
        <w:rPr>
          <w:rFonts w:ascii="Times New Roman" w:cs="Times New Roman" w:eastAsia="Times New Roman" w:hAnsi="Times New Roman"/>
          <w:sz w:val="21"/>
          <w:szCs w:val="21"/>
          <w:color w:val="auto"/>
        </w:rPr>
        <w:t>. This Agreement constitutes the entire agreement between the parties with respect to the subject matter of this agreement and supersedes all prior agreements between the parties with respect to its subject matter. This Agreement may not be amended except by a written agreement signed by the party to be charged with the amendment.</w:t>
      </w:r>
    </w:p>
    <w:p>
      <w:pPr>
        <w:spacing w:after="0" w:line="205" w:lineRule="exact"/>
        <w:rPr>
          <w:rFonts w:ascii="Times New Roman" w:cs="Times New Roman" w:eastAsia="Times New Roman" w:hAnsi="Times New Roman"/>
          <w:sz w:val="21"/>
          <w:szCs w:val="21"/>
          <w:color w:val="auto"/>
        </w:rPr>
      </w:pPr>
    </w:p>
    <w:p>
      <w:pPr>
        <w:ind w:right="360" w:firstLine="1763"/>
        <w:spacing w:after="0" w:line="256" w:lineRule="auto"/>
        <w:tabs>
          <w:tab w:leader="none" w:pos="263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Binding Effect</w:t>
      </w:r>
      <w:r>
        <w:rPr>
          <w:rFonts w:ascii="Times New Roman" w:cs="Times New Roman" w:eastAsia="Times New Roman" w:hAnsi="Times New Roman"/>
          <w:sz w:val="21"/>
          <w:szCs w:val="21"/>
          <w:color w:val="auto"/>
        </w:rPr>
        <w:t>. This Agreement may not be assigned by either party without the prior written consent of the other party. Subject to the foregoing, this Agreement will be binding upon and shall inure to the benefit of the parties hereto and their permitted successors and assigns.</w:t>
      </w:r>
    </w:p>
    <w:p>
      <w:pPr>
        <w:spacing w:after="0" w:line="199" w:lineRule="exact"/>
        <w:rPr>
          <w:rFonts w:ascii="Times New Roman" w:cs="Times New Roman" w:eastAsia="Times New Roman" w:hAnsi="Times New Roman"/>
          <w:sz w:val="21"/>
          <w:szCs w:val="21"/>
          <w:color w:val="auto"/>
        </w:rPr>
      </w:pPr>
    </w:p>
    <w:p>
      <w:pPr>
        <w:jc w:val="both"/>
        <w:ind w:right="160" w:firstLine="1763"/>
        <w:spacing w:after="0" w:line="251" w:lineRule="auto"/>
        <w:tabs>
          <w:tab w:leader="none" w:pos="264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held invalid or unenforceable by any court of competent jurisdiction, the other provisions of this Agreement will remain in full force and effect. Any invalid or unenforceable provision shall be replaced by HealthStream and Frist with a valid provision which most closely approximates the intent and economic effect of the invalid or unenforceable provision.</w:t>
      </w:r>
    </w:p>
    <w:p>
      <w:pPr>
        <w:spacing w:after="0" w:line="205" w:lineRule="exact"/>
        <w:rPr>
          <w:rFonts w:ascii="Times New Roman" w:cs="Times New Roman" w:eastAsia="Times New Roman" w:hAnsi="Times New Roman"/>
          <w:sz w:val="21"/>
          <w:szCs w:val="21"/>
          <w:color w:val="auto"/>
        </w:rPr>
      </w:pPr>
    </w:p>
    <w:p>
      <w:pPr>
        <w:ind w:right="120" w:firstLine="1763"/>
        <w:spacing w:after="0" w:line="270" w:lineRule="auto"/>
        <w:tabs>
          <w:tab w:leader="none" w:pos="263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by and construed in accordance with the laws of the State of Tennessee, without regard to the conflict of law provisions thereof.</w:t>
      </w:r>
    </w:p>
    <w:p>
      <w:pPr>
        <w:spacing w:after="0" w:line="185" w:lineRule="exact"/>
        <w:rPr>
          <w:rFonts w:ascii="Times New Roman" w:cs="Times New Roman" w:eastAsia="Times New Roman" w:hAnsi="Times New Roman"/>
          <w:sz w:val="21"/>
          <w:szCs w:val="21"/>
          <w:color w:val="auto"/>
        </w:rPr>
      </w:pPr>
    </w:p>
    <w:p>
      <w:pPr>
        <w:ind w:firstLine="1763"/>
        <w:spacing w:after="0" w:line="251" w:lineRule="auto"/>
        <w:tabs>
          <w:tab w:leader="none" w:pos="261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The language used in the Agreement will be construed, in all cases, according to its fair meaning, and not for or against any party hereto. The parties acknowledge that each party has reviewed this Agreement and that rules of construction to the effect that any ambiguities are to be resolved against the drafting party will not be available in the interpretation of this Agreement.</w:t>
      </w:r>
    </w:p>
    <w:p>
      <w:pPr>
        <w:spacing w:after="0" w:line="205" w:lineRule="exact"/>
        <w:rPr>
          <w:rFonts w:ascii="Times New Roman" w:cs="Times New Roman" w:eastAsia="Times New Roman" w:hAnsi="Times New Roman"/>
          <w:sz w:val="21"/>
          <w:szCs w:val="21"/>
          <w:color w:val="auto"/>
        </w:rPr>
      </w:pPr>
    </w:p>
    <w:p>
      <w:pPr>
        <w:ind w:right="140" w:firstLine="1763"/>
        <w:spacing w:after="0" w:line="256" w:lineRule="auto"/>
        <w:tabs>
          <w:tab w:leader="none" w:pos="264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Execution of Agreement; Counterparts</w:t>
      </w:r>
      <w:r>
        <w:rPr>
          <w:rFonts w:ascii="Times New Roman" w:cs="Times New Roman" w:eastAsia="Times New Roman" w:hAnsi="Times New Roman"/>
          <w:sz w:val="21"/>
          <w:szCs w:val="21"/>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6" w:right="319" w:bottom="1440" w:gutter="0" w:footer="0" w:header="0"/>
        </w:sectPr>
      </w:pPr>
    </w:p>
    <w:bookmarkStart w:id="36" w:name="page37"/>
    <w:bookmarkEnd w:id="36"/>
    <w:p>
      <w:pPr>
        <w:ind w:left="880"/>
        <w:spacing w:after="0"/>
        <w:rPr>
          <w:sz w:val="20"/>
          <w:szCs w:val="20"/>
          <w:color w:val="auto"/>
        </w:rPr>
      </w:pPr>
      <w:r>
        <w:rPr>
          <w:rFonts w:ascii="Times New Roman" w:cs="Times New Roman" w:eastAsia="Times New Roman" w:hAnsi="Times New Roman"/>
          <w:sz w:val="21"/>
          <w:szCs w:val="21"/>
          <w:color w:val="auto"/>
        </w:rPr>
        <w:t>IN WITNESS WHEREOF, Frist and HealthStream have executed this Agreement as of the Effective Date.</w:t>
      </w:r>
    </w:p>
    <w:p>
      <w:pPr>
        <w:spacing w:after="0" w:line="25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1"/>
          <w:szCs w:val="21"/>
          <w:b w:val="1"/>
          <w:bCs w:val="1"/>
          <w:color w:val="auto"/>
        </w:rPr>
        <w:t>Robert A. Frist, Jr.</w:t>
      </w:r>
    </w:p>
    <w:p>
      <w:pPr>
        <w:spacing w:after="0" w:line="200" w:lineRule="exact"/>
        <w:rPr>
          <w:sz w:val="20"/>
          <w:szCs w:val="20"/>
          <w:color w:val="auto"/>
        </w:rPr>
      </w:pPr>
    </w:p>
    <w:p>
      <w:pPr>
        <w:spacing w:after="0" w:line="2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1"/>
          <w:szCs w:val="21"/>
          <w:color w:val="auto"/>
        </w:rPr>
        <w:t>Sign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13335</wp:posOffset>
            </wp:positionV>
            <wp:extent cx="24098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HealthStream, Inc.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20" w:type="dxa"/>
            <w:vAlign w:val="bottom"/>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17"/>
        </w:trPr>
        <w:tc>
          <w:tcPr>
            <w:tcW w:w="660" w:type="dxa"/>
            <w:vAlign w:val="bottom"/>
          </w:tcPr>
          <w:p>
            <w:pPr>
              <w:spacing w:after="0" w:line="217" w:lineRule="exact"/>
              <w:rPr>
                <w:sz w:val="20"/>
                <w:szCs w:val="20"/>
                <w:color w:val="auto"/>
              </w:rPr>
            </w:pPr>
            <w:r>
              <w:rPr>
                <w:rFonts w:ascii="Times New Roman" w:cs="Times New Roman" w:eastAsia="Times New Roman" w:hAnsi="Times New Roman"/>
                <w:sz w:val="21"/>
                <w:szCs w:val="21"/>
                <w:color w:val="auto"/>
              </w:rPr>
              <w:t>Name:</w:t>
            </w:r>
          </w:p>
        </w:tc>
        <w:tc>
          <w:tcPr>
            <w:tcW w:w="120" w:type="dxa"/>
            <w:vAlign w:val="bottom"/>
          </w:tcPr>
          <w:p>
            <w:pPr>
              <w:spacing w:after="0"/>
              <w:rPr>
                <w:sz w:val="18"/>
                <w:szCs w:val="18"/>
                <w:color w:val="auto"/>
              </w:rPr>
            </w:pPr>
          </w:p>
        </w:tc>
        <w:tc>
          <w:tcPr>
            <w:tcW w:w="3700" w:type="dxa"/>
            <w:vAlign w:val="bottom"/>
          </w:tcPr>
          <w:p>
            <w:pPr>
              <w:spacing w:after="0" w:line="217" w:lineRule="exact"/>
              <w:rPr>
                <w:sz w:val="20"/>
                <w:szCs w:val="20"/>
                <w:color w:val="auto"/>
              </w:rPr>
            </w:pPr>
            <w:r>
              <w:rPr>
                <w:rFonts w:ascii="Times New Roman" w:cs="Times New Roman" w:eastAsia="Times New Roman" w:hAnsi="Times New Roman"/>
                <w:sz w:val="21"/>
                <w:szCs w:val="21"/>
                <w:color w:val="auto"/>
              </w:rPr>
              <w:t>Michael M. Collier</w:t>
            </w: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Its:</w:t>
            </w: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General Counsel &amp;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37" w:name="page38"/>
    <w:bookmarkEnd w:id="37"/>
    <w:p>
      <w:pPr>
        <w:jc w:val="center"/>
        <w:ind w:right="-1220"/>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45"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21"/>
          <w:szCs w:val="21"/>
          <w:color w:val="auto"/>
        </w:rPr>
        <w:t>[See Attached.]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26673792.2</w:t>
      </w:r>
    </w:p>
    <w:p>
      <w:pPr>
        <w:sectPr>
          <w:pgSz w:w="11900" w:h="16838" w:orient="portrait"/>
          <w:cols w:equalWidth="0" w:num="1">
            <w:col w:w="10219"/>
          </w:cols>
          <w:pgMar w:left="240" w:top="336"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80" w:right="20" w:hanging="3"/>
        <w:spacing w:after="0" w:line="266" w:lineRule="auto"/>
        <w:tabs>
          <w:tab w:leader="none" w:pos="7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80" w:hanging="3"/>
        <w:spacing w:after="0" w:line="266" w:lineRule="auto"/>
        <w:tabs>
          <w:tab w:leader="none" w:pos="81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20" w:hanging="3"/>
        <w:spacing w:after="0" w:line="282" w:lineRule="auto"/>
        <w:tabs>
          <w:tab w:leader="none" w:pos="8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3"/>
        <w:spacing w:after="0" w:line="266" w:lineRule="auto"/>
        <w:tabs>
          <w:tab w:leader="none" w:pos="7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3"/>
        <w:spacing w:after="0" w:line="282" w:lineRule="auto"/>
        <w:tabs>
          <w:tab w:leader="none" w:pos="78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3"/>
        <w:spacing w:after="0" w:line="282" w:lineRule="auto"/>
        <w:tabs>
          <w:tab w:leader="none" w:pos="7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211"/>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34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80" w:right="20" w:hanging="3"/>
        <w:spacing w:after="0" w:line="266" w:lineRule="auto"/>
        <w:tabs>
          <w:tab w:leader="none" w:pos="7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80" w:hanging="3"/>
        <w:spacing w:after="0" w:line="266" w:lineRule="auto"/>
        <w:tabs>
          <w:tab w:leader="none" w:pos="8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20" w:hanging="3"/>
        <w:spacing w:after="0" w:line="282" w:lineRule="auto"/>
        <w:tabs>
          <w:tab w:leader="none" w:pos="8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3"/>
        <w:spacing w:after="0" w:line="266" w:lineRule="auto"/>
        <w:tabs>
          <w:tab w:leader="none" w:pos="7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3"/>
        <w:spacing w:after="0" w:line="282" w:lineRule="auto"/>
        <w:tabs>
          <w:tab w:leader="none" w:pos="7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3"/>
        <w:spacing w:after="0" w:line="282" w:lineRule="auto"/>
        <w:tabs>
          <w:tab w:leader="none" w:pos="7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2019</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211"/>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ectPr>
          <w:pgSz w:w="11900" w:h="16838" w:orient="portrait"/>
          <w:cols w:equalWidth="0" w:num="1">
            <w:col w:w="11420"/>
          </w:cols>
          <w:pgMar w:left="240" w:top="34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2019,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1740" w:hanging="868"/>
        <w:spacing w:after="0"/>
        <w:tabs>
          <w:tab w:leader="none" w:pos="1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40" w:right="20" w:hanging="868"/>
        <w:spacing w:after="0" w:line="282" w:lineRule="auto"/>
        <w:tabs>
          <w:tab w:leader="none" w:pos="1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p>
      <w:pPr>
        <w:sectPr>
          <w:pgSz w:w="11900" w:h="16838" w:orient="portrait"/>
          <w:cols w:equalWidth="0" w:num="1">
            <w:col w:w="11420"/>
          </w:cols>
          <w:pgMar w:left="240" w:top="34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2019, as filed with the Securities and Exchange Commission on the date hereof (the “Report”), Scott A. Roberts, Interim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1740" w:hanging="868"/>
        <w:spacing w:after="0"/>
        <w:tabs>
          <w:tab w:leader="none" w:pos="1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40" w:right="20" w:hanging="868"/>
        <w:spacing w:after="0" w:line="282" w:lineRule="auto"/>
        <w:tabs>
          <w:tab w:leader="none" w:pos="1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endash "/>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2"/>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2019-12-28T09:27:56Z</dcterms:created>
  <dcterms:modified xsi:type="dcterms:W3CDTF">2019-12-28T09:27:56Z</dcterms:modified>
</cp:coreProperties>
</file>