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 the Securities Exchange Act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79"/>
              </w:rPr>
              <w:t>Tennessee</w:t>
            </w:r>
          </w:p>
        </w:tc>
        <w:tc>
          <w:tcPr>
            <w:tcW w:w="5020" w:type="dxa"/>
            <w:vAlign w:val="bottom"/>
          </w:tcPr>
          <w:p>
            <w:pPr>
              <w:jc w:val="right"/>
              <w:ind w:right="24"/>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20" w:type="dxa"/>
            <w:vAlign w:val="bottom"/>
          </w:tcPr>
          <w:p>
            <w:pPr>
              <w:jc w:val="center"/>
              <w:ind w:left="38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20" w:type="dxa"/>
            <w:vAlign w:val="bottom"/>
          </w:tcPr>
          <w:p>
            <w:pPr>
              <w:jc w:val="center"/>
              <w:ind w:left="38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7"/>
              </w:rPr>
              <w:t>209 10th Avenue South, Suite 450</w:t>
            </w:r>
          </w:p>
        </w:tc>
        <w:tc>
          <w:tcPr>
            <w:tcW w:w="5020" w:type="dxa"/>
            <w:vAlign w:val="bottom"/>
          </w:tcPr>
          <w:p>
            <w:pPr>
              <w:spacing w:after="0"/>
              <w:rPr>
                <w:sz w:val="24"/>
                <w:szCs w:val="24"/>
                <w:color w:val="auto"/>
              </w:rPr>
            </w:pPr>
          </w:p>
        </w:tc>
      </w:tr>
      <w:tr>
        <w:trPr>
          <w:trHeight w:val="231"/>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4"/>
              </w:rPr>
              <w:t>Nashville, Tennessee</w:t>
            </w:r>
          </w:p>
        </w:tc>
        <w:tc>
          <w:tcPr>
            <w:tcW w:w="5020" w:type="dxa"/>
            <w:vAlign w:val="bottom"/>
          </w:tcPr>
          <w:p>
            <w:pPr>
              <w:jc w:val="right"/>
              <w:ind w:right="224"/>
              <w:spacing w:after="0"/>
              <w:rPr>
                <w:sz w:val="20"/>
                <w:szCs w:val="20"/>
                <w:color w:val="auto"/>
              </w:rPr>
            </w:pPr>
            <w:r>
              <w:rPr>
                <w:rFonts w:ascii="Arial" w:cs="Arial" w:eastAsia="Arial" w:hAnsi="Arial"/>
                <w:sz w:val="18"/>
                <w:szCs w:val="18"/>
                <w:b w:val="1"/>
                <w:bCs w:val="1"/>
                <w:color w:val="auto"/>
              </w:rPr>
              <w:t>37203</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20" w:type="dxa"/>
            <w:vAlign w:val="bottom"/>
          </w:tcPr>
          <w:p>
            <w:pPr>
              <w:jc w:val="center"/>
              <w:ind w:left="38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20" w:type="dxa"/>
            <w:vAlign w:val="bottom"/>
          </w:tcPr>
          <w:p>
            <w:pPr>
              <w:spacing w:after="0"/>
              <w:rPr>
                <w:sz w:val="24"/>
                <w:szCs w:val="24"/>
                <w:color w:val="auto"/>
              </w:rPr>
            </w:pPr>
          </w:p>
        </w:tc>
        <w:tc>
          <w:tcPr>
            <w:tcW w:w="5020" w:type="dxa"/>
            <w:vAlign w:val="bottom"/>
          </w:tcPr>
          <w:p>
            <w:pPr>
              <w:jc w:val="right"/>
              <w:ind w:right="2844"/>
              <w:spacing w:after="0"/>
              <w:rPr>
                <w:sz w:val="20"/>
                <w:szCs w:val="20"/>
                <w:color w:val="auto"/>
              </w:rPr>
            </w:pPr>
            <w:r>
              <w:rPr>
                <w:rFonts w:ascii="Arial" w:cs="Arial" w:eastAsia="Arial" w:hAnsi="Arial"/>
                <w:sz w:val="18"/>
                <w:szCs w:val="18"/>
                <w:b w:val="1"/>
                <w:bCs w:val="1"/>
                <w:color w:val="auto"/>
              </w:rPr>
              <w:t>(615) 301-3100</w:t>
            </w:r>
          </w:p>
        </w:tc>
      </w:tr>
      <w:tr>
        <w:trPr>
          <w:trHeight w:val="174"/>
        </w:trPr>
        <w:tc>
          <w:tcPr>
            <w:tcW w:w="2520" w:type="dxa"/>
            <w:vAlign w:val="bottom"/>
          </w:tcPr>
          <w:p>
            <w:pPr>
              <w:spacing w:after="0"/>
              <w:rPr>
                <w:sz w:val="15"/>
                <w:szCs w:val="15"/>
                <w:color w:val="auto"/>
              </w:rPr>
            </w:pPr>
          </w:p>
        </w:tc>
        <w:tc>
          <w:tcPr>
            <w:tcW w:w="502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As of April 25, 2013, there were 26,623,985 shares of the registrant’s common stock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1"/>
        </w:trPr>
        <w:tc>
          <w:tcPr>
            <w:tcW w:w="1760" w:type="dxa"/>
            <w:vAlign w:val="bottom"/>
            <w:tcBorders>
              <w:bottom w:val="single" w:sz="8" w:color="auto"/>
            </w:tcBorders>
          </w:tcPr>
          <w:p>
            <w:pPr>
              <w:spacing w:after="0"/>
              <w:rPr>
                <w:sz w:val="13"/>
                <w:szCs w:val="13"/>
                <w:color w:val="auto"/>
              </w:rPr>
            </w:pPr>
          </w:p>
        </w:tc>
        <w:tc>
          <w:tcPr>
            <w:tcW w:w="69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Page</w:t>
            </w:r>
          </w:p>
        </w:tc>
      </w:t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Number</w:t>
            </w: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Part I.</w:t>
            </w:r>
          </w:p>
        </w:tc>
        <w:tc>
          <w:tcPr>
            <w:tcW w:w="996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80" w:type="dxa"/>
            <w:vAlign w:val="bottom"/>
          </w:tcPr>
          <w:p>
            <w:pPr>
              <w:spacing w:after="0"/>
              <w:rPr>
                <w:sz w:val="22"/>
                <w:szCs w:val="22"/>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0" w:type="dxa"/>
            <w:vAlign w:val="bottom"/>
            <w:tcBorders>
              <w:top w:val="single" w:sz="8" w:color="0000EE"/>
            </w:tcBorders>
          </w:tcPr>
          <w:p>
            <w:pPr>
              <w:spacing w:after="0"/>
              <w:rPr>
                <w:sz w:val="24"/>
                <w:szCs w:val="24"/>
                <w:color w:val="auto"/>
              </w:rPr>
            </w:pPr>
          </w:p>
        </w:tc>
        <w:tc>
          <w:tcPr>
            <w:tcW w:w="842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r>
      <w:tr>
        <w:trPr>
          <w:trHeight w:val="304"/>
        </w:trPr>
        <w:tc>
          <w:tcPr>
            <w:tcW w:w="880" w:type="dxa"/>
            <w:vAlign w:val="bottom"/>
          </w:tcPr>
          <w:p>
            <w:pPr>
              <w:spacing w:after="0"/>
              <w:rPr>
                <w:sz w:val="24"/>
                <w:szCs w:val="24"/>
                <w:color w:val="auto"/>
              </w:rPr>
            </w:pPr>
          </w:p>
        </w:tc>
        <w:tc>
          <w:tcPr>
            <w:tcW w:w="678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 March 31, 2013 (Unaudited) and December 31, 2012</w:t>
              </w:r>
            </w:hyperlink>
          </w:p>
        </w:tc>
        <w:tc>
          <w:tcPr>
            <w:tcW w:w="31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8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 (Unaudited) – Three Months ended March 31, 2013 and 2012</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88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Comprehensive Income (Unaudited) – Three Months ended March 31, 2013 and 2012</w:t>
              </w:r>
            </w:hyperlink>
          </w:p>
        </w:tc>
        <w:tc>
          <w:tcPr>
            <w:tcW w:w="1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8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Three Months ended March 31, 2013</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9960" w:type="dxa"/>
            <w:vAlign w:val="bottom"/>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Three Months ended March 31, 2013 and 2012</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Condensed Consolidated Financial Statements (Unaudited)</w:t>
              </w:r>
            </w:hyperlink>
          </w:p>
        </w:tc>
        <w:tc>
          <w:tcPr>
            <w:tcW w:w="3200" w:type="dxa"/>
            <w:vAlign w:val="bottom"/>
            <w:tcBorders>
              <w:top w:val="single" w:sz="8" w:color="0000EE"/>
            </w:tcBorders>
            <w:gridSpan w:val="5"/>
          </w:tcPr>
          <w:p>
            <w:pPr>
              <w:spacing w:after="0"/>
              <w:rPr>
                <w:sz w:val="24"/>
                <w:szCs w:val="24"/>
                <w:color w:val="auto"/>
              </w:rPr>
            </w:pPr>
          </w:p>
        </w:tc>
        <w:tc>
          <w:tcPr>
            <w:tcW w:w="196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6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5">
              <w:r>
                <w:rPr>
                  <w:rFonts w:ascii="Arial" w:cs="Arial" w:eastAsia="Arial" w:hAnsi="Arial"/>
                  <w:sz w:val="18"/>
                  <w:szCs w:val="18"/>
                  <w:color w:val="0000EE"/>
                  <w:w w:val="86"/>
                </w:rPr>
                <w:t>Controls and Procedures</w:t>
              </w:r>
            </w:hyperlink>
          </w:p>
        </w:tc>
        <w:tc>
          <w:tcPr>
            <w:tcW w:w="82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Part II.</w:t>
            </w:r>
          </w:p>
        </w:tc>
        <w:tc>
          <w:tcPr>
            <w:tcW w:w="9960" w:type="dxa"/>
            <w:vAlign w:val="bottom"/>
            <w:gridSpan w:val="1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48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6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88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7">
              <w:r>
                <w:rPr>
                  <w:rFonts w:ascii="Arial" w:cs="Arial" w:eastAsia="Arial" w:hAnsi="Arial"/>
                  <w:sz w:val="18"/>
                  <w:szCs w:val="18"/>
                  <w:color w:val="0000EE"/>
                  <w:w w:val="85"/>
                </w:rPr>
                <w:t>Signature</w:t>
              </w:r>
            </w:hyperlink>
          </w:p>
        </w:tc>
        <w:tc>
          <w:tcPr>
            <w:tcW w:w="928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73"/>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(Unaudited)</w:t>
            </w:r>
          </w:p>
        </w:tc>
        <w:tc>
          <w:tcPr>
            <w:tcW w:w="24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43,888</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Marketable securities – short-term</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51,711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Accounts receivable, net of allowance for doubtful accounts of $174 and $142 at March 31, 2013 and December 31, 2012,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22,777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Accounts receivable - unbilled</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Prepaid royalties, net of amortization</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 and 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125,333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118,291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18,796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Furniture and fixtures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(19,466)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9480" w:type="dxa"/>
            <w:vAlign w:val="bottom"/>
            <w:gridSpan w:val="2"/>
          </w:tcPr>
          <w:p>
            <w:pPr>
              <w:spacing w:after="0"/>
              <w:rPr>
                <w:sz w:val="20"/>
                <w:szCs w:val="20"/>
                <w:color w:val="auto"/>
              </w:rPr>
            </w:pPr>
            <w:r>
              <w:rPr>
                <w:rFonts w:ascii="Arial" w:cs="Arial" w:eastAsia="Arial" w:hAnsi="Arial"/>
                <w:sz w:val="18"/>
                <w:szCs w:val="18"/>
                <w:color w:val="auto"/>
                <w:w w:val="91"/>
              </w:rPr>
              <w:t>Capitalized software development, net of accumulated amortization of $11,609 and $10,987 at March 31, 2013 and December 31,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2012, respectively</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10,182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w w:val="99"/>
              </w:rPr>
              <w:t>Intangible assets, net of accumulated amortization of $10,471 and $10,036 at March 31, 2013 and December 31, 2012,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8,370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128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181,656</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266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8,587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35,032</w:t>
            </w:r>
          </w:p>
        </w:tc>
        <w:tc>
          <w:tcPr>
            <w:tcW w:w="0" w:type="dxa"/>
            <w:vAlign w:val="bottom"/>
          </w:tcPr>
          <w:p>
            <w:pPr>
              <w:spacing w:after="0"/>
              <w:rPr>
                <w:sz w:val="1"/>
                <w:szCs w:val="1"/>
                <w:color w:val="auto"/>
              </w:rPr>
            </w:pPr>
          </w:p>
        </w:tc>
      </w:tr>
      <w:tr>
        <w:trPr>
          <w:trHeight w:val="322"/>
        </w:trPr>
        <w:tc>
          <w:tcPr>
            <w:tcW w:w="9480" w:type="dxa"/>
            <w:vAlign w:val="bottom"/>
            <w:gridSpan w:val="2"/>
          </w:tcPr>
          <w:p>
            <w:pPr>
              <w:spacing w:after="0"/>
              <w:rPr>
                <w:sz w:val="20"/>
                <w:szCs w:val="20"/>
                <w:color w:val="auto"/>
              </w:rPr>
            </w:pPr>
            <w:r>
              <w:rPr>
                <w:rFonts w:ascii="Arial" w:cs="Arial" w:eastAsia="Arial" w:hAnsi="Arial"/>
                <w:sz w:val="18"/>
                <w:szCs w:val="18"/>
                <w:color w:val="auto"/>
              </w:rPr>
              <w:t>Deferred tax liabilities, noncurrent</w:t>
            </w:r>
          </w:p>
        </w:tc>
        <w:tc>
          <w:tcPr>
            <w:tcW w:w="1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6,474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w w:val="94"/>
              </w:rPr>
              <w:t>Common stock, no par value, 75,000 shares authorized; 26,555 and 26,233 shares issued and outstanding at March 31,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640"/>
              <w:spacing w:after="0"/>
              <w:rPr>
                <w:sz w:val="20"/>
                <w:szCs w:val="20"/>
                <w:color w:val="auto"/>
              </w:rPr>
            </w:pPr>
            <w:r>
              <w:rPr>
                <w:rFonts w:ascii="Arial" w:cs="Arial" w:eastAsia="Arial" w:hAnsi="Arial"/>
                <w:sz w:val="18"/>
                <w:szCs w:val="18"/>
                <w:color w:val="auto"/>
              </w:rPr>
              <w:t>2013 and December 31, 2012, respectively</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159,072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158,020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2"/>
              </w:rPr>
              <w:t>(23,901)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(25,842)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135,179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181,656</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174,528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29,646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2,606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26,473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8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26,340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27,409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500" w:type="dxa"/>
            <w:vAlign w:val="bottom"/>
            <w:gridSpan w:val="4"/>
          </w:tcPr>
          <w:p>
            <w:pPr>
              <w:ind w:left="4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$ 1,941</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60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3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marketable securities</w:t>
            </w:r>
          </w:p>
        </w:tc>
        <w:tc>
          <w:tcPr>
            <w:tcW w:w="3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loss</w:t>
            </w:r>
          </w:p>
        </w:tc>
        <w:tc>
          <w:tcPr>
            <w:tcW w:w="3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332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$ 1,931</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2160" w:type="dxa"/>
            <w:vAlign w:val="bottom"/>
            <w:gridSpan w:val="5"/>
          </w:tcPr>
          <w:p>
            <w:pPr>
              <w:ind w:left="400"/>
              <w:spacing w:after="0" w:line="149" w:lineRule="exact"/>
              <w:rPr>
                <w:sz w:val="20"/>
                <w:szCs w:val="20"/>
                <w:color w:val="auto"/>
              </w:rPr>
            </w:pPr>
            <w:r>
              <w:rPr>
                <w:rFonts w:ascii="Arial" w:cs="Arial" w:eastAsia="Arial" w:hAnsi="Arial"/>
                <w:sz w:val="14"/>
                <w:szCs w:val="14"/>
                <w:b w:val="1"/>
                <w:bCs w:val="1"/>
                <w:color w:val="auto"/>
              </w:rPr>
              <w:t>Common Stock</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Shares</w:t>
            </w:r>
          </w:p>
        </w:tc>
        <w:tc>
          <w:tcPr>
            <w:tcW w:w="46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Income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26,233</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$158,020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(25,842)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1,941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86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8"/>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under stock plans, net of shares withheld for</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taxes</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322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Balance at March 31, 2013</w:t>
            </w: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26,555</w:t>
            </w:r>
          </w:p>
        </w:tc>
        <w:tc>
          <w:tcPr>
            <w:tcW w:w="20" w:type="dxa"/>
            <w:vAlign w:val="bottom"/>
          </w:tcPr>
          <w:p>
            <w:pPr>
              <w:spacing w:after="0"/>
              <w:rPr>
                <w:sz w:val="19"/>
                <w:szCs w:val="19"/>
                <w:color w:val="auto"/>
              </w:rPr>
            </w:pPr>
          </w:p>
        </w:tc>
        <w:tc>
          <w:tcPr>
            <w:tcW w:w="1600" w:type="dxa"/>
            <w:vAlign w:val="bottom"/>
            <w:gridSpan w:val="3"/>
          </w:tcPr>
          <w:p>
            <w:pPr>
              <w:ind w:lef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159,072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(23,901)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135,179</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3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(7,487)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Prepaid royalties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1,652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(1,310)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3,855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(29,552)</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(2,074)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(56,646)</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100" w:type="dxa"/>
            <w:vAlign w:val="bottom"/>
          </w:tcPr>
          <w:p>
            <w:pPr>
              <w:spacing w:after="0"/>
              <w:rPr>
                <w:sz w:val="18"/>
                <w:szCs w:val="18"/>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(158)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2,523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(52,636)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76,904</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43,888</w:t>
            </w:r>
          </w:p>
        </w:tc>
        <w:tc>
          <w:tcPr>
            <w:tcW w:w="3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2013 are not necessarily indicative of the results that may be expected for the year ending December 31, 2013.</w:t>
      </w:r>
    </w:p>
    <w:p>
      <w:pPr>
        <w:spacing w:after="0" w:line="12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balance sheet at December 31, 2012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2012 (included in the Company’s Annual Report on Form 10-K, filed with the Securities and Exchange Commission on March 1,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4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During the three months ended March 31, 2013 and 2012, the Company recorded a provision for income taxes of $1.3 million and $940,000, respectively. The Company’s effective tax rate for the three months ended March 31, 2013 and 2012 was 39.7% and 39.8%, respectively. The Company’s effective tax rate primarily reflects the statutory corporate income tax rate, the net effect of state taxes, and the effect of various permanent tax differences.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maintains two stock incentive plans. The Company accounts for its stock based compensation plans using the fair-value based method for costs related to share-based payments, including stock options and restricted share units (RSUs). During the three months ended March 31, 2013, the Company issued 77,750 RSUs with a weighted average grant date fair value of $21.70 per share, measured based on the closing fair market value of the Company’s stock on the date of grant. During the three months ended March 31, 2012, the Company issued 69,950 RSUs with a weighted average grant date fair value of $23.00 per share, measured based on the closing fair market value of the Company’s stock on the date of grant.</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Total stock based compensation expense recorded for the three months ended March 31, 2013 and 2012, which is recorded in the condensed consolidated statements of income, is as follows (in thousands):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4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vMerge w:val="restart"/>
          </w:tcPr>
          <w:p>
            <w:pPr>
              <w:jc w:val="right"/>
              <w:ind w:right="18"/>
              <w:spacing w:after="0"/>
              <w:rPr>
                <w:sz w:val="20"/>
                <w:szCs w:val="20"/>
                <w:color w:val="auto"/>
              </w:rPr>
            </w:pPr>
            <w:r>
              <w:rPr>
                <w:rFonts w:ascii="Arial" w:cs="Arial" w:eastAsia="Arial" w:hAnsi="Arial"/>
                <w:sz w:val="14"/>
                <w:szCs w:val="14"/>
                <w:color w:val="auto"/>
                <w:w w:val="76"/>
              </w:rPr>
              <w:t>2013</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6"/>
              </w:rPr>
              <w:t>March 31,</w:t>
            </w:r>
          </w:p>
        </w:tc>
        <w:tc>
          <w:tcPr>
            <w:tcW w:w="400" w:type="dxa"/>
            <w:vAlign w:val="bottom"/>
            <w:vMerge w:val="restart"/>
          </w:tcPr>
          <w:p>
            <w:pPr>
              <w:jc w:val="right"/>
              <w:ind w:right="36"/>
              <w:spacing w:after="0"/>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Cost of revenues (excluding depreciation and amortization)</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Product development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60" w:type="dxa"/>
            <w:vAlign w:val="bottom"/>
            <w:vMerge w:val="restart"/>
          </w:tcPr>
          <w:p>
            <w:pPr>
              <w:jc w:val="right"/>
              <w:ind w:right="263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and restricted share units subject to vesting are included in diluted earnings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earnings per share, due to their anti-dilutive effect, was approximately 0.1 million and 0.2 million for the three months ended March 31, 2013 and 2012, respectively.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months ended March 31, 2013 and 2012 (in thousands, except per share data):</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69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60"/>
              <w:spacing w:after="0" w:line="159" w:lineRule="exact"/>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2013</w:t>
            </w: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86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26,340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tcPr>
          <w:p>
            <w:pPr>
              <w:ind w:left="860"/>
              <w:spacing w:after="0"/>
              <w:rPr>
                <w:sz w:val="20"/>
                <w:szCs w:val="20"/>
                <w:color w:val="auto"/>
              </w:rPr>
            </w:pPr>
            <w:r>
              <w:rPr>
                <w:rFonts w:ascii="Arial" w:cs="Arial" w:eastAsia="Arial" w:hAnsi="Arial"/>
                <w:sz w:val="18"/>
                <w:szCs w:val="18"/>
                <w:color w:val="auto"/>
              </w:rPr>
              <w:t>Weighted-average diluted shares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27,409</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At March 31, 2013 and December 31, 2012, the fair value of marketable securities, which were all classified as available for sale, included the following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117"/>
              <w:spacing w:after="0"/>
              <w:rPr>
                <w:sz w:val="20"/>
                <w:szCs w:val="20"/>
                <w:color w:val="auto"/>
              </w:rPr>
            </w:pPr>
            <w:r>
              <w:rPr>
                <w:rFonts w:ascii="Arial" w:cs="Arial" w:eastAsia="Arial" w:hAnsi="Arial"/>
                <w:sz w:val="14"/>
                <w:szCs w:val="14"/>
                <w:color w:val="auto"/>
                <w:w w:val="86"/>
              </w:rPr>
              <w:t>March 31, 2013</w:t>
            </w: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60" w:type="dxa"/>
            <w:vAlign w:val="bottom"/>
            <w:gridSpan w:val="2"/>
          </w:tcPr>
          <w:p>
            <w:pPr>
              <w:spacing w:after="0" w:line="159" w:lineRule="exact"/>
              <w:rPr>
                <w:sz w:val="20"/>
                <w:szCs w:val="20"/>
                <w:color w:val="auto"/>
              </w:rPr>
            </w:pPr>
            <w:r>
              <w:rPr>
                <w:rFonts w:ascii="Arial" w:cs="Arial" w:eastAsia="Arial" w:hAnsi="Arial"/>
                <w:sz w:val="14"/>
                <w:szCs w:val="14"/>
                <w:color w:val="auto"/>
                <w:w w:val="84"/>
              </w:rPr>
              <w:t>Adjusted Cost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7"/>
              </w:rPr>
              <w:t>Gains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line="159" w:lineRule="exact"/>
              <w:rPr>
                <w:sz w:val="20"/>
                <w:szCs w:val="20"/>
                <w:color w:val="auto"/>
              </w:rPr>
            </w:pPr>
            <w:r>
              <w:rPr>
                <w:rFonts w:ascii="Arial" w:cs="Arial" w:eastAsia="Arial" w:hAnsi="Arial"/>
                <w:sz w:val="14"/>
                <w:szCs w:val="14"/>
                <w:color w:val="auto"/>
              </w:rPr>
              <w:t>Losses</w:t>
            </w:r>
          </w:p>
        </w:tc>
        <w:tc>
          <w:tcPr>
            <w:tcW w:w="6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5,051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debt securities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U.S. government securities</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gridSpan w:val="2"/>
            <w:vMerge w:val="continue"/>
          </w:tcPr>
          <w:p>
            <w:pPr>
              <w:spacing w:after="0"/>
              <w:rPr>
                <w:sz w:val="19"/>
                <w:szCs w:val="19"/>
                <w:color w:val="auto"/>
              </w:rPr>
            </w:pP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51,703</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(25)</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right="820"/>
              <w:spacing w:after="0"/>
              <w:rPr>
                <w:sz w:val="20"/>
                <w:szCs w:val="20"/>
                <w:color w:val="auto"/>
              </w:rPr>
            </w:pPr>
            <w:r>
              <w:rPr>
                <w:rFonts w:ascii="Arial" w:cs="Arial" w:eastAsia="Arial" w:hAnsi="Arial"/>
                <w:sz w:val="14"/>
                <w:szCs w:val="14"/>
                <w:color w:val="auto"/>
                <w:w w:val="87"/>
              </w:rPr>
              <w:t>December 31, 2012</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60" w:type="dxa"/>
            <w:vAlign w:val="bottom"/>
            <w:gridSpan w:val="2"/>
          </w:tcPr>
          <w:p>
            <w:pPr>
              <w:spacing w:after="0" w:line="159" w:lineRule="exact"/>
              <w:rPr>
                <w:sz w:val="20"/>
                <w:szCs w:val="20"/>
                <w:color w:val="auto"/>
              </w:rPr>
            </w:pPr>
            <w:r>
              <w:rPr>
                <w:rFonts w:ascii="Arial" w:cs="Arial" w:eastAsia="Arial" w:hAnsi="Arial"/>
                <w:sz w:val="14"/>
                <w:szCs w:val="14"/>
                <w:color w:val="auto"/>
                <w:w w:val="84"/>
              </w:rPr>
              <w:t>Adjusted Cost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7"/>
              </w:rPr>
              <w:t>Gains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line="159" w:lineRule="exact"/>
              <w:rPr>
                <w:sz w:val="20"/>
                <w:szCs w:val="20"/>
                <w:color w:val="auto"/>
              </w:rPr>
            </w:pPr>
            <w:r>
              <w:rPr>
                <w:rFonts w:ascii="Arial" w:cs="Arial" w:eastAsia="Arial" w:hAnsi="Arial"/>
                <w:sz w:val="14"/>
                <w:szCs w:val="14"/>
                <w:color w:val="auto"/>
              </w:rPr>
              <w:t>Losses</w:t>
            </w:r>
          </w:p>
        </w:tc>
        <w:tc>
          <w:tcPr>
            <w:tcW w:w="6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216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5,042</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9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2,254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46,892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51,934</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March 31, 2013, the Company does not consider any of its marketable securities to be other than temporarily impaired. During the three months ended March 31, 2013 and 2012, the Company did not reclassify any items out of accumulated other comprehensive income to net income.</w:t>
      </w:r>
    </w:p>
    <w:p>
      <w:pPr>
        <w:sectPr>
          <w:pgSz w:w="11900" w:h="16838" w:orient="portrait"/>
          <w:cols w:equalWidth="0" w:num="1">
            <w:col w:w="11320"/>
          </w:cols>
          <w:pgMar w:left="240" w:top="459" w:right="339" w:bottom="1440" w:gutter="0" w:footer="0" w:header="0"/>
        </w:sectPr>
      </w:pP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20"/>
          </w:cols>
          <w:pgMar w:left="24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primarily provides services to healthcare organizations and other members within the healthcare industry. The Company’s services are primarily focused on the delivery of learning and talent management products and services (HealthStream Learning &amp; Talent Management), as well as survey and research services (HealthStream Research). The accounting policies of the segments are the same as those described in the summary of significant accounting policies in the Company’s Annual Report on Form 10-K for the year ended December 31, 2012.</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months ended March 31, 2013 and 2012 (in thousands).</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8"/>
          </w:tcPr>
          <w:p>
            <w:pPr>
              <w:jc w:val="center"/>
              <w:ind w:right="220"/>
              <w:spacing w:after="0"/>
              <w:rPr>
                <w:sz w:val="20"/>
                <w:szCs w:val="20"/>
                <w:color w:val="auto"/>
              </w:rPr>
            </w:pPr>
            <w:r>
              <w:rPr>
                <w:rFonts w:ascii="Arial" w:cs="Arial" w:eastAsia="Arial" w:hAnsi="Arial"/>
                <w:sz w:val="14"/>
                <w:szCs w:val="14"/>
                <w:color w:val="auto"/>
                <w:w w:val="87"/>
              </w:rPr>
              <w:t>Three Months Ended</w:t>
            </w:r>
          </w:p>
        </w:tc>
      </w:tr>
      <w:tr>
        <w:trPr>
          <w:trHeight w:val="159"/>
        </w:trPr>
        <w:tc>
          <w:tcPr>
            <w:tcW w:w="44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jc w:val="center"/>
              <w:ind w:left="278"/>
              <w:spacing w:after="0" w:line="159" w:lineRule="exact"/>
              <w:rPr>
                <w:sz w:val="20"/>
                <w:szCs w:val="20"/>
                <w:color w:val="auto"/>
              </w:rPr>
            </w:pPr>
            <w:r>
              <w:rPr>
                <w:rFonts w:ascii="Arial" w:cs="Arial" w:eastAsia="Arial" w:hAnsi="Arial"/>
                <w:sz w:val="14"/>
                <w:szCs w:val="14"/>
                <w:color w:val="auto"/>
                <w:w w:val="89"/>
              </w:rPr>
              <w:t>March 31,</w:t>
            </w:r>
          </w:p>
        </w:tc>
        <w:tc>
          <w:tcPr>
            <w:tcW w:w="4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color w:val="auto"/>
                <w:w w:val="96"/>
              </w:rPr>
              <w:t>2013</w:t>
            </w: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2012</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Learning &amp; Talent Management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$23,140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6,506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400" w:type="dxa"/>
            <w:vAlign w:val="bottom"/>
          </w:tcPr>
          <w:p>
            <w:pPr>
              <w:ind w:left="860"/>
              <w:spacing w:after="0"/>
              <w:rPr>
                <w:sz w:val="20"/>
                <w:szCs w:val="20"/>
                <w:color w:val="auto"/>
              </w:rPr>
            </w:pPr>
            <w:r>
              <w:rPr>
                <w:rFonts w:ascii="Arial" w:cs="Arial" w:eastAsia="Arial" w:hAnsi="Arial"/>
                <w:sz w:val="18"/>
                <w:szCs w:val="18"/>
                <w:color w:val="auto"/>
              </w:rPr>
              <w:t>Total net revenue</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29,646</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23,674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Learning &amp; Talent Management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6,816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Unallocated</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w w:val="87"/>
              </w:rPr>
              <w:t>(3,944)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(2,695)</w:t>
            </w:r>
          </w:p>
        </w:tc>
      </w:tr>
      <w:tr>
        <w:trPr>
          <w:trHeight w:val="27"/>
        </w:trPr>
        <w:tc>
          <w:tcPr>
            <w:tcW w:w="4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income from operations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400" w:type="dxa"/>
            <w:vAlign w:val="bottom"/>
          </w:tcPr>
          <w:p>
            <w:pPr>
              <w:spacing w:after="0"/>
              <w:rPr>
                <w:sz w:val="24"/>
                <w:szCs w:val="24"/>
                <w:color w:val="auto"/>
              </w:rPr>
            </w:pPr>
          </w:p>
        </w:tc>
        <w:tc>
          <w:tcPr>
            <w:tcW w:w="2340" w:type="dxa"/>
            <w:vAlign w:val="bottom"/>
            <w:gridSpan w:val="3"/>
          </w:tcPr>
          <w:p>
            <w:pPr>
              <w:ind w:left="1480"/>
              <w:spacing w:after="0"/>
              <w:rPr>
                <w:sz w:val="20"/>
                <w:szCs w:val="20"/>
                <w:color w:val="auto"/>
              </w:rPr>
            </w:pPr>
            <w:r>
              <w:rPr>
                <w:rFonts w:ascii="Arial" w:cs="Arial" w:eastAsia="Arial" w:hAnsi="Arial"/>
                <w:sz w:val="14"/>
                <w:szCs w:val="14"/>
                <w:color w:val="auto"/>
                <w:w w:val="86"/>
              </w:rPr>
              <w:t>March 31, 2013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gridSpan w:val="7"/>
          </w:tcPr>
          <w:p>
            <w:pPr>
              <w:jc w:val="center"/>
              <w:ind w:right="60"/>
              <w:spacing w:after="0"/>
              <w:rPr>
                <w:sz w:val="20"/>
                <w:szCs w:val="20"/>
                <w:color w:val="auto"/>
              </w:rPr>
            </w:pPr>
            <w:r>
              <w:rPr>
                <w:rFonts w:ascii="Arial" w:cs="Arial" w:eastAsia="Arial" w:hAnsi="Arial"/>
                <w:sz w:val="14"/>
                <w:szCs w:val="14"/>
                <w:color w:val="auto"/>
                <w:w w:val="86"/>
              </w:rPr>
              <w:t>December 31, 2012</w:t>
            </w: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Segment assets *</w:t>
            </w:r>
          </w:p>
        </w:tc>
        <w:tc>
          <w:tcPr>
            <w:tcW w:w="1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Learning &amp; Talent Management</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46,693</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23,978</w:t>
            </w:r>
          </w:p>
        </w:tc>
        <w:tc>
          <w:tcPr>
            <w:tcW w:w="100" w:type="dxa"/>
            <w:vAlign w:val="bottom"/>
            <w:shd w:val="clear" w:color="auto" w:fill="CCEEFF"/>
          </w:tcPr>
          <w:p>
            <w:pPr>
              <w:spacing w:after="0"/>
              <w:rPr>
                <w:sz w:val="18"/>
                <w:szCs w:val="18"/>
                <w:color w:val="auto"/>
              </w:rPr>
            </w:pPr>
          </w:p>
        </w:tc>
      </w:tr>
      <w:tr>
        <w:trPr>
          <w:trHeight w:val="223"/>
        </w:trPr>
        <w:tc>
          <w:tcPr>
            <w:tcW w:w="4400" w:type="dxa"/>
            <w:vAlign w:val="bottom"/>
          </w:tcPr>
          <w:p>
            <w:pPr>
              <w:ind w:left="440"/>
              <w:spacing w:after="0"/>
              <w:rPr>
                <w:sz w:val="20"/>
                <w:szCs w:val="20"/>
                <w:color w:val="auto"/>
              </w:rPr>
            </w:pPr>
            <w:r>
              <w:rPr>
                <w:rFonts w:ascii="Arial" w:cs="Arial" w:eastAsia="Arial" w:hAnsi="Arial"/>
                <w:sz w:val="18"/>
                <w:szCs w:val="18"/>
                <w:color w:val="auto"/>
              </w:rPr>
              <w:t>Unallocated</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103,857</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174,528</w:t>
            </w:r>
          </w:p>
        </w:tc>
        <w:tc>
          <w:tcPr>
            <w:tcW w:w="100" w:type="dxa"/>
            <w:vAlign w:val="bottom"/>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4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COLLABORATIVE ARRANGEMENT</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participates in a collaborative arrangement, SimVentures</w:t>
      </w:r>
      <w:r>
        <w:rPr>
          <w:rFonts w:ascii="Arial" w:cs="Arial" w:eastAsia="Arial" w:hAnsi="Arial"/>
          <w:sz w:val="11"/>
          <w:szCs w:val="11"/>
          <w:color w:val="auto"/>
        </w:rPr>
        <w:t>TM</w:t>
      </w:r>
      <w:r>
        <w:rPr>
          <w:rFonts w:ascii="Arial" w:cs="Arial" w:eastAsia="Arial" w:hAnsi="Arial"/>
          <w:sz w:val="18"/>
          <w:szCs w:val="18"/>
          <w:color w:val="auto"/>
        </w:rPr>
        <w:t>, with Laerdal Medical A/S (Laerdal Medical). The Company receives 50 percent of the profits or losses generated from this collaborative arrangement. For the three months ended March 31, 2013, the Company has recorded approximately $0.4 million of revenues and $0.4 million of expenses related to the collaborative arrangement. For the three months ended March 31, 2012, the Company recorded $0.4 million of revenues and $0.5 million of expenses related to the collaborative arrangement. The Company has also recorded approximately $0.3 million of capitalized software development for SimVentures during 2013.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320"/>
        <w:spacing w:after="0" w:line="347"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spacing w:after="0" w:line="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2012, appearing in our Annual Report on Form 10-K that was filed with the Securities and Exchange Commission (“SEC”) on March 1, 2013, (the “2012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evaluating any forward-looking statement, you should specifically consider the information regarding forward-looking statements and the information set forth under the caption “Item 1A. Risk Factors” in our 2012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HealthStream provides Internet-based learning, talent management and research solutions for healthcare organizations—all designed to assess and develop the people that deliver patient care which, in turn, supports the improvement of business and clinical outcomes. Our learning and talent management products are used by healthcare organizations to meet a broad range of their training, certification, assessment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first quarter of 2013 include:</w:t>
      </w:r>
    </w:p>
    <w:p>
      <w:pPr>
        <w:spacing w:after="0" w:line="90" w:lineRule="exact"/>
        <w:rPr>
          <w:sz w:val="20"/>
          <w:szCs w:val="20"/>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Revenues of $29.6 million in the first quarter of 2013, up 25% from revenues of $23.7 million in the first quarter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Operating income of $3.2 million in the first quarter of 2013, up 36% from operating income of $2.3 million in the first quarter of 2012</w:t>
      </w:r>
    </w:p>
    <w:p>
      <w:pPr>
        <w:spacing w:after="0" w:line="90" w:lineRule="exact"/>
        <w:rPr>
          <w:rFonts w:ascii="Arial" w:cs="Arial" w:eastAsia="Arial" w:hAnsi="Arial"/>
          <w:sz w:val="18"/>
          <w:szCs w:val="18"/>
          <w:color w:val="auto"/>
        </w:rPr>
      </w:pPr>
    </w:p>
    <w:p>
      <w:pPr>
        <w:ind w:left="900" w:right="240" w:hanging="325"/>
        <w:spacing w:after="0" w:line="332" w:lineRule="auto"/>
        <w:tabs>
          <w:tab w:leader="none" w:pos="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Net income of $1.9 million in the first quarter of 2013, up 37% from net income of $1.4 million in the first quarter of 2012, and earnings per share (EPS) of $0.07 per share (diluted) in the first quarter of 2013, up from EPS of $0.05 per share (diluted) in the first quarter of 2012</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1"/>
          <w:szCs w:val="11"/>
          <w:color w:val="auto"/>
        </w:rPr>
        <w:t>(1)</w:t>
      </w:r>
      <w:r>
        <w:rPr>
          <w:rFonts w:ascii="Arial" w:cs="Arial" w:eastAsia="Arial" w:hAnsi="Arial"/>
          <w:sz w:val="18"/>
          <w:szCs w:val="18"/>
          <w:color w:val="auto"/>
        </w:rPr>
        <w:t xml:space="preserve"> of $5.4 million in the first quarter of 2013, up 30% from $4.1 million in the first quarter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Annualized revenue per implemented subscriber</w:t>
      </w:r>
      <w:r>
        <w:rPr>
          <w:rFonts w:ascii="Arial" w:cs="Arial" w:eastAsia="Arial" w:hAnsi="Arial"/>
          <w:sz w:val="10"/>
          <w:szCs w:val="10"/>
          <w:color w:val="auto"/>
        </w:rPr>
        <w:t>(2)</w:t>
      </w:r>
      <w:r>
        <w:rPr>
          <w:rFonts w:ascii="Arial" w:cs="Arial" w:eastAsia="Arial" w:hAnsi="Arial"/>
          <w:sz w:val="16"/>
          <w:szCs w:val="16"/>
          <w:color w:val="auto"/>
        </w:rPr>
        <w:t xml:space="preserve"> of $28.47 in the first quarter of 2013, up 16% from $24.65 in the first quarter of 2012</w:t>
      </w:r>
    </w:p>
    <w:p>
      <w:pPr>
        <w:spacing w:after="0" w:line="234" w:lineRule="exact"/>
        <w:rPr>
          <w:rFonts w:ascii="Arial" w:cs="Arial" w:eastAsia="Arial" w:hAnsi="Arial"/>
          <w:sz w:val="16"/>
          <w:szCs w:val="16"/>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Adjusted EBITDA is a non-GAAP financial measure. A reconciliation of adjusted EBITDA to net income is included in this report.</w:t>
      </w:r>
    </w:p>
    <w:p>
      <w:pPr>
        <w:spacing w:after="0" w:line="15" w:lineRule="exact"/>
        <w:rPr>
          <w:rFonts w:ascii="Arial" w:cs="Arial" w:eastAsia="Arial" w:hAnsi="Arial"/>
          <w:sz w:val="18"/>
          <w:szCs w:val="18"/>
          <w:color w:val="auto"/>
        </w:rPr>
      </w:pPr>
    </w:p>
    <w:p>
      <w:pPr>
        <w:ind w:left="460" w:right="160" w:hanging="452"/>
        <w:spacing w:after="0" w:line="261" w:lineRule="auto"/>
        <w:tabs>
          <w:tab w:leader="none" w:pos="263" w:val="left"/>
        </w:tabs>
        <w:numPr>
          <w:ilvl w:val="0"/>
          <w:numId w:val="2"/>
        </w:numPr>
        <w:rPr>
          <w:rFonts w:ascii="Arial" w:cs="Arial" w:eastAsia="Arial" w:hAnsi="Arial"/>
          <w:sz w:val="18"/>
          <w:szCs w:val="18"/>
          <w:color w:val="auto"/>
        </w:rPr>
      </w:pPr>
      <w:r>
        <w:rPr>
          <w:rFonts w:ascii="Arial" w:cs="Arial" w:eastAsia="Arial" w:hAnsi="Arial"/>
          <w:sz w:val="18"/>
          <w:szCs w:val="18"/>
          <w:color w:val="auto"/>
        </w:rPr>
        <w:t>– Annualized revenue per implemented subscriber represents the quarter’s revenue for internet-based subscription products, annualized, then divided by the quarter’s average total implemented subscribers.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171"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2012 Form 10-K, which contains additional information regarding our accounting policies and other disclosures required by US GAAP. There have been no changes in our critical accounting policies and estimates from those reported in our 2012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2013 Compared to Three Months Ended March 31, 2012</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increased approximately $5.9 million, or 25.2%, to $29.6 million for the three months ended March 31, 2013 from $23.7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2012. Revenues for 2013 consisted of $23.1 million, or 78% of total revenue, for HealthStream Learning &amp; Talent Management and $6.5 million, or 22% of total revenue, for HealthStream Research. In 2012, revenues consisted of $17.8 million, or 75% of total revenue, for HealthStream Learning &amp; Talent Management and $5.9 million, or 25% of total revenue, for HealthStream Research.</w:t>
      </w:r>
    </w:p>
    <w:p>
      <w:pPr>
        <w:spacing w:after="0" w:line="11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Revenues for HealthStream Learning &amp; Talent Management increased $5.3 million, or 30.0%, over the first quarter of 2012. Revenues from our Internet-based subscription learning and talent management products increased by $5.1 million, or 31.8%, over the prior year first quarter due to a higher number of subscribers and more courseware consumption by subscribers. Our subscriber base increased to 3.03 million fully-implemented subscribers and 3.17 million contracted subscribers at March 31, 2013 compared to 2.66 million fully-implemented subscribers and 2.79 million contracted subscribers at March 31, 2012. Revenues from SimVentures, our collaborative arrangement with Laerdal Medical, increased by $53,000 and approximated $427,000 during the first quarter of 2013 compared to $374,000 during the first quarter of 2012. Revenues from project-based services decreased by $421,000 compared to the prior year first quarter due to fewer engagements. Revenues for the first quarter of 2012 included approximately $300,000 of registration fees from our customer Summit, while the first quarter of 2013 does not contain any revenues for Summit, which is scheduled for the fourth quarter of 2013.</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HealthStream Research increased $630,000, or 10.7%, over the first quarter of 2012. Revenues from Patient Insights™ surveys, our survey research product that generates recurring revenues, increased by $607,000, or 12.6%, over the prior year first quarter. Revenues from other surveys, which are conducted on annual or bi-annual cycles, increased slightly over the prior year first quarter.</w:t>
      </w:r>
    </w:p>
    <w:p>
      <w:pPr>
        <w:spacing w:after="0" w:line="14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$2.9 million, or 30.8%, to $12.5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2013 from $9.6 million for the three months ended March 31, 2012. Cost of revenues as a percentage of revenues was 42.2% of revenues for the three months ended March 31, 2013 compared to 40.4% of revenues for the three months ended March 31, 2012. Cost of revenues for HealthStream Learning &amp; Talent Management increased approximately $2.2 million to $8.5 million and approximated 36.9% and 35.7% of revenues for HealthStream Learning &amp; Talent Management for the three months ended March 31, 2013 and 2012, respectively. The increase is primarily associated with increased royalties paid by us resulting from growth in courseware subscription revenues and increased personnel costs, but was partially offset by lower costs associated with project-based services. Cost of revenues for HealthStream Research increased approximately $767,000 to $4.0 million and approximated 61.3% and 54.8% of revenues for HealthStream Research for the three months ended March 31, 2013 and 2012, respectively. The increase in both amount and as a percentage of revenue is primarily the result of additional costs associated with the growth in patient survey volume over the prior year first quarter.</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$738,000, or 39.5%, to $2.6 million for the three months ended March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$1.9 million for the three months ended March 31, 2012. Product development expenses as a percentage of revenues were 8.8% and 7.9% of revenues for the three months ended March 31, 2013 and 2012, respectively.</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Product development expenses for HealthStream Learning &amp; Talent Management increased approximately $789,000 and approximated 9.8% and 8.3% of revenues for HealthStream Learning &amp; Talent Management for the three months ended March 31, 2013 and 2012, respectively. The increase is due to additional personnel expenses associated with the maintenance of our platform, as well as working on new product development initiatives. Product development expenses for HealthStream Research decreased approximately $51,000 and approximated 5.3% and 6.7% of revenues for HealthStream Research for the three months ended March 31, 2013 and 2012, respectively.</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$337,000, or 6.1%, to $5.2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2013 from $5.5 million for the three months ended March 31, 2012. The decrease was partially due to the timing of our customer Summit, which was held in the first quarter of 2012, but is scheduled for the fourth quarter of 2013. Sales and marketing expenses for the first quarter of 2012 included approximately $870,000 of expenses associated with Summit. Sales and marketing expenses were 17.5% and 23.4% of revenues for the three months ended March 31, 2013 and 2012, respectively.</w:t>
      </w:r>
    </w:p>
    <w:p>
      <w:pPr>
        <w:sectPr>
          <w:pgSz w:w="11900" w:h="16838" w:orient="portrait"/>
          <w:cols w:equalWidth="0" w:num="1">
            <w:col w:w="11380"/>
          </w:cols>
          <w:pgMar w:left="240" w:top="459" w:right="279" w:bottom="1440" w:gutter="0" w:footer="0" w:header="0"/>
        </w:sectPr>
      </w:pP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80"/>
          </w:cols>
          <w:pgMar w:left="240" w:top="45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and marketing expenses for HealthStream Learning &amp; Talent Management decreased $239,000 and approximated 16.6% and 22.9% of revenues for HealthStream Learning &amp; Talent Management for the three months ended March 31, 2013 and 2012, respectively. This decrease was associated with the timing of our customer Summit, but was partially offset by additional personnel and related expenses and increased commissions associated with higher sales performance compared to the prior year first quarter. Sales and marketing expenses for HealthStream Research decreased approximately $90,000, and approximated 19.4% and 23.0% of revenues for HealthStream Research for the three months ended March 31, 2013 and 2012, respectively. The expense decrease was primarily due to the costs associated with our customer Summit, but was partially offset by increased commissions.</w:t>
      </w:r>
    </w:p>
    <w:p>
      <w:pPr>
        <w:spacing w:after="0" w:line="12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$1.5 million, or 51.5%, to $4.3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2013 from $2.8 million for the three months ended March 31, 2012. Other general and administrative expenses as a percentage of revenues were 14.4% and 11.9% of revenues for the three months ended March 31, 2013 and 2012, respectively.</w:t>
      </w:r>
    </w:p>
    <w:p>
      <w:pPr>
        <w:spacing w:after="0" w:line="10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Other general and administrative expenses for HealthStream Learning &amp; Talent Management increased $368,000 over the prior year first quarter primarily due to additional personnel, rent, and other support costs, while other general and administrative expenses for HealthStream Research decreased $14,000 compared to the prior year first quarter. The unallocated corporate portion of other general and administrative expenses increased $1.1 million over the prior year first quarter, primarily associated with additional personnel, professional fees, recruiting costs, stock based compensation expense, rent, taxes, and other general expenses.</w:t>
      </w:r>
    </w:p>
    <w:p>
      <w:pPr>
        <w:spacing w:after="0" w:line="98"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Depreciation and amortization increased approximately $342,000, or 22.3%, to $1.9 million for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March 31, 2013 from $1.5 million for the three months ended March 31, 2012. The increase primarily resulted from amortization of intangible assets within HealthStream Learning &amp; Talent Management and higher depreciation expense associated with leasehold improvements to our Nashville, Tennessee office space.</w:t>
      </w:r>
    </w:p>
    <w:p>
      <w:pPr>
        <w:spacing w:after="0" w:line="8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net was approximately $47,000 for the three months ended March 31, 2013 compared to $19,000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2012. The improvement is associated with higher interest income from investments in marketable securities.</w:t>
      </w:r>
    </w:p>
    <w:p>
      <w:pPr>
        <w:spacing w:after="0" w:line="13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i w:val="1"/>
          <w:iCs w:val="1"/>
          <w:color w:val="auto"/>
        </w:rPr>
        <w:t xml:space="preserve">Income Tax Provision. </w:t>
      </w:r>
      <w:r>
        <w:rPr>
          <w:rFonts w:ascii="Arial" w:cs="Arial" w:eastAsia="Arial" w:hAnsi="Arial"/>
          <w:sz w:val="15"/>
          <w:szCs w:val="15"/>
          <w:color w:val="auto"/>
        </w:rPr>
        <w:t>The Company recorded a provision for income taxes of $1.3 million for the three months ended March 31, 2013 compared to $940,000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three months ended March 31, 2012. The Company’s effective tax rate was 39.7% for the first quarter of 2013 compared to 39.8% for the first quarter of 2012.</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$520,000, or 36.6%, to $1.9 million for the three months ended March 31, 2013 from $1.4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2012. Earnings per diluted share were $0.07 per share for the three months ended March 31, 2013, compared to $0.05 per diluted share for the three months ended March 31, 2012.</w:t>
      </w:r>
    </w:p>
    <w:p>
      <w:pPr>
        <w:spacing w:after="0" w:line="14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by 30.2% to approximately $5.4 million for the three months ended March 31, 2013 compared to $4.1 million for the three months ended March 31,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compensation; it does not reflect changes in, or cash requirements for, our working capital needs; and due to the Company’s utilization of federal and state net operating loss carryforwards in 2012 and 2013,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8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80"/>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jc w:val="right"/>
              <w:ind w:right="3"/>
              <w:spacing w:after="0" w:line="159" w:lineRule="exact"/>
              <w:rPr>
                <w:sz w:val="20"/>
                <w:szCs w:val="20"/>
                <w:color w:val="auto"/>
              </w:rPr>
            </w:pPr>
            <w:r>
              <w:rPr>
                <w:rFonts w:ascii="Arial" w:cs="Arial" w:eastAsia="Arial" w:hAnsi="Arial"/>
                <w:sz w:val="14"/>
                <w:szCs w:val="14"/>
                <w:color w:val="auto"/>
              </w:rPr>
              <w:t>March 31,</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96"/>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29,646</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29,977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8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8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2,141</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Net cash provided by operating activities was approximately $3.9 million and $3.4 million during the three months ended March 31, 2013 and 2012, respectively. The number of days sales outstanding (DSO) was 59 days for the first quarter of 2013 compared to 63 days for the first quarter of 2012. The Company calculates DSO by dividing the average accounts receivable balance, excluding unbilled and other receivables,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Net cash used in investing activities was approximately $2.0 million and $56.6 million for the three months ended March 31, 2013 and 2012, respectively. During 2013, the Company purchased $29.6 million of marketable securities, spent $1.1 million for capitalized software development, and purchased $744,000 of property and equipment. These uses of cash were partially offset by maturities of marketable securities of $29.5 million. During 2012, the Company purchased $58.4 million of marketable securities, spent $1.0 million for capitalized software development, and purchased $763,000 of property and equipment. These uses of cash were partially offset by maturities of marketable securities of $3.5 million.</w:t>
      </w:r>
    </w:p>
    <w:p>
      <w:pPr>
        <w:spacing w:after="0" w:line="1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Cash provided by financing activities was approximately $742,000 and $596,000 for the three months ended March 31, 2013 and 2012, respectively. The primary source of cash from financing activities for 2013 and 2012 resulted from proceeds associated with the exercise of stock options.</w:t>
      </w:r>
    </w:p>
    <w:p>
      <w:pPr>
        <w:spacing w:after="0" w:line="8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Revenues increased and operating income improved over the prior year period, and our balance sheet reflects positive working capital of $86.0 million at March 31, 2013 compared to $83.3 million at December 31, 2012. The increase in working capital was primarily due to the cash generated from operations and increases in accounts receivable balances. The Company’s primary source of liquidity is $95.6 million of cash and cash equivalents and marketable securities. The Company also has a $20.0 million revolving credit facility loan agreement, all of which was available at March 31, 2013.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eight years, we have utilized our federal and state net operating loss carryforwards to offset taxable income. We anticipate our remaining net operating loss carryforwards will become fully utilized within the next 12 to 24 months. Our actual tax payments may increase significantly once the net operating loss carryforwards are fully utilized. As part of our growth strategy, we review possible acquisitions that complement our products and services. We anticipate that future acquisitions, if any, would be effected through a combination of stock and cash consideration.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March 31, 2013, we believe we were in compliance with all covenants. The credit markets have been experiencing extreme volatility and disruption, and we cannot provide assurances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March 31, 2013,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$95.6 million at March 31, 2013. Assuming a hypothetical 10% decrease in interest rates, interest income from cash and investments would decrease on an annualized basis by approximately $43,000.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580" w:hanging="325"/>
        <w:spacing w:after="0"/>
        <w:tabs>
          <w:tab w:leader="none" w:pos="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rFonts w:ascii="Arial" w:cs="Arial" w:eastAsia="Arial" w:hAnsi="Arial"/>
          <w:sz w:val="18"/>
          <w:szCs w:val="18"/>
          <w:color w:val="auto"/>
        </w:rPr>
      </w:pPr>
    </w:p>
    <w:p>
      <w:pPr>
        <w:ind w:left="580" w:right="1680"/>
        <w:spacing w:after="0" w:line="250" w:lineRule="auto"/>
        <w:rPr>
          <w:rFonts w:ascii="Arial" w:cs="Arial" w:eastAsia="Arial" w:hAnsi="Arial"/>
          <w:sz w:val="18"/>
          <w:szCs w:val="18"/>
          <w:color w:val="auto"/>
        </w:rPr>
      </w:pPr>
      <w:r>
        <w:rPr>
          <w:rFonts w:ascii="Arial" w:cs="Arial" w:eastAsia="Arial" w:hAnsi="Arial"/>
          <w:sz w:val="18"/>
          <w:szCs w:val="18"/>
          <w:color w:val="auto"/>
        </w:rPr>
        <w:t>32.2 – Certification Pursuant to 18 U.S.C. Section 1350, as Adopted Pursuant to Section 906 of the Sarbanes-Oxley Act of 2002 101.1 INS* – XBRL Instance Document</w:t>
      </w:r>
    </w:p>
    <w:p>
      <w:pPr>
        <w:ind w:left="580"/>
        <w:spacing w:after="0"/>
        <w:rPr>
          <w:rFonts w:ascii="Arial" w:cs="Arial" w:eastAsia="Arial" w:hAnsi="Arial"/>
          <w:sz w:val="18"/>
          <w:szCs w:val="18"/>
          <w:color w:val="auto"/>
        </w:rPr>
      </w:pPr>
      <w:r>
        <w:rPr>
          <w:rFonts w:ascii="Arial" w:cs="Arial" w:eastAsia="Arial" w:hAnsi="Arial"/>
          <w:sz w:val="18"/>
          <w:szCs w:val="18"/>
          <w:color w:val="auto"/>
        </w:rPr>
        <w:t>101.1 SCH* – XBRL Taxonomy Extension Schema</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101.1 CAL* – XBRL Taxonomy Extension Calculation Linkbase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101.1 DEF* – XBRL Taxonomy Extension Definition Linkbase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101.1 LAB* – XBRL Taxonomy Extension Label Linkbase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101.1 PRE* – XBRL Taxonomy Extension Presentation Linkbase</w:t>
      </w:r>
    </w:p>
    <w:p>
      <w:pPr>
        <w:spacing w:after="0" w:line="205" w:lineRule="exact"/>
        <w:rPr>
          <w:rFonts w:ascii="Arial" w:cs="Arial" w:eastAsia="Arial" w:hAnsi="Arial"/>
          <w:sz w:val="18"/>
          <w:szCs w:val="18"/>
          <w:color w:val="auto"/>
        </w:rPr>
      </w:pPr>
    </w:p>
    <w:p>
      <w:pPr>
        <w:ind w:left="220" w:hanging="216"/>
        <w:spacing w:after="0" w:line="268" w:lineRule="auto"/>
        <w:rPr>
          <w:rFonts w:ascii="Arial" w:cs="Arial" w:eastAsia="Arial" w:hAnsi="Arial"/>
          <w:sz w:val="18"/>
          <w:szCs w:val="18"/>
          <w:color w:val="auto"/>
        </w:rPr>
      </w:pPr>
      <w:r>
        <w:rPr>
          <w:rFonts w:ascii="Arial" w:cs="Arial" w:eastAsia="Arial" w:hAnsi="Arial"/>
          <w:sz w:val="18"/>
          <w:szCs w:val="18"/>
          <w:color w:val="auto"/>
        </w:rPr>
        <w:t>* - The XBRL-related information in Exhibit No. 101 to this Quarterly Report on Form 10-Q is furnished and not filed for purposes of Sections 11 and 12 of the Securities Act of 1933 and Section 18 of the Securities Exchange Act of 1934.</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8080" w:type="dxa"/>
            <w:vAlign w:val="bottom"/>
            <w:gridSpan w:val="2"/>
          </w:tcPr>
          <w:p>
            <w:pPr>
              <w:ind w:left="2580"/>
              <w:spacing w:after="0"/>
              <w:rPr>
                <w:sz w:val="20"/>
                <w:szCs w:val="20"/>
                <w:color w:val="auto"/>
              </w:rPr>
            </w:pPr>
            <w:r>
              <w:rPr>
                <w:rFonts w:ascii="Arial" w:cs="Arial" w:eastAsia="Arial" w:hAnsi="Arial"/>
                <w:sz w:val="18"/>
                <w:szCs w:val="18"/>
                <w:color w:val="auto"/>
              </w:rPr>
              <w:t>HEALTHSTREAM, INC.</w:t>
            </w:r>
          </w:p>
        </w:tc>
      </w:tr>
      <w:tr>
        <w:trPr>
          <w:trHeight w:val="433"/>
        </w:trPr>
        <w:tc>
          <w:tcPr>
            <w:tcW w:w="3340" w:type="dxa"/>
            <w:vAlign w:val="bottom"/>
          </w:tcPr>
          <w:p>
            <w:pPr>
              <w:spacing w:after="0"/>
              <w:rPr>
                <w:sz w:val="20"/>
                <w:szCs w:val="20"/>
                <w:color w:val="auto"/>
              </w:rPr>
            </w:pPr>
            <w:r>
              <w:rPr>
                <w:rFonts w:ascii="Arial" w:cs="Arial" w:eastAsia="Arial" w:hAnsi="Arial"/>
                <w:sz w:val="18"/>
                <w:szCs w:val="18"/>
                <w:color w:val="auto"/>
              </w:rPr>
              <w:t>April 30, 2013</w:t>
            </w:r>
          </w:p>
        </w:tc>
        <w:tc>
          <w:tcPr>
            <w:tcW w:w="8080" w:type="dxa"/>
            <w:vAlign w:val="bottom"/>
            <w:gridSpan w:val="2"/>
          </w:tcPr>
          <w:p>
            <w:pPr>
              <w:ind w:left="2580"/>
              <w:spacing w:after="0"/>
              <w:rPr>
                <w:sz w:val="20"/>
                <w:szCs w:val="20"/>
                <w:color w:val="auto"/>
              </w:rPr>
            </w:pPr>
            <w:r>
              <w:rPr>
                <w:rFonts w:ascii="Arial" w:cs="Arial" w:eastAsia="Arial" w:hAnsi="Arial"/>
                <w:sz w:val="18"/>
                <w:szCs w:val="18"/>
                <w:color w:val="auto"/>
              </w:rPr>
              <w:t>By: /s/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33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Gerard M. Hayden, Jr.</w:t>
            </w:r>
          </w:p>
        </w:tc>
      </w:tr>
      <w:tr>
        <w:trPr>
          <w:trHeight w:val="222"/>
        </w:trPr>
        <w:tc>
          <w:tcPr>
            <w:tcW w:w="33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340" w:type="dxa"/>
            <w:vAlign w:val="bottom"/>
          </w:tcPr>
          <w:p>
            <w:pPr>
              <w:spacing w:after="0"/>
              <w:rPr>
                <w:sz w:val="24"/>
                <w:szCs w:val="24"/>
                <w:color w:val="auto"/>
              </w:rPr>
            </w:pPr>
          </w:p>
        </w:tc>
        <w:tc>
          <w:tcPr>
            <w:tcW w:w="2840" w:type="dxa"/>
            <w:vAlign w:val="bottom"/>
          </w:tcPr>
          <w:p>
            <w:pPr>
              <w:jc w:val="right"/>
              <w:ind w:right="292"/>
              <w:spacing w:after="0"/>
              <w:rPr>
                <w:sz w:val="20"/>
                <w:szCs w:val="20"/>
                <w:color w:val="auto"/>
              </w:rPr>
            </w:pPr>
            <w:r>
              <w:rPr>
                <w:rFonts w:ascii="Arial" w:cs="Arial" w:eastAsia="Arial" w:hAnsi="Arial"/>
                <w:sz w:val="18"/>
                <w:szCs w:val="18"/>
                <w:color w:val="auto"/>
              </w:rPr>
              <w:t>15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740" w:type="dxa"/>
            <w:vAlign w:val="bottom"/>
          </w:tcPr>
          <w:p>
            <w:pPr>
              <w:ind w:left="3640"/>
              <w:spacing w:after="0"/>
              <w:rPr>
                <w:sz w:val="20"/>
                <w:szCs w:val="20"/>
                <w:color w:val="auto"/>
              </w:rPr>
            </w:pPr>
            <w:r>
              <w:rPr>
                <w:rFonts w:ascii="Arial" w:cs="Arial" w:eastAsia="Arial" w:hAnsi="Arial"/>
                <w:sz w:val="18"/>
                <w:szCs w:val="18"/>
                <w:b w:val="1"/>
                <w:bCs w:val="1"/>
                <w:color w:val="auto"/>
              </w:rPr>
              <w:t>HEALTHSTREAM, INC.</w:t>
            </w:r>
          </w:p>
        </w:tc>
      </w:tr>
      <w:tr>
        <w:trPr>
          <w:trHeight w:val="297"/>
        </w:trPr>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740" w:type="dxa"/>
            <w:vAlign w:val="bottom"/>
          </w:tcPr>
          <w:p>
            <w:pPr>
              <w:ind w:left="39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42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8740" w:type="dxa"/>
            <w:vAlign w:val="bottom"/>
          </w:tcPr>
          <w:p>
            <w:pPr>
              <w:ind w:left="22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INS*</w:t>
            </w:r>
          </w:p>
        </w:tc>
        <w:tc>
          <w:tcPr>
            <w:tcW w:w="87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 SCH*</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CAL*</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DEF*</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 LAB*</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w w:val="88"/>
              </w:rPr>
              <w:t>101.1</w:t>
            </w:r>
          </w:p>
        </w:tc>
        <w:tc>
          <w:tcPr>
            <w:tcW w:w="680" w:type="dxa"/>
            <w:vAlign w:val="bottom"/>
          </w:tcPr>
          <w:p>
            <w:pPr>
              <w:ind w:left="20"/>
              <w:spacing w:after="0"/>
              <w:rPr>
                <w:sz w:val="20"/>
                <w:szCs w:val="20"/>
                <w:color w:val="auto"/>
              </w:rPr>
            </w:pPr>
            <w:r>
              <w:rPr>
                <w:rFonts w:ascii="Arial" w:cs="Arial" w:eastAsia="Arial" w:hAnsi="Arial"/>
                <w:sz w:val="18"/>
                <w:szCs w:val="18"/>
                <w:color w:val="auto"/>
              </w:rPr>
              <w:t>PRE*</w:t>
            </w:r>
          </w:p>
        </w:tc>
        <w:tc>
          <w:tcPr>
            <w:tcW w:w="87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220" w:hanging="212"/>
        <w:spacing w:after="0" w:line="268" w:lineRule="auto"/>
        <w:tabs>
          <w:tab w:leader="none" w:pos="13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XBRL-related information in Exhibit No. 101 to this Quarterly Report on Form 10-Q is furnished and not filed for purposes of Sections 11 and 12 of the Securities Act of 1933 and Section 18 of the Securities Exchange Act of 1934.</w:t>
      </w:r>
    </w:p>
    <w:p>
      <w:pPr>
        <w:sectPr>
          <w:pgSz w:w="11900" w:h="16838" w:orient="portrait"/>
          <w:cols w:equalWidth="0" w:num="1">
            <w:col w:w="11260"/>
          </w:cols>
          <w:pgMar w:left="240" w:top="459" w:right="39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u w:val="single" w:color="auto"/>
          <w:color w:val="auto"/>
        </w:rPr>
        <w:t>Exhibit 31.1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7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April 30,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Robert A. Frist, Jr.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7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April 30, 2013</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ERARD</w:t>
      </w:r>
      <w:r>
        <w:rPr>
          <w:rFonts w:ascii="Arial" w:cs="Arial" w:eastAsia="Arial" w:hAnsi="Arial"/>
          <w:sz w:val="16"/>
          <w:szCs w:val="16"/>
          <w:color w:val="auto"/>
        </w:rPr>
        <w:t xml:space="preserve"> M. H</w:t>
      </w:r>
      <w:r>
        <w:rPr>
          <w:rFonts w:ascii="Arial" w:cs="Arial" w:eastAsia="Arial" w:hAnsi="Arial"/>
          <w:sz w:val="13"/>
          <w:szCs w:val="13"/>
          <w:color w:val="auto"/>
        </w:rPr>
        <w:t>AYDEN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20" w:name="page21"/>
    <w:bookmarkEnd w:id="20"/>
    <w:p>
      <w:pPr>
        <w:ind w:left="5280"/>
        <w:spacing w:after="0"/>
        <w:rPr>
          <w:sz w:val="20"/>
          <w:szCs w:val="20"/>
          <w:color w:val="auto"/>
        </w:rPr>
      </w:pPr>
      <w:r>
        <w:rPr>
          <w:rFonts w:ascii="Arial" w:cs="Arial" w:eastAsia="Arial" w:hAnsi="Arial"/>
          <w:sz w:val="18"/>
          <w:szCs w:val="18"/>
          <w:u w:val="single" w:color="auto"/>
          <w:color w:val="auto"/>
        </w:rPr>
        <w:t>Exhibit 32.1</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2013,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ROBERT A</w:t>
      </w:r>
      <w:r>
        <w:rPr>
          <w:rFonts w:ascii="Arial" w:cs="Arial" w:eastAsia="Arial" w:hAnsi="Arial"/>
          <w:sz w:val="18"/>
          <w:szCs w:val="18"/>
          <w:color w:val="auto"/>
        </w:rPr>
        <w:t xml:space="preserve">. </w:t>
      </w:r>
      <w:r>
        <w:rPr>
          <w:rFonts w:ascii="Arial" w:cs="Arial" w:eastAsia="Arial" w:hAnsi="Arial"/>
          <w:sz w:val="14"/>
          <w:szCs w:val="14"/>
          <w:color w:val="auto"/>
        </w:rPr>
        <w:t>FRIST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p>
      <w:pPr>
        <w:sectPr>
          <w:pgSz w:w="11900" w:h="16838" w:orient="portrait"/>
          <w:cols w:equalWidth="0" w:num="1">
            <w:col w:w="11320"/>
          </w:cols>
          <w:pgMar w:left="240" w:top="131" w:right="339" w:bottom="1440" w:gutter="0" w:footer="0" w:header="0"/>
        </w:sectPr>
      </w:pPr>
    </w:p>
    <w:bookmarkStart w:id="21" w:name="page22"/>
    <w:bookmarkEnd w:id="21"/>
    <w:p>
      <w:pPr>
        <w:ind w:left="5280"/>
        <w:spacing w:after="0"/>
        <w:rPr>
          <w:sz w:val="20"/>
          <w:szCs w:val="20"/>
          <w:color w:val="auto"/>
        </w:rPr>
      </w:pPr>
      <w:r>
        <w:rPr>
          <w:rFonts w:ascii="Arial" w:cs="Arial" w:eastAsia="Arial" w:hAnsi="Arial"/>
          <w:sz w:val="18"/>
          <w:szCs w:val="18"/>
          <w:u w:val="single" w:color="auto"/>
          <w:color w:val="auto"/>
        </w:rPr>
        <w:t>Exhibit 32.2</w:t>
      </w:r>
    </w:p>
    <w:p>
      <w:pPr>
        <w:spacing w:after="0" w:line="16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2013,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2013</w:t>
      </w:r>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2)"/>
      <w:numFmt w:val="low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2019-12-06T22:40:29Z</dcterms:created>
  <dcterms:modified xsi:type="dcterms:W3CDTF">2019-12-06T22:40:29Z</dcterms:modified>
</cp:coreProperties>
</file>