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March 31, 2024</w:t>
      </w:r>
    </w:p>
    <w:p>
      <w:pPr>
        <w:spacing w:after="0" w:line="225" w:lineRule="exact"/>
        <w:rPr>
          <w:sz w:val="24"/>
          <w:szCs w:val="24"/>
          <w:color w:val="auto"/>
        </w:rPr>
      </w:pPr>
    </w:p>
    <w:p>
      <w:pPr>
        <w:ind w:left="4380" w:right="4060" w:hanging="4372"/>
        <w:spacing w:after="0" w:line="512" w:lineRule="auto"/>
        <w:tabs>
          <w:tab w:leader="none" w:pos="368"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No.: 000-27701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gridSpan w:val="8"/>
          </w:tcPr>
          <w:p>
            <w:pPr>
              <w:jc w:val="center"/>
              <w:ind w:left="65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22, 2024, there were 30,397,886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3"/>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69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March 31, 2024 and December 31, 2023</w:t>
            </w:r>
          </w:p>
        </w:tc>
        <w:tc>
          <w:tcPr>
            <w:tcW w:w="23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(Unaudited) – Three Months ended March 31, 2024 and 2023</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(Unaudited) – Three Months ended March 31, 2024 and 2023</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r>
      <w:tr>
        <w:trPr>
          <w:trHeight w:val="250"/>
        </w:trPr>
        <w:tc>
          <w:tcPr>
            <w:tcW w:w="940" w:type="dxa"/>
            <w:vAlign w:val="bottom"/>
          </w:tcPr>
          <w:p>
            <w:pPr>
              <w:spacing w:after="0"/>
              <w:rPr>
                <w:sz w:val="21"/>
                <w:szCs w:val="21"/>
                <w:color w:val="auto"/>
              </w:rPr>
            </w:pPr>
          </w:p>
        </w:tc>
        <w:tc>
          <w:tcPr>
            <w:tcW w:w="87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 of Shareholders' Equity (Unaudited) – Three Months ended March 31, 2024 and 2023</w:t>
            </w:r>
          </w:p>
        </w:tc>
        <w:tc>
          <w:tcPr>
            <w:tcW w:w="28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82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Three Months ended March 31, 2024 and 2023</w:t>
            </w:r>
          </w:p>
        </w:tc>
        <w:tc>
          <w:tcPr>
            <w:tcW w:w="110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12</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SIGNATURE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8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40,333</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30,800</w:t>
            </w:r>
          </w:p>
        </w:tc>
      </w:tr>
      <w:tr>
        <w:trPr>
          <w:trHeight w:val="18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$901 and $781 at March 31, 2024 and December 31,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2023,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34,346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 unbilled</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4,100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royalties, net of amortization</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10,202</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software maintenance and subscriptions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7,397</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130,210</w:t>
            </w:r>
          </w:p>
        </w:tc>
      </w:tr>
      <w:tr>
        <w:trPr>
          <w:trHeight w:val="203"/>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$20,459 and $19,503 at March 31, 2024 and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13,005</w:t>
            </w:r>
          </w:p>
        </w:tc>
      </w:tr>
      <w:tr>
        <w:trPr>
          <w:trHeight w:val="19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software development, net of accumulated amortization of $132,960 and $127,009 at March 31, 2024 and</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40,643</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20,114</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191,379</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Customer-related intangibles, net of accumulated amortization of $59,128 and $57,095 at March 31, 2024 and December</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 2023, respectively</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52,511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54,742</w:t>
            </w:r>
          </w:p>
        </w:tc>
      </w:tr>
      <w:tr>
        <w:trPr>
          <w:trHeight w:val="19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 of accumulated amortization of $15,750 and $16,603 at March 31, 2024 and December 31,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13,289</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Deferred commissions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31,700</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Non-marketable equity investments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4,134</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511,605</w:t>
            </w: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499,942</w:t>
            </w:r>
          </w:p>
        </w:tc>
      </w:tr>
      <w:tr>
        <w:trPr>
          <w:trHeight w:val="183"/>
        </w:trPr>
        <w:tc>
          <w:tcPr>
            <w:tcW w:w="8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7,465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22,717</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royalties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4,556</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83,623</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118,361</w:t>
            </w:r>
          </w:p>
        </w:tc>
      </w:t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16,132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2,169</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20,247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2,281</w:t>
            </w:r>
          </w:p>
        </w:tc>
      </w:tr>
      <w:tr>
        <w:trPr>
          <w:trHeight w:val="203"/>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no par value, 75,000 shares authorized; 30,398 and 30,298 shares issued and outstanding at March</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31, 2024 and December 31, 2023,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249,075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92,368</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(691)</w:t>
            </w:r>
          </w:p>
        </w:tc>
      </w:tr>
      <w:tr>
        <w:trPr>
          <w:trHeight w:val="196"/>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344,854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340,752</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499,942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68,946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8,865</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66,055</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30,418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30,659</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416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0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16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18"/>
                <w:szCs w:val="18"/>
                <w:color w:val="auto"/>
              </w:rPr>
            </w:pPr>
          </w:p>
        </w:tc>
      </w:tr>
      <w:tr>
        <w:trPr>
          <w:trHeight w:val="209"/>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49"/>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8"/>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76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30,298</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249,075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92,368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(691)</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340,752</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5,227</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5,227</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(481)</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($0.028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1,060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under stock plans, net of shares withheld for</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employee taxes</w:t>
            </w: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96,746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344,854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76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30,579</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254,832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80,213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(981)</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334,064</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2,623</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($0.025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945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under stock plans, net of shares withheld for</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(791)</w:t>
            </w:r>
          </w:p>
        </w:tc>
        <w:tc>
          <w:tcPr>
            <w:tcW w:w="16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taxes</w:t>
            </w: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82,069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(1,016)</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336,039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20,541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(16,916)</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 provides primarily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As used in this Quarterly Report on Form 10-Q (“Form 10-Q”), “HealthStream,” “Company,” “we,” “us,” and “our” mean HealthStream, Inc. and its subsidiaries, unless the context indicates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2024 are not necessarily indicative of the results that may be expected for the year ending December 31,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2023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2023 (included in the Company's Annual Report on Form 10-K, filed with the Securities and Exchange Commission on February 26,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The new guidance requires disclosures of significant reportable segment expenses that are regularly provided to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decision maker and other segment items on an interim and annual basis. Entities with a single reportable segment will also be required to apply the disclosure requirements in Accounting Standards Update ("ASU") 2023-07 on an interim and annual basis. ASU 2023-07 will be effective for the Company for annual periods beginning after December 15, 2023 and interim periods within fiscal years beginning after December 15, 2024. The Company is currently evaluating the impact of adopting ASU 2023-07.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SALES COMMISSIONS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in exchange for transferring those goods or services. Revenue is recognized based on the following five step model:</w:t>
      </w:r>
    </w:p>
    <w:p>
      <w:pPr>
        <w:spacing w:after="0" w:line="207" w:lineRule="exact"/>
        <w:rPr>
          <w:sz w:val="20"/>
          <w:szCs w:val="20"/>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70,205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both the three months ended March 31, 2024 and 2023, the Company recognized $0.2 million in impairment losses on receivables and contract assets arising from the Company's contracts with customers.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revenues of $40.0 million and $39.1 million, respectively, from amounts included in deferred revenue at the beginning of the respective periods. As of March 31, 2024, approximately $514 million of revenue is expected to be recognized from remaining performance obligations under contracts with customers. The Company expects to recognize revenue related to approximately 44% of these remaining performance obligations over the next 12 months, with the remaining amounts recognized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earned by the Company's sales employees are considered incremental and recoverable costs of obtaining a contract with a customer. The Company recorded amortization of deferred commissions of $3.0 million and $2.7 million for the three months ended March 31, 2024 and 2023, respectively, which is included in sales and marketing expenses in the accompanying Condensed Consolidated Statements of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March 31, 2024 and 2023, the Company recorded a provision for income taxes of approximately $1.3 million and $0.5 million,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tax rate was 20% and 16% for the three months ended March 31, 2024 and 2023, respectively. The Company’s effective tax rate primarily reflects the statutory corporate income tax rate, the net effect of state taxes, foreign income taxes, the effect of various permanent tax differences, and recognition of discrete tax items. The Company recognizes excess tax benefits and tax deficiencies associated with stock-based awards as a component of its provision for income taxes. During the three months ended March 31, 2024, the Company recorded discrete tax benefits of $17,000, which consisted primarily of a $129,000 tax benefit associated with stock-based awards, partially offset by $112,000 of discrete tax expense related to reserves for uncertain tax positions. During the three months ended March 31, 2023, the Company recorded discrete tax benefits of $53,000, which consisted primarily of a $133,000 tax benefit associated with stock-based awards. This tax benefit was partially offset by $80,000 of discrete tax expense related to reserves for uncertain tax positions.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Company's Board of Directors (“Board”) declared the following quarterly dividend under its dividend policy: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Dividend Declaration Date</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100" w:type="dxa"/>
            <w:vAlign w:val="bottom"/>
          </w:tcPr>
          <w:p>
            <w:pPr>
              <w:spacing w:after="0"/>
              <w:rPr>
                <w:sz w:val="20"/>
                <w:szCs w:val="20"/>
                <w:color w:val="auto"/>
              </w:rPr>
            </w:pPr>
          </w:p>
        </w:tc>
      </w:tr>
      <w:tr>
        <w:trPr>
          <w:trHeight w:val="22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February 19, 2024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0.028</w:t>
            </w:r>
          </w:p>
        </w:tc>
        <w:tc>
          <w:tcPr>
            <w:tcW w:w="1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11, 2024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849,000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on April 22, 2024, the Board declared a quarterly cash dividend of $0.028 per share, payable on May 17, 2024 to holders of record on May 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stock awards outstanding under its 2016 Omnibus Incentive Plan and 2022 Omnibus Incentive Plan. The Company accounts for its stock-based compensation plans using the fair-value based method for costs related to share-based payments, including restricted share units (“RSUs”) and stock options. During the three months ended March 31, 2024, the Company issued 45,640 RSUs subject to service-based time vesting, with a weighted average grant date fair value of $26.79 per share, measured based on the closing fair market value of the Company's stock on the date of the grant. During the three months ended March 31, 2023, the Company issued 45,907 RSUs subject to service-based time vesting, with a weighted average grant date fair value of $26.25 per share, measured based on the closing fair market value of the Company’s stock on the date of grant.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the Company granted 138,000 performance-based RSUs, the vesting of which occurs over a five-year period and is contingent upon continued service and achieving certain performance criteria established by the compensation committee of the Board (the “Compensation Committee”) on an annual basis in increments of 15%, 20%, 20%, 20%, and 25% based on performance in 2023, 2024, 2025, 2026, and 2027, respectively. The performance criteria for the second-year tranche, or 27,600 of these performance-based RSUs, is based on 2024 adjusted EBITDA. The measurement date for these 27,600 performance-based RSUs was established during the three months ended March 31, 2024 with a weighted average grant date fair value of $26.79 per share, measured based on the closing fair market value of the Company's stock on the date the performance criteria was established. The performance criteria for the remaining 89,700 performance-based RSUs has not yet been determined and will be established on an annual basis in 2025, 2026, and 2027, as applicable; therefore, the measurement date for these remaining 89,700 performance-based RSUs cannot be determined until the performance criteria have been established.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the Company approved the grant of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2022, 2023, 2024, 2025, and 2026, respectively. The performance criteria and measurement date for the third-year tranche, or 18,211 of these performance-based RSUs, is based on 2024 adjusted EBITDA and was established during the three months ended March 31, 2024 with a grant date fair value of $26.79 per share, measured based on the closing fair market value of the Company's stock on the date the performance criteria was established. The performance criteria for the remaining 40,967 performance-based RSUs has not yet been determined and will be established on an annual basis in 2025 and 2026, as applicable; therefore, the measurement date for these remaining 40,967 performance-based RSUs cannot be determined until the performance criteria have been established.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2023, the Company announced that the Board authorized a share repurchase program to repurchase up to $10.0 million of the Company's outstanding shares of common stock. The share repurchase program expired according to its terms on March 31, 2024. Under this program, the Company repurchased a total of 404,188 shares at an aggregate fair value of $8.9 million, reflecting an average price per share of $22.07 (excluding the cost of broker commissions). No repurchases occurred under this program during the three months ended March 31, 2024</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176,000 and 268,000 for the three months ended March 31,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30,659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5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31,261</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31,265</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31,261</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fair value based on quoted market prices or alternative pricing sources and models utilizing market observable inputs. As of March 31, 2024, the Company did not recognize any allowance for credit impairments on its available for sale securities. All investments in marketable securities are classified as current assets on the Condensed Consolidated Balance Sheets because the underlying securities mature within one year from the balance sheet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2023, the Company entered into an Amended and Restated Revolving Credit Agreement ("Revolving Credit Facility"), amending the Revolving Credit Facility dated as of November 24, 2014, as amended, with certain lenders party thereto from time to time, and Truist, as Administrative Agent for the lenders. Under the Revolving Credit Facility, the Company may 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October 6, 2026.</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 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(2)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is payable in full at maturity on October 6, 2026,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Amended and Restated Revolving Credit Agreement), and for stock repurchase and/or redemption transactions that the Company may authorize.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required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was in compliance with all covenants. There were no balances outstanding on the Revolving Credit Facility as of or during the three months ended March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Cautionary Notice Regarding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2023, appearing in our Annual Report on Form 10-K that was filed with the Securities and Exchange Commission (“SEC”) on February 26, 2024 (the “2023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set forth above and the risks set forth under the caption Part I, Item 1A. Risk Factors in our 2023 Form 10-K and other disclosures in our 2023 Form 10-K, earnings releases, and other filings with the SEC from time to time, as well as other cautionary statements contained elsewhere in this Form 10-Q, including our critical accounting policies and estimates as discussed in this Form 10-Q and our 2023 Form 10-K. We undertake no obligation to update or revise any forward-looking statements. You should read this Form 10-Q and the documents that we reference in this Form 10-Q and have filed as exhibits to this Form 10-Q completely and with the understanding that our actual future results may be materially different from what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first quarter of 2024 are set forth in the bullets below.</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$72.8 million in the first quarter of 2024, up 6% from $68.9 million in the first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$5.7 million in the first quarter of 2024, up 97% from $2.9 million in the first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$5.2 million in the first quarter of 2024, up 99% from $2.6 million in the first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of $0.17 per share (diluted) in the first quarter of 2024, up from $0.09 per share (diluted) in the first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$17.1 million in the first quarter of 2024, up 24% from $13.7 million in the first quarter of 2023</w:t>
      </w:r>
    </w:p>
    <w:p>
      <w:pPr>
        <w:spacing w:after="0" w:line="138" w:lineRule="exact"/>
        <w:rPr>
          <w:sz w:val="20"/>
          <w:szCs w:val="20"/>
          <w:color w:val="auto"/>
        </w:rPr>
      </w:pPr>
    </w:p>
    <w:p>
      <w:pPr>
        <w:ind w:left="220" w:hanging="212"/>
        <w:spacing w:after="0" w:line="200" w:lineRule="auto"/>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a non-GAAP financial measure. A reconciliation of adjusted EBITDA to net income and disclosure regarding why we believe adjusted EBITDA provides useful information to investors is included later in this Form 10-Q.</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conditions in the U.S. continue to be challenging in various respects, including as the result of ongoing inflationary pressures, elevated interest rate levels, challenging labor market conditions, and uncertain geopolitical conditions. In this regard, we have experienced in certain recent periods, and believe that many of our customers have experienced, increased labor, supply chain, capital, and other expenditures associated with current inflationary pressures. These conditions impacting the U.S. economy and our customers in the healthcare industry have adversely affected, and may continue to adversely impact, our business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COVID-19 pandemic continues to cause some level of uncertainty, the impact of the pandemic itself on public health and economic conditions has significantly lessened and normalized to the point of reaching an endemic stage. As our business is focused on providing solutions to healthcare organizations, we continue to closely monitor any developments related to COVID-19 and remain prepared to modify our operating approaches to address COVID 19-related developments or other public health related events as they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financial metrics in connection with managing our business.</w:t>
      </w:r>
    </w:p>
    <w:p>
      <w:pPr>
        <w:spacing w:after="0" w:line="223" w:lineRule="exact"/>
        <w:rPr>
          <w:sz w:val="20"/>
          <w:szCs w:val="20"/>
          <w:color w:val="auto"/>
        </w:rPr>
      </w:pPr>
    </w:p>
    <w:p>
      <w:pPr>
        <w:jc w:val="both"/>
        <w:ind w:left="420" w:hanging="210"/>
        <w:spacing w:after="0" w:line="258"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and, for businesses acquired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adoption of ASU 2021-08 on January 1, 2022, reflects deferred revenue write-downs associated with fair value accounting for such acquired businesses. Revenues, net, were $72.8 million for the three months ended March 31, 2024, compared to $68.9 million for the three months ended March 31, 2023. Management utilizes revenue in connection with managing our business and believes that this metric provides useful information to investors as a key indicator of the growth and success of our products.</w:t>
      </w:r>
    </w:p>
    <w:p>
      <w:pPr>
        <w:spacing w:after="0" w:line="183" w:lineRule="exact"/>
        <w:rPr>
          <w:rFonts w:ascii="Times New Roman" w:cs="Times New Roman" w:eastAsia="Times New Roman" w:hAnsi="Times New Roman"/>
          <w:sz w:val="18"/>
          <w:szCs w:val="18"/>
          <w:color w:val="auto"/>
        </w:rPr>
      </w:pPr>
    </w:p>
    <w:p>
      <w:pPr>
        <w:jc w:val="both"/>
        <w:ind w:left="420" w:hanging="210"/>
        <w:spacing w:after="0" w:line="256"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on the achievement of adjusted EBITDA (as defined in applicable bonus and equity grant documentation) targets. Adjusted EBITDA was $17.1 million for the three months ended March 31, 2024, compared to $13.7 million for the three months ended March 31, 2023.</w:t>
      </w:r>
    </w:p>
    <w:p>
      <w:pPr>
        <w:spacing w:after="0" w:line="182" w:lineRule="exact"/>
        <w:rPr>
          <w:rFonts w:ascii="Times New Roman" w:cs="Times New Roman" w:eastAsia="Times New Roman" w:hAnsi="Times New Roman"/>
          <w:sz w:val="18"/>
          <w:szCs w:val="18"/>
          <w:color w:val="auto"/>
        </w:rPr>
      </w:pPr>
    </w:p>
    <w:p>
      <w:pPr>
        <w:jc w:val="both"/>
        <w:ind w:left="420" w:hanging="210"/>
        <w:spacing w:after="0" w:line="258"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$7.8 million for the three months ended March 31, 2024 compared to $8.4 million for the three months ended March 31, 2023.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83" w:lineRule="exact"/>
        <w:rPr>
          <w:rFonts w:ascii="Times New Roman" w:cs="Times New Roman" w:eastAsia="Times New Roman" w:hAnsi="Times New Roman"/>
          <w:sz w:val="18"/>
          <w:szCs w:val="18"/>
          <w:color w:val="auto"/>
        </w:rPr>
      </w:pPr>
    </w:p>
    <w:p>
      <w:pPr>
        <w:jc w:val="both"/>
        <w:ind w:left="420" w:hanging="210"/>
        <w:spacing w:after="0" w:line="26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represents revenues, net less all expenses. Net income was $5.2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$2.6 million for the three months ended March 31, 2023. Management utilizes net income in connection with managing our business, including with regard to our capital deployment strategies.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162" w:lineRule="exact"/>
        <w:rPr>
          <w:sz w:val="20"/>
          <w:szCs w:val="20"/>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2023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2023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$3.8 million, or 6%, to $72.8 million for the three months ended March 31, 2024 from $68.9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Subscription revenues increased $4.2 million, or 6%, but were partially offset by $0.4 million of declines from professional services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70,205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66,015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2,555</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2,931</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72,760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68,946</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$0.7 million, or 3%, to $24.6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from $23.9 million for the three months ended March 31, 2023. Cost of revenues as a percentage of revenues were 34% and 35% for the three months ended March 31, 2024 and 2023, respectively. The increase in expense is primarily associated with higher costs for cloud hosting, royalties, and software, which were partially offset by a reduction in labor costs. Labor costs recognized during the three months ended March 31, 2023 included severance costs incurred in connection with the Company's previously disclosed restructuring under a single platform strategy.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$0.3 million, or 3%, to $12.0 million for the three months ended March 31,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$11.7 million for the three months ended March 31, 2023. Product development expenses as a percentage of revenues were 17% for both the three months ended March 31, 2024 and 2023. The increase in expense is primarily due to an increase in labor costs, partially offset by an increase in labor capitalized for internally developed software.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$45,000 to $11.8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$11.7 million for the three months ended March 31, 2023. Sales and marketing expenses were 16% and 17% of revenues for the three months ended March 31, 2024 and 2023, respectively. The increase in expense is primarily due to increases in general marketing expenses, travel expenses, and commissions, which were partially offset by a decrease in labor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$0.6 million, or 6%, to $8.3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from $8.9 million for the three months ended March 31, 2023. Other general and administrative expenses were 11% and 13% of revenues for the three months ended March 31, 2024 and 2023, respectively. The decrease is primarily due to lower labor costs and professional service fees, which were partially offset by higher software expenses.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$0.4 million, or 4%, to $10.3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from $9.9 million for the three months ended March 31, 2023. This increase is primarily a result of an increase in amortization associated with capitalized software.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$0.9 million for the three months ended March 31, 2024, compared to $0.3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The increase is primarily the result of an increase in interest income earned on cash and investments during the three months ended March 31, 2024.</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$1.3 million for the three months ended March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$0.5 million for the three months ended March 31, 2023. The Company’s effective tax rate was 20% for the three months ended March 31, 2024, compared to 16% for the three months ended March 31, 2023. The Company’s effective tax rate primarily reflects the statutory corporate income tax rate, the net effect of state taxes, foreign income taxes, the effect of various permanent tax differences, and recognition of discrete tax items. During the three months ended March 31, 2024, the Company recorded discrete tax benefits of $17,000, which consisted primarily of a $129,000 tax benefit associated with stock-based awards, partially offset by $112,000 of discrete tax expense related to reserves for uncertain tax positions. During the three months ended March 31, 2023, the Company recorded discrete tax benefits of $53,000, which consisted primarily of a $133,000 tax benefit associated with stock-based awards. This tax benefit was partially offset by $80,000 of discrete tax expense related to uncertain tax positions.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$5.2 million and $2.6 million for the three months ended March 31, 2024 and 2023, respectively. EPS was $0.17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$0.09 per share (diluted) for the three months ended March 31, 2024 and 2023,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$17.1 million for the three months ended March 31, 2024, compared to $13.7 million for the three months ended March 31, 2023.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10-Q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In addition, as discussed below, for periods ended on or prior to December 31, 2023, adjusted EBITDA excludes the impact of deferred revenue write-downs associated with fair value accounting for acquired businesses.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In connection therewith, management determined that including an adjustment in the definition of adjusted EBITDA for the impact of the deferred revenue write-downs associated with fair value accounting for businesses acquired prior to the January 1, 2022 effective date of the Company's adoption of ASU 2021-08 (the “Pre-2022 Acquisitions”) provided useful information to investors because the deferred revenue write-down recognized in periods after any such Pre-2022 Acquisition could, given the nature of this non-cash accounting impact, cause our GAAP financial results during such periods to not fully reflect our underlying operating performance. Following the adoption of ASU 2021-08, contracts acquired in an acquisition completed on or after January 1, 2022 have been measured as if the Company had originated the contract (rather than the contract being measured at fair value) such that, for such acquisitions, the Company no longer records deferred revenue write-downs associated with acquired businesses. With respect to periods ended on or prior to December 31, 2023, the Company has included an adjustment in the calculation of adjusted EBITDA for the impact of deferred revenue write-downs associated with the Pre-2022 Acquisitions consistent with this prior accounting standard, given the ongoing impact of such deferred revenue on the Company's financial results under GAAP over this time period. With respect to periods beginning on or after January 1, 2024, the Company is no longer recognizing any deferred revenue write-downs associated with the Pre-2022 Acquisitions under GAAP, and accordingly such deferred revenue write-downs are no longer an adjustment in connection with the calculation of adjusted EBITDA for periods beginning on and after January 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9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write-down</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17,059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9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by $0.4 million to $20.9 million during the three months ended March 31, 2024, from $20.5 million during the three months ended March 31, 2023. The increase in net cash provided by operating activities is primarily due to higher cash collections compared to the prior year period. Our days sales outstanding ("DSO") was 46 days for the first quarter of 2024 compared to 51 days for the first quarter of 2023.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$7.1 million for the three months ended March 31, 2024, compared to $16.9 million for the three months ended March 31, 2023. During the three months ended March 31, 2024, the Company invested in marketable securities of $14.1 million, made payments for capitalized software development of $7.0 million, and purchased property and equipment of $0.7 million. These uses of cash were partially offset by $14.0 million in maturities of marketable securities and $0.8 million received upon the settlement and release of escrowed proceeds related to a prior sale of a non-marketable equity investment. During the three months ended March 31, 2023, the Company spent $6.6 million for the acquisition of substantially all of the assets of Electronic Education Documentation System, LLC ("eeds") (note: the eeds acquisition was consummated on December 31, 2022, but was funded in January 2023 such that the purchase price for eeds impacted net cash used in investing activities during the three months ended March 31, 2023), invested in marketable securities of $2.9 million, made payments for capitalized software development of $7.6 million, and purchased property and equipment of $0.9 million. These uses of cash were partially offset by $1.0 million in maturities of marketable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$1.7 million for the three months ended March 31, 2024, compared to $0.8 million for the three months ended March 31, 2023. The uses of cash for the three months ended March 31, 2024 included $0.8 million for the payment of cash dividends and $0.9 million for the payment of employee payroll taxes in relation to the vesting of restricted share units. The uses of cash for the three months ended March 31, 2023 included $0.8 million for the payment of employee payroll taxes in relation to the vesting of restricted share units.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balance sheet reflects positive working capital of $21.3 million at March 31, 2024, compared to positive working capital of $11.8 million at December 31, 2023. The increase in working capital is primarily a result of an increase in cash and cash equivalents. The Company’s primary source of liquidity as of March 31, 2024 was $52.4 million of cash and cash equivalents and $31.3 million of marketable securities.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October 6, 2023, the Company entered into a new revolving credit facility, which amended and replaced our prior revolving credit facility. There currently are no outstanding borrowings under our revolving credit facility. For additional information regarding our revolving credit facility, see Note 8 to the Condensed Consolidated Financial Statements included herein.</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approved by the Company's Board under which the Company was authorized to purchase up to $10.0 million of the Company's outstanding shares of common stock. The share repurchase program expired according to its terms on March 31, 2024, and no repurchases occurred during the three months ended March 31, 2024. During the term of this program, the Company repurchased a total of 404,188 shares under this program at an aggregate fair value of $8.9 million, based on an average price per share of $22.07 (excluding the cost of broker commissions). We may elect in the future to adopt a new share repurchase program.</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20, 2023, we announced that our Board approved a quarterly dividend policy. Under this dividend policy, our Board declared, and the Company paid, quarterly cash dividends on our common stock at the rate of $0.025 per share during the year ended December 31, 2023. In addition, on February 19, 2024, our Board approved a quarterly dividend under this dividend policy at a rate of $0.028 per share, which was paid on March 22, 2024 to the holders of record of our common stock on March 11, 2024. Moreover, on April 22, 2024, the Board approved a quarterly cash dividend of $0.028 per share, which will be payable on May 17, 2024 to holders of record of our common stock on May 6, 2024.</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and payment of dividends thereunder are in the best interests of our stockholders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dividend payments, any repurchases of shares we may elect to make under any future share repurchase program, and capital expenditures for at least the next 12 months and for the foreseeable future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new revolving credit facility would be dependent on the covenant calculations at the time of borrowing. As of March 31, 2024,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$83.7 million at March 31, 2024. Assuming a hypothetical 10% decrease in interest rates for invested balances, interest income from cash and investments would decrease on an annualized basis by approximately $0.4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first quarter of 2024 that has materially affected, or that is reasonably likely to materially affect, HealthStream’s internal control over financial reporting.</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the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approved by the Company’s Board under which the Company was authorized to purchase up to $10.0 million of its common stock. During the term of this program, the Company repurchased 404,188 shares under this program at an aggregate fair value of $8.9 million, reflecting an average price per share of $22.07 (excluding the cost of broker commissions). The share repurchase program expired according to its term on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activity under the stock repurchase plan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 Maximum number</w:t>
            </w:r>
          </w:p>
        </w:tc>
      </w:tr>
      <w:tr>
        <w:trPr>
          <w:trHeight w:val="216"/>
        </w:trPr>
        <w:tc>
          <w:tcPr>
            <w:tcW w:w="3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 Total number of</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approximate dollar</w:t>
            </w:r>
          </w:p>
        </w:tc>
      </w:tr>
      <w:tr>
        <w:trPr>
          <w:trHeight w:val="216"/>
        </w:trPr>
        <w:tc>
          <w:tcPr>
            <w:tcW w:w="3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value) of shares (or</w:t>
            </w:r>
          </w:p>
        </w:tc>
      </w:tr>
      <w:tr>
        <w:trPr>
          <w:trHeight w:val="216"/>
        </w:trPr>
        <w:tc>
          <w:tcPr>
            <w:tcW w:w="328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 Total number of</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 that may yet be</w:t>
            </w:r>
          </w:p>
        </w:tc>
      </w:tr>
      <w:tr>
        <w:trPr>
          <w:trHeight w:val="216"/>
        </w:trPr>
        <w:tc>
          <w:tcPr>
            <w:tcW w:w="328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 Average price paid</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publicly announced</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38"/>
        </w:trPr>
        <w:tc>
          <w:tcPr>
            <w:tcW w:w="328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 share (or unit)(1)</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#1 (January 1 - January 31)</w:t>
            </w:r>
          </w:p>
        </w:tc>
        <w:tc>
          <w:tcPr>
            <w:tcW w:w="20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1,079,336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Month #2 (February 1 - February 29)</w:t>
            </w:r>
          </w:p>
        </w:tc>
        <w:tc>
          <w:tcPr>
            <w:tcW w:w="20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1,079,336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#3 (March 1 - March 31)</w:t>
            </w:r>
          </w:p>
        </w:tc>
        <w:tc>
          <w:tcPr>
            <w:tcW w:w="20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three months ended March 31, 2024, no director or officer of the Company adopted or terminated any “Rule 10b5-1 trading arrangement,” or any “non-Rule 10b-5 trading arrangement,” as such terms are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31.1</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8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5"/>
              </w:rPr>
              <w:t>32.1</w:t>
            </w:r>
          </w:p>
        </w:tc>
        <w:tc>
          <w:tcPr>
            <w:tcW w:w="8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r>
      <w:tr>
        <w:trPr>
          <w:trHeight w:val="196"/>
        </w:trPr>
        <w:tc>
          <w:tcPr>
            <w:tcW w:w="1040" w:type="dxa"/>
            <w:vAlign w:val="bottom"/>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95"/>
              </w:rPr>
              <w:t>32.2</w:t>
            </w:r>
          </w:p>
        </w:tc>
        <w:tc>
          <w:tcPr>
            <w:tcW w:w="8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r>
    </w:tbl>
    <w:p>
      <w:pPr>
        <w:spacing w:after="0" w:line="9" w:lineRule="exact"/>
        <w:rPr>
          <w:sz w:val="20"/>
          <w:szCs w:val="20"/>
          <w:color w:val="auto"/>
        </w:rPr>
      </w:pPr>
    </w:p>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HealthStream, Inc. Amended and Restated Compensation Recoupment Policy (referenced as Exhibit 97 in exhibit index of Annual Report on</w:t>
      </w: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0000EE"/>
                <w:w w:val="99"/>
              </w:rPr>
              <w:t>Form 10-K for the year ended December 31, 2023, filed with the SEC on February 26, 2024, where hyperlink was inadvertently omitted)</w:t>
            </w:r>
          </w:p>
        </w:tc>
        <w:tc>
          <w:tcPr>
            <w:tcW w:w="300" w:type="dxa"/>
            <w:vAlign w:val="bottom"/>
          </w:tcPr>
          <w:p>
            <w:pPr>
              <w:spacing w:after="0"/>
              <w:rPr>
                <w:sz w:val="17"/>
                <w:szCs w:val="17"/>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ind w:left="1040" w:hanging="103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2024, has been formatted in Inline</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79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Scott A. Roberts</w:t>
            </w:r>
          </w:p>
        </w:tc>
      </w:tr>
      <w:tr>
        <w:trPr>
          <w:trHeight w:val="191"/>
        </w:trPr>
        <w:tc>
          <w:tcPr>
            <w:tcW w:w="33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300" w:type="dxa"/>
            <w:vAlign w:val="bottom"/>
          </w:tcPr>
          <w:p>
            <w:pPr>
              <w:spacing w:after="0"/>
              <w:rPr>
                <w:sz w:val="24"/>
                <w:szCs w:val="24"/>
                <w:color w:val="auto"/>
              </w:rPr>
            </w:pPr>
          </w:p>
        </w:tc>
        <w:tc>
          <w:tcPr>
            <w:tcW w:w="3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21</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706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4180" w:type="dxa"/>
            <w:vAlign w:val="bottom"/>
          </w:tcPr>
          <w:p>
            <w:pPr>
              <w:spacing w:after="0"/>
              <w:rPr>
                <w:sz w:val="16"/>
                <w:szCs w:val="16"/>
                <w:color w:val="auto"/>
              </w:rPr>
            </w:pPr>
          </w:p>
        </w:tc>
        <w:tc>
          <w:tcPr>
            <w:tcW w:w="7060" w:type="dxa"/>
            <w:vAlign w:val="bottom"/>
          </w:tcPr>
          <w:p>
            <w:pPr>
              <w:ind w:left="268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4180" w:type="dxa"/>
            <w:vAlign w:val="bottom"/>
          </w:tcPr>
          <w:p>
            <w:pPr>
              <w:spacing w:after="0"/>
              <w:rPr>
                <w:sz w:val="20"/>
                <w:szCs w:val="20"/>
                <w:color w:val="auto"/>
              </w:rPr>
            </w:pPr>
          </w:p>
        </w:tc>
        <w:tc>
          <w:tcPr>
            <w:tcW w:w="7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70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4160" w:type="dxa"/>
            <w:vAlign w:val="bottom"/>
          </w:tcPr>
          <w:p>
            <w:pPr>
              <w:spacing w:after="0"/>
              <w:rPr>
                <w:sz w:val="16"/>
                <w:szCs w:val="16"/>
                <w:color w:val="auto"/>
              </w:rPr>
            </w:pPr>
          </w:p>
        </w:tc>
        <w:tc>
          <w:tcPr>
            <w:tcW w:w="7080" w:type="dxa"/>
            <w:vAlign w:val="bottom"/>
          </w:tcPr>
          <w:p>
            <w:pPr>
              <w:ind w:left="2660"/>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4160" w:type="dxa"/>
            <w:vAlign w:val="bottom"/>
          </w:tcPr>
          <w:p>
            <w:pPr>
              <w:spacing w:after="0"/>
              <w:rPr>
                <w:sz w:val="20"/>
                <w:szCs w:val="20"/>
                <w:color w:val="auto"/>
              </w:rPr>
            </w:pPr>
          </w:p>
        </w:tc>
        <w:tc>
          <w:tcPr>
            <w:tcW w:w="7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March 31, 2024,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2024</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March 31, 2024,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2024</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99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Compensation Recoupment Policy</w:t>
      </w:r>
    </w:p>
    <w:p>
      <w:pPr>
        <w:spacing w:after="0" w:line="203" w:lineRule="exact"/>
        <w:rPr>
          <w:sz w:val="20"/>
          <w:szCs w:val="20"/>
          <w:color w:val="auto"/>
        </w:rPr>
      </w:pPr>
    </w:p>
    <w:p>
      <w:pPr>
        <w:ind w:right="100" w:firstLine="656"/>
        <w:spacing w:after="0" w:line="255" w:lineRule="auto"/>
        <w:tabs>
          <w:tab w:leader="none" w:pos="123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Amended and Restated Compensation Recoupment Policy of the Company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dated as of July 24, 2023 (the “</w:t>
      </w: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is to describe the circumstances in which current and former Executive Officers will be required to repay or return Erroneously Awarded Compensation to the Company. The Company has adopted this Policy to comply with Section 954 of the Dodd-Frank Wall Street Reform and Consumer Protection Act of 2010, as codified by Section 10D of the Exchange Act, Exchange Act Rule 10D-1 promulgated thereunder, and the rules and requirements of Nasdaq (including Nasdaq Listing Rule 5608) (such legal requirements, and rules and requirements of Nasdaq, collectively, the “</w:t>
      </w:r>
      <w:r>
        <w:rPr>
          <w:rFonts w:ascii="Times New Roman" w:cs="Times New Roman" w:eastAsia="Times New Roman" w:hAnsi="Times New Roman"/>
          <w:sz w:val="18"/>
          <w:szCs w:val="18"/>
          <w:u w:val="single" w:color="auto"/>
          <w:color w:val="auto"/>
        </w:rPr>
        <w:t>SEC/Nasdaq Clawback Rules</w:t>
      </w:r>
      <w:r>
        <w:rPr>
          <w:rFonts w:ascii="Times New Roman" w:cs="Times New Roman" w:eastAsia="Times New Roman" w:hAnsi="Times New Roman"/>
          <w:sz w:val="18"/>
          <w:szCs w:val="18"/>
          <w:color w:val="auto"/>
        </w:rPr>
        <w:t xml:space="preserve">”). Each Executive Officer shall be required to sign and return to the Company the acknowledgment to this Policy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and comply with this Policy.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59" w:lineRule="auto"/>
        <w:tabs>
          <w:tab w:leader="none" w:pos="123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This Policy shall be administered by the Committee. The Committee is authorized to interpret and construe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the Nasdaq, any determinations of the Committee hereunder need not be uniform with respect to one or more Executive Officers (whether current or former).</w:t>
      </w:r>
    </w:p>
    <w:p>
      <w:pPr>
        <w:spacing w:after="0" w:line="179" w:lineRule="exact"/>
        <w:rPr>
          <w:rFonts w:ascii="Times New Roman" w:cs="Times New Roman" w:eastAsia="Times New Roman" w:hAnsi="Times New Roman"/>
          <w:sz w:val="18"/>
          <w:szCs w:val="18"/>
          <w:b w:val="1"/>
          <w:bCs w:val="1"/>
          <w:color w:val="auto"/>
        </w:rPr>
      </w:pPr>
    </w:p>
    <w:p>
      <w:pPr>
        <w:ind w:left="1200" w:hanging="544"/>
        <w:spacing w:after="0"/>
        <w:tabs>
          <w:tab w:leader="none" w:pos="12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229" w:lineRule="exact"/>
        <w:rPr>
          <w:sz w:val="20"/>
          <w:szCs w:val="20"/>
          <w:color w:val="auto"/>
        </w:rPr>
      </w:pPr>
    </w:p>
    <w:p>
      <w:pPr>
        <w:ind w:right="220" w:firstLine="656"/>
        <w:spacing w:after="0" w:line="261"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Eligible Incentive Compensation</w:t>
      </w:r>
      <w:r>
        <w:rPr>
          <w:rFonts w:ascii="Times New Roman" w:cs="Times New Roman" w:eastAsia="Times New Roman" w:hAnsi="Times New Roman"/>
          <w:sz w:val="18"/>
          <w:szCs w:val="18"/>
          <w:color w:val="auto"/>
        </w:rPr>
        <w:t>” shall mean all Incentive-Based Compensation Received by any current or former Executive Officer on or after the Nasdaq Effective Date, provided that: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after such individual began serving as an Executive Officer;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served as an Executive Officer at any time during the performance period for such Incentive-Based Compensation;</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while the Company has a class of securities listed on Nasdaq; and</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during the applicable Clawback Period.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20" w:right="240" w:firstLine="656"/>
        <w:spacing w:after="0" w:line="266" w:lineRule="auto"/>
        <w:tabs>
          <w:tab w:leader="none" w:pos="12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5" w:lineRule="exact"/>
        <w:rPr>
          <w:rFonts w:ascii="Times New Roman" w:cs="Times New Roman" w:eastAsia="Times New Roman" w:hAnsi="Times New Roman"/>
          <w:sz w:val="18"/>
          <w:szCs w:val="18"/>
          <w:color w:val="auto"/>
        </w:rPr>
      </w:pPr>
    </w:p>
    <w:p>
      <w:pPr>
        <w:ind w:left="1240" w:hanging="604"/>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25" w:lineRule="exact"/>
        <w:rPr>
          <w:rFonts w:ascii="Times New Roman" w:cs="Times New Roman" w:eastAsia="Times New Roman" w:hAnsi="Times New Roman"/>
          <w:sz w:val="18"/>
          <w:szCs w:val="18"/>
          <w:color w:val="auto"/>
        </w:rPr>
      </w:pPr>
    </w:p>
    <w:p>
      <w:pPr>
        <w:ind w:left="1220" w:hanging="584"/>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no par value, of the Company.</w:t>
      </w:r>
    </w:p>
    <w:p>
      <w:pPr>
        <w:spacing w:after="0" w:line="22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HealthStream, Inc., a Tennessee corporation.</w:t>
      </w:r>
    </w:p>
    <w:p>
      <w:pPr>
        <w:spacing w:after="0" w:line="22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25" w:lineRule="exact"/>
        <w:rPr>
          <w:rFonts w:ascii="Times New Roman" w:cs="Times New Roman" w:eastAsia="Times New Roman" w:hAnsi="Times New Roman"/>
          <w:sz w:val="18"/>
          <w:szCs w:val="18"/>
          <w:color w:val="auto"/>
        </w:rPr>
      </w:pPr>
    </w:p>
    <w:p>
      <w:pPr>
        <w:ind w:left="-20" w:right="80" w:firstLine="656"/>
        <w:spacing w:after="0" w:line="258" w:lineRule="auto"/>
        <w:tabs>
          <w:tab w:leader="none" w:pos="12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computed without regard to any taxes paid.</w:t>
      </w:r>
    </w:p>
    <w:p>
      <w:pPr>
        <w:spacing w:after="0" w:line="183"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shall mean any officer as defined in Rule 10D-1(d) (or any successor provision thereof) under the Exchange Act.</w:t>
      </w:r>
    </w:p>
    <w:p>
      <w:pPr>
        <w:spacing w:after="0" w:line="225" w:lineRule="exact"/>
        <w:rPr>
          <w:rFonts w:ascii="Times New Roman" w:cs="Times New Roman" w:eastAsia="Times New Roman" w:hAnsi="Times New Roman"/>
          <w:sz w:val="18"/>
          <w:szCs w:val="18"/>
          <w:color w:val="auto"/>
        </w:rPr>
      </w:pPr>
    </w:p>
    <w:p>
      <w:pPr>
        <w:ind w:left="-20" w:firstLine="656"/>
        <w:spacing w:after="0" w:line="258" w:lineRule="auto"/>
        <w:tabs>
          <w:tab w:leader="none" w:pos="12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83" w:lineRule="exact"/>
        <w:rPr>
          <w:rFonts w:ascii="Times New Roman" w:cs="Times New Roman" w:eastAsia="Times New Roman" w:hAnsi="Times New Roman"/>
          <w:sz w:val="18"/>
          <w:szCs w:val="18"/>
          <w:color w:val="auto"/>
        </w:rPr>
      </w:pPr>
    </w:p>
    <w:p>
      <w:pPr>
        <w:ind w:left="-20" w:right="640" w:firstLine="656"/>
        <w:spacing w:after="0" w:line="282" w:lineRule="auto"/>
        <w:tabs>
          <w:tab w:leader="none" w:pos="12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Stock Market.</w:t>
      </w:r>
    </w:p>
    <w:p>
      <w:pPr>
        <w:spacing w:after="0" w:line="22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Effective Date</w:t>
      </w:r>
      <w:r>
        <w:rPr>
          <w:rFonts w:ascii="Times New Roman" w:cs="Times New Roman" w:eastAsia="Times New Roman" w:hAnsi="Times New Roman"/>
          <w:sz w:val="18"/>
          <w:szCs w:val="18"/>
          <w:color w:val="auto"/>
        </w:rPr>
        <w:t>” shall mean December 1, 2023.</w:t>
      </w:r>
    </w:p>
    <w:p>
      <w:pPr>
        <w:spacing w:after="0" w:line="225" w:lineRule="exact"/>
        <w:rPr>
          <w:rFonts w:ascii="Times New Roman" w:cs="Times New Roman" w:eastAsia="Times New Roman" w:hAnsi="Times New Roman"/>
          <w:sz w:val="18"/>
          <w:szCs w:val="18"/>
          <w:color w:val="auto"/>
        </w:rPr>
      </w:pPr>
    </w:p>
    <w:p>
      <w:pPr>
        <w:ind w:left="-20" w:right="40" w:firstLine="656"/>
        <w:spacing w:after="0" w:line="266" w:lineRule="auto"/>
        <w:tabs>
          <w:tab w:leader="none" w:pos="12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5" w:lineRule="exact"/>
        <w:rPr>
          <w:rFonts w:ascii="Times New Roman" w:cs="Times New Roman" w:eastAsia="Times New Roman" w:hAnsi="Times New Roman"/>
          <w:sz w:val="18"/>
          <w:szCs w:val="18"/>
          <w:color w:val="auto"/>
        </w:rPr>
      </w:pPr>
    </w:p>
    <w:p>
      <w:pPr>
        <w:ind w:left="-20" w:right="140" w:firstLine="656"/>
        <w:spacing w:after="0" w:line="266" w:lineRule="auto"/>
        <w:tabs>
          <w:tab w:leader="none" w:pos="12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29" w:name="page30"/>
    <w:bookmarkEnd w:id="29"/>
    <w:p>
      <w:pPr>
        <w:ind w:left="1220" w:hanging="584"/>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1" w:lineRule="exact"/>
        <w:rPr>
          <w:sz w:val="20"/>
          <w:szCs w:val="20"/>
          <w:color w:val="auto"/>
        </w:rPr>
      </w:pPr>
    </w:p>
    <w:p>
      <w:pPr>
        <w:ind w:left="1180" w:hanging="544"/>
        <w:spacing w:after="0"/>
        <w:tabs>
          <w:tab w:leader="none" w:pos="1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of Erroneously Awarded Compensation.</w:t>
      </w:r>
    </w:p>
    <w:p>
      <w:pPr>
        <w:spacing w:after="0" w:line="229" w:lineRule="exact"/>
        <w:rPr>
          <w:sz w:val="20"/>
          <w:szCs w:val="20"/>
          <w:color w:val="auto"/>
        </w:rPr>
      </w:pPr>
    </w:p>
    <w:p>
      <w:pPr>
        <w:ind w:left="-20" w:right="140" w:firstLine="656"/>
        <w:spacing w:after="0" w:line="256"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18"/>
          <w:szCs w:val="18"/>
          <w:u w:val="single" w:color="auto"/>
          <w:color w:val="auto"/>
        </w:rPr>
        <w:t>Applicable Executives</w:t>
      </w:r>
      <w:r>
        <w:rPr>
          <w:rFonts w:ascii="Times New Roman" w:cs="Times New Roman" w:eastAsia="Times New Roman" w:hAnsi="Times New Roman"/>
          <w:sz w:val="18"/>
          <w:szCs w:val="18"/>
          <w:color w:val="auto"/>
        </w:rPr>
        <w:t>”) in connection with such Accounting Restatement, and (ii) the Company will provide notice to such Applicable Executive and reasonably promptly require the recoupment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87" w:lineRule="exact"/>
        <w:rPr>
          <w:rFonts w:ascii="Times New Roman" w:cs="Times New Roman" w:eastAsia="Times New Roman" w:hAnsi="Times New Roman"/>
          <w:sz w:val="18"/>
          <w:szCs w:val="18"/>
          <w:color w:val="auto"/>
        </w:rPr>
      </w:pPr>
    </w:p>
    <w:p>
      <w:pPr>
        <w:ind w:left="-20" w:right="180" w:firstLine="656"/>
        <w:spacing w:after="0" w:line="258" w:lineRule="auto"/>
        <w:tabs>
          <w:tab w:leader="none" w:pos="12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spacing w:after="0" w:line="183" w:lineRule="exact"/>
        <w:rPr>
          <w:rFonts w:ascii="Times New Roman" w:cs="Times New Roman" w:eastAsia="Times New Roman" w:hAnsi="Times New Roman"/>
          <w:sz w:val="18"/>
          <w:szCs w:val="18"/>
          <w:color w:val="auto"/>
        </w:rPr>
      </w:pPr>
    </w:p>
    <w:p>
      <w:pPr>
        <w:ind w:left="-20" w:right="380" w:firstLine="656"/>
        <w:spacing w:after="0" w:line="282" w:lineRule="auto"/>
        <w:tabs>
          <w:tab w:leader="none" w:pos="12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in its sole discretion, the method(s) for recouping any Erroneously Awarded Compensation from any Applicable Executive, which may include one or more of the following:</w:t>
      </w:r>
    </w:p>
    <w:p>
      <w:pPr>
        <w:spacing w:after="0" w:line="161" w:lineRule="exact"/>
        <w:rPr>
          <w:rFonts w:ascii="Times New Roman" w:cs="Times New Roman" w:eastAsia="Times New Roman" w:hAnsi="Times New Roman"/>
          <w:sz w:val="18"/>
          <w:szCs w:val="18"/>
          <w:color w:val="auto"/>
        </w:rPr>
      </w:pPr>
    </w:p>
    <w:p>
      <w:pPr>
        <w:ind w:left="640" w:right="200" w:firstLine="644"/>
        <w:spacing w:after="0" w:line="282" w:lineRule="auto"/>
        <w:tabs>
          <w:tab w:leader="none" w:pos="186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61" w:lineRule="exact"/>
        <w:rPr>
          <w:rFonts w:ascii="Times New Roman" w:cs="Times New Roman" w:eastAsia="Times New Roman" w:hAnsi="Times New Roman"/>
          <w:sz w:val="18"/>
          <w:szCs w:val="18"/>
          <w:color w:val="auto"/>
        </w:rPr>
      </w:pPr>
    </w:p>
    <w:p>
      <w:pPr>
        <w:ind w:left="640" w:right="100" w:firstLine="644"/>
        <w:spacing w:after="0" w:line="266" w:lineRule="auto"/>
        <w:tabs>
          <w:tab w:leader="none" w:pos="19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 previously made by the Company to such Applicable Executive and/or otherwise requiring the delivery to the Company of shares of Common Stock held by such Applicable Executive;</w:t>
      </w:r>
    </w:p>
    <w:p>
      <w:pPr>
        <w:spacing w:after="0" w:line="175" w:lineRule="exact"/>
        <w:rPr>
          <w:rFonts w:ascii="Times New Roman" w:cs="Times New Roman" w:eastAsia="Times New Roman" w:hAnsi="Times New Roman"/>
          <w:sz w:val="18"/>
          <w:szCs w:val="18"/>
          <w:color w:val="auto"/>
        </w:rPr>
      </w:pPr>
    </w:p>
    <w:p>
      <w:pPr>
        <w:ind w:left="640" w:firstLine="644"/>
        <w:spacing w:after="0" w:line="282" w:lineRule="auto"/>
        <w:tabs>
          <w:tab w:leader="none" w:pos="196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6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amounts against compensation or other amounts otherwise payable by the Company Group to such Applicable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w:t>
      </w:r>
    </w:p>
    <w:p>
      <w:pPr>
        <w:spacing w:after="0" w:line="206" w:lineRule="exact"/>
        <w:rPr>
          <w:rFonts w:ascii="Times New Roman" w:cs="Times New Roman" w:eastAsia="Times New Roman" w:hAnsi="Times New Roman"/>
          <w:sz w:val="18"/>
          <w:szCs w:val="18"/>
          <w:color w:val="auto"/>
        </w:rPr>
      </w:pPr>
    </w:p>
    <w:p>
      <w:pPr>
        <w:ind w:left="640" w:right="40" w:firstLine="644"/>
        <w:spacing w:after="0" w:line="282" w:lineRule="auto"/>
        <w:tabs>
          <w:tab w:leader="none" w:pos="19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adjusting or offsetting against some or all outstanding vested or unvested equity awards of the Company held by such Applicable Executive; and/or</w:t>
      </w:r>
    </w:p>
    <w:p>
      <w:pPr>
        <w:spacing w:after="0" w:line="161" w:lineRule="exact"/>
        <w:rPr>
          <w:rFonts w:ascii="Times New Roman" w:cs="Times New Roman" w:eastAsia="Times New Roman" w:hAnsi="Times New Roman"/>
          <w:sz w:val="18"/>
          <w:szCs w:val="18"/>
          <w:color w:val="auto"/>
        </w:rPr>
      </w:pPr>
    </w:p>
    <w:p>
      <w:pPr>
        <w:ind w:left="640" w:right="680" w:firstLine="644"/>
        <w:spacing w:after="0" w:line="282" w:lineRule="auto"/>
        <w:tabs>
          <w:tab w:leader="none" w:pos="19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actions with respect to such Applicable Executive permitted by applicable legal requirements and the rules and regulations of Nasdaq, as determined by the Committee.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0" w:name="page31"/>
    <w:bookmarkEnd w:id="30"/>
    <w:p>
      <w:pPr>
        <w:ind w:left="-40" w:right="20" w:firstLine="656"/>
        <w:spacing w:after="0" w:line="266" w:lineRule="auto"/>
        <w:tabs>
          <w:tab w:leader="none" w:pos="12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recover Erroneously Awarded Compensation from any Applicable Executive pursuant to the terms of this Policy if (1) the Committee determines that such recovery would be impracticable, and (2) any of the following conditions is met:</w:t>
      </w:r>
    </w:p>
    <w:p>
      <w:pPr>
        <w:spacing w:after="0" w:line="175" w:lineRule="exact"/>
        <w:rPr>
          <w:rFonts w:ascii="Times New Roman" w:cs="Times New Roman" w:eastAsia="Times New Roman" w:hAnsi="Times New Roman"/>
          <w:sz w:val="18"/>
          <w:szCs w:val="18"/>
          <w:color w:val="auto"/>
        </w:rPr>
      </w:pPr>
    </w:p>
    <w:p>
      <w:pPr>
        <w:jc w:val="both"/>
        <w:ind w:left="620" w:right="60" w:firstLine="644"/>
        <w:spacing w:after="0" w:line="261" w:lineRule="auto"/>
        <w:tabs>
          <w:tab w:leader="none" w:pos="18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w:t>
      </w:r>
    </w:p>
    <w:p>
      <w:pPr>
        <w:spacing w:after="0" w:line="179" w:lineRule="exact"/>
        <w:rPr>
          <w:rFonts w:ascii="Times New Roman" w:cs="Times New Roman" w:eastAsia="Times New Roman" w:hAnsi="Times New Roman"/>
          <w:sz w:val="18"/>
          <w:szCs w:val="18"/>
          <w:color w:val="auto"/>
        </w:rPr>
      </w:pPr>
    </w:p>
    <w:p>
      <w:pPr>
        <w:ind w:left="620" w:right="20" w:firstLine="644"/>
        <w:spacing w:after="0" w:line="261" w:lineRule="auto"/>
        <w:tabs>
          <w:tab w:leader="none" w:pos="18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has provided copy of the opinion is provided to Nasdaq; or</w:t>
      </w:r>
    </w:p>
    <w:p>
      <w:pPr>
        <w:spacing w:after="0" w:line="179" w:lineRule="exact"/>
        <w:rPr>
          <w:rFonts w:ascii="Times New Roman" w:cs="Times New Roman" w:eastAsia="Times New Roman" w:hAnsi="Times New Roman"/>
          <w:sz w:val="18"/>
          <w:szCs w:val="18"/>
          <w:color w:val="auto"/>
        </w:rPr>
      </w:pPr>
    </w:p>
    <w:p>
      <w:pPr>
        <w:ind w:left="620" w:firstLine="644"/>
        <w:spacing w:after="0" w:line="282" w:lineRule="auto"/>
        <w:tabs>
          <w:tab w:leader="none" w:pos="19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58" w:lineRule="exact"/>
        <w:rPr>
          <w:sz w:val="20"/>
          <w:szCs w:val="20"/>
          <w:color w:val="auto"/>
        </w:rPr>
      </w:pPr>
    </w:p>
    <w:p>
      <w:pPr>
        <w:jc w:val="both"/>
        <w:ind w:left="-40" w:right="40" w:firstLine="656"/>
        <w:spacing w:after="0" w:line="268" w:lineRule="auto"/>
        <w:tabs>
          <w:tab w:leader="none" w:pos="11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Indemnification, Etc. </w:t>
      </w:r>
      <w:r>
        <w:rPr>
          <w:rFonts w:ascii="Times New Roman" w:cs="Times New Roman" w:eastAsia="Times New Roman" w:hAnsi="Times New Roman"/>
          <w:sz w:val="18"/>
          <w:szCs w:val="18"/>
          <w:color w:val="auto"/>
        </w:rPr>
        <w:t>The Company Group shall not (x) indemnify any current or former Executive Officer against (i) the loss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Erroneously Awarded Compensation that is repaid, returned or recovered pursuant to the terms of this Policy, or (y) pay or reimburse any current or former Executive Officers for insurance premiums to recover losses incurred under this Policy.</w:t>
      </w:r>
    </w:p>
    <w:p>
      <w:pPr>
        <w:spacing w:after="0" w:line="170" w:lineRule="exact"/>
        <w:rPr>
          <w:rFonts w:ascii="Times New Roman" w:cs="Times New Roman" w:eastAsia="Times New Roman" w:hAnsi="Times New Roman"/>
          <w:sz w:val="18"/>
          <w:szCs w:val="18"/>
          <w:color w:val="auto"/>
        </w:rPr>
      </w:pPr>
    </w:p>
    <w:p>
      <w:pPr>
        <w:ind w:left="-40" w:firstLine="656"/>
        <w:spacing w:after="0" w:line="259" w:lineRule="auto"/>
        <w:tabs>
          <w:tab w:leader="none" w:pos="114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Supersedure. </w:t>
      </w:r>
      <w:r>
        <w:rPr>
          <w:rFonts w:ascii="Times New Roman" w:cs="Times New Roman" w:eastAsia="Times New Roman" w:hAnsi="Times New Roman"/>
          <w:sz w:val="18"/>
          <w:szCs w:val="18"/>
          <w:color w:val="auto"/>
        </w:rPr>
        <w:t>This Policy will supersede any provisions in (x) any agreement, plan or other arrangement, and (y) any organizational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of any entity that is part of Company Group that, in any such case, would have the effect of (a) prohibiting or otherwise restricting the Company Group’s right to recover the amount of any Erroneously Awarded Compensation as provided herein, including, without limitation, in connection with exercising any right of setoff as provided herein, and/or (b) requiring or providing for indemnification to the extent that such indemnification is prohibited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b w:val="1"/>
          <w:bCs w:val="1"/>
          <w:color w:val="auto"/>
        </w:rPr>
      </w:pPr>
    </w:p>
    <w:p>
      <w:pPr>
        <w:ind w:left="-40" w:right="60" w:firstLine="656"/>
        <w:spacing w:after="0" w:line="256" w:lineRule="auto"/>
        <w:tabs>
          <w:tab w:leader="none" w:pos="114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Termination; Interpretation. </w:t>
      </w:r>
      <w:r>
        <w:rPr>
          <w:rFonts w:ascii="Times New Roman" w:cs="Times New Roman" w:eastAsia="Times New Roman" w:hAnsi="Times New Roman"/>
          <w:sz w:val="18"/>
          <w:szCs w:val="18"/>
          <w:color w:val="auto"/>
        </w:rPr>
        <w:t>The Board, on the Committee’s recommendation, may amend or terminate this Policy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subject to compliance with all applicable legal requirements and the rules and requirements of Nasdaq. It is intended that this Policy be interpreted in a manner that is consistent with the SEC/Nasdaq Clawback Rules. This Policy amends and restates the compensation recoupment policy of the Company (the “</w:t>
      </w:r>
      <w:r>
        <w:rPr>
          <w:rFonts w:ascii="Times New Roman" w:cs="Times New Roman" w:eastAsia="Times New Roman" w:hAnsi="Times New Roman"/>
          <w:sz w:val="18"/>
          <w:szCs w:val="18"/>
          <w:u w:val="single" w:color="auto"/>
          <w:color w:val="auto"/>
        </w:rPr>
        <w:t>Prior Policy</w:t>
      </w:r>
      <w:r>
        <w:rPr>
          <w:rFonts w:ascii="Times New Roman" w:cs="Times New Roman" w:eastAsia="Times New Roman" w:hAnsi="Times New Roman"/>
          <w:sz w:val="18"/>
          <w:szCs w:val="18"/>
          <w:color w:val="auto"/>
        </w:rPr>
        <w:t>”) in its entirety, and the Prior Policy will be of no further force and effect; provided, however, that, notwithstanding the foregoing, to the extent that there is any recoupment event under the Prior Policy arising from a restatement (as described in clause (i) of the Prior Policy) that (x) is not within the scope of this Policy, and (y) relates to compensation associated with a performance period of the Company ending prior to the Nasdaq Effective Date, the terms of the Prior Policy will continue in effect in accordance with the terms thereof in connection therewith.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31" w:name="page32"/>
    <w:bookmarkEnd w:id="31"/>
    <w:p>
      <w:pPr>
        <w:ind w:left="1180" w:hanging="584"/>
        <w:spacing w:after="0"/>
        <w:tabs>
          <w:tab w:leader="none" w:pos="1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Recoupment Rights; No Additional Payments.</w:t>
      </w:r>
    </w:p>
    <w:p>
      <w:pPr>
        <w:spacing w:after="0" w:line="229" w:lineRule="exact"/>
        <w:rPr>
          <w:sz w:val="20"/>
          <w:szCs w:val="20"/>
          <w:color w:val="auto"/>
        </w:rPr>
      </w:pPr>
    </w:p>
    <w:p>
      <w:pPr>
        <w:ind w:left="-60" w:right="140" w:firstLine="656"/>
        <w:spacing w:after="0" w:line="261" w:lineRule="auto"/>
        <w:tabs>
          <w:tab w:leader="none" w:pos="11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(subject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of this Policy below), and (iii) any other legal rights or remedies available to the Company.</w:t>
      </w:r>
    </w:p>
    <w:p>
      <w:pPr>
        <w:spacing w:after="0" w:line="179" w:lineRule="exact"/>
        <w:rPr>
          <w:rFonts w:ascii="Times New Roman" w:cs="Times New Roman" w:eastAsia="Times New Roman" w:hAnsi="Times New Roman"/>
          <w:sz w:val="18"/>
          <w:szCs w:val="18"/>
          <w:color w:val="auto"/>
        </w:rPr>
      </w:pPr>
    </w:p>
    <w:p>
      <w:pPr>
        <w:ind w:left="-60" w:firstLine="656"/>
        <w:spacing w:after="0" w:line="258" w:lineRule="auto"/>
        <w:tabs>
          <w:tab w:leader="none" w:pos="12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to the extent that the Committee determines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18"/>
          <w:szCs w:val="18"/>
          <w:u w:val="single" w:color="auto"/>
          <w:color w:val="auto"/>
        </w:rPr>
        <w:t>Applicable SOX Recoupment Amount</w:t>
      </w:r>
      <w:r>
        <w:rPr>
          <w:rFonts w:ascii="Times New Roman" w:cs="Times New Roman" w:eastAsia="Times New Roman" w:hAnsi="Times New Roman"/>
          <w:sz w:val="18"/>
          <w:szCs w:val="18"/>
          <w:color w:val="auto"/>
        </w:rPr>
        <w:t>”), in order to prevent duplicative recovery, the amount of any Erroneously Awarded Compensation to be recovered from any such Applicable Executive shall be reduced by the Applicable SOX Recoupment Amount.</w:t>
      </w:r>
    </w:p>
    <w:p>
      <w:pPr>
        <w:spacing w:after="0" w:line="179" w:lineRule="exact"/>
        <w:rPr>
          <w:sz w:val="20"/>
          <w:szCs w:val="20"/>
          <w:color w:val="auto"/>
        </w:rPr>
      </w:pPr>
    </w:p>
    <w:p>
      <w:pPr>
        <w:ind w:left="-60" w:right="180" w:firstLine="656"/>
        <w:spacing w:after="0" w:line="286" w:lineRule="auto"/>
        <w:tabs>
          <w:tab w:leader="none" w:pos="112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Policy shall be binding and enforceable against all current and former Executive Officers and their beneficiaries, heirs,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executors, administrators or other legal representatives.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79375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576" w:right="39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Acknowledgment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HealthStream, Inc. Amended and Restated Compensation Recoupment Policy (as such policy may be amended from time to time,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Capitalized terms used but not otherwise defined in this acknowledgment shall have the meanings ascribed to such terms in the Policy.</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By signing this acknowledgment, the undersigned acknowledges and agrees that (i) the undersigned is and will continue to be subject to the Policy and that the Policy will apply both during and after the undersigned’s employment with the Company Group, and (ii) the undersigned will abide by the terms of the Policy, including, without limitation, by returning the amount of any Erroneously Awarded Compensation to the Company Group to the extent required by the Policy.</w:t>
      </w:r>
    </w:p>
    <w:p>
      <w:pPr>
        <w:spacing w:after="0" w:line="3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Print Name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99"/>
    </w:lvl>
  </w:abstractNum>
  <w:abstractNum w:abstractNumId="9">
    <w:nsid w:val="519B500D"/>
    <w:multiLevelType w:val="hybridMultilevel"/>
    <w:lvl w:ilvl="0">
      <w:lvlJc w:val="left"/>
      <w:lvlText w:val="%1"/>
      <w:numFmt w:val="decimal"/>
      <w:start w:val="104"/>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1"/>
    </w:lvl>
    <w:lvl w:ilvl="1">
      <w:lvlJc w:val="left"/>
      <w:lvlText w:val="%2)"/>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lvl w:ilvl="1">
      <w:lvlJc w:val="left"/>
      <w:lvlText w:val="(%2)"/>
      <w:numFmt w:val="lowerRoman"/>
      <w:start w:val="1"/>
    </w:lvl>
  </w:abstractNum>
  <w:abstractNum w:abstractNumId="16">
    <w:nsid w:val="628C895D"/>
    <w:multiLevelType w:val="hybridMultilevel"/>
    <w:lvl w:ilvl="0">
      <w:lvlJc w:val="left"/>
      <w:lvlText w:val="(%1)"/>
      <w:numFmt w:val="lowerLetter"/>
      <w:start w:val="4"/>
    </w:lvl>
  </w:abstractNum>
  <w:abstractNum w:abstractNumId="17">
    <w:nsid w:val="333AB105"/>
    <w:multiLevelType w:val="hybridMultilevel"/>
    <w:lvl w:ilvl="0">
      <w:lvlJc w:val="left"/>
      <w:lvlText w:val="(%1)"/>
      <w:numFmt w:val="lowerLetter"/>
      <w:start w:val="18"/>
    </w:lvl>
  </w:abstractNum>
  <w:abstractNum w:abstractNumId="18">
    <w:nsid w:val="721DA317"/>
    <w:multiLevelType w:val="hybridMultilevel"/>
    <w:lvl w:ilvl="0">
      <w:lvlJc w:val="left"/>
      <w:lvlText w:val="%1."/>
      <w:numFmt w:val="decimal"/>
      <w:start w:val="4"/>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lowerLetter"/>
      <w:start w:val="4"/>
    </w:lvl>
    <w:lvl w:ilvl="1">
      <w:lvlJc w:val="left"/>
      <w:lvlText w:val="(%2)"/>
      <w:numFmt w:val="lowerRoman"/>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decimal"/>
      <w:start w:val="8"/>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2024-04-25T15:36:36Z</dcterms:created>
  <dcterms:modified xsi:type="dcterms:W3CDTF">2024-04-25T15:36:36Z</dcterms:modified>
</cp:coreProperties>
</file>