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Coady Trisha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39,495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represents the contingent right to receive one share of common stock upon vesting of the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are subject to a four year vesting schedule, contingent upon continued service at the time of vesting. 15% vest on September 18, 2027, 20% vest on September 18, 2028, 30% vest on September 18, 2029, and the remaining 35% vest on September 18,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are subject to a four year vesting schedule, contingent upon continued service at the time of vesting. The RSUs vest annually beginning September 18, 2027 in four equal installments.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Vesting of these RSUs is contingent upon continued service at the time of vesting and the achievement of certain performance criteria. The performance criteria will be established on an annual basis by the Compensation Committee of the Board of Directors. Up to 25% vest on February 23, 2028 for the period January 1, 2027 through December 31, 2027; up to 25% vest on February 23, 2029 for the period January 1, 2028 through December 31, 2028; up to 25% vest on February 23, 2030 for the period January 1, 2029 through December 31, 2029; and up to 25% vest on February 23, 2031 for the period January 1, 2030 through December 31, 2030. Vesting will be determined based on actual performance. RSUs that do not vest during a performance period may become eligible for vesting during the next performance period.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Trisha L. Coady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9379"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849</Words>
  <Characters>4420</Characters>
  <CharactersWithSpaces>5166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