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hstm20260914_8k.htm"/>
      <w:bookmarkStart w:id="1" w:name="kshstm20260914_8k"/>
      <w:bookmarkStart w:id="2" w:name="hstm20260914_8k.htm"/>
      <w:bookmarkStart w:id="3" w:name="kshstm20260914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UNITED STATES</w:t>
      </w:r>
      <w:r>
        <w:rPr>
          <w:rFonts w:ascii="Times New Roman" w:hAnsi="Times New Roman"/>
          <w:caps w:val="false"/>
          <w:smallCaps w:val="false"/>
          <w:sz w:val="18"/>
        </w:rPr>
        <w:t xml:space="preserve">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SECURITIES AND EXCHANGE COMMISSION</w:t>
      </w:r>
      <w:r>
        <w:rPr>
          <w:rFonts w:ascii="Times New Roman" w:hAnsi="Times New Roman"/>
          <w:caps w:val="false"/>
          <w:smallCaps w:val="false"/>
          <w:sz w:val="18"/>
        </w:rPr>
        <w:t xml:space="preserve">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WASHINGTON, D.C. 20549</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FORM 8-K</w:t>
      </w:r>
      <w:r>
        <w:rPr>
          <w:rFonts w:ascii="Times New Roman" w:hAnsi="Times New Roman"/>
          <w:caps w:val="false"/>
          <w:smallCaps w:val="false"/>
          <w:sz w:val="18"/>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CURRENT REPORT</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Pursuant to Section 13 or 15(d) of the Securities Exchange Act of 1934</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Date of Report (Date of earliest event reported): September 11, 2026</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HealthStream, Inc.</w:t>
      </w:r>
      <w:r>
        <w:rPr>
          <w:rFonts w:ascii="Times New Roman" w:hAnsi="Times New Roman"/>
          <w:caps w:val="false"/>
          <w:smallCaps w:val="false"/>
          <w:sz w:val="32"/>
        </w:rPr>
        <w:t xml:space="preserve">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(Exact name of Registrant as Specified in Its Charter)</w:t>
      </w:r>
      <w:r>
        <w:rPr>
          <w:rFonts w:ascii="Times New Roman" w:hAnsi="Times New Roman"/>
          <w:caps w:val="false"/>
          <w:smallCaps w:val="false"/>
          <w:sz w:val="18"/>
        </w:rPr>
        <w:t xml:space="preserve"> </w:t>
      </w:r>
    </w:p>
    <w:tbl>
      <w:tblPr>
        <w:tblW w:w="5580" w:type="dxa"/>
        <w:jc w:val="left"/>
        <w:tblInd w:w="0" w:type="dxa"/>
        <w:tblLayout w:type="fixed"/>
        <w:tblCellMar>
          <w:top w:w="0" w:type="dxa"/>
          <w:left w:w="0" w:type="dxa"/>
          <w:bottom w:w="0" w:type="dxa"/>
          <w:right w:w="0" w:type="dxa"/>
        </w:tblCellMar>
      </w:tblPr>
      <w:tblGrid>
        <w:gridCol w:w="3065"/>
        <w:gridCol w:w="1085"/>
        <w:gridCol w:w="1430"/>
      </w:tblGrid>
      <w:tr>
        <w:trPr/>
        <w:tc>
          <w:tcPr>
            <w:tcW w:w="306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Tennessee</w:t>
            </w:r>
          </w:p>
        </w:tc>
        <w:tc>
          <w:tcPr>
            <w:tcW w:w="108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000-27701</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62-1443555</w:t>
            </w:r>
          </w:p>
        </w:tc>
      </w:tr>
      <w:tr>
        <w:trPr/>
        <w:tc>
          <w:tcPr>
            <w:tcW w:w="306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(State or Other Jurisdiction</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 Incorporation)</w:t>
            </w:r>
          </w:p>
        </w:tc>
        <w:tc>
          <w:tcPr>
            <w:tcW w:w="108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(Commission </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File Number)</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(IRS Employer</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Identification No.)</w:t>
            </w:r>
          </w:p>
        </w:tc>
      </w:tr>
      <w:tr>
        <w:trPr/>
        <w:tc>
          <w:tcPr>
            <w:tcW w:w="3065"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left"/>
              <w:rPr/>
            </w:pPr>
            <w:r>
              <w:rPr/>
              <w:t> </w:t>
            </w:r>
          </w:p>
        </w:tc>
        <w:tc>
          <w:tcPr>
            <w:tcW w:w="1430" w:type="dxa"/>
            <w:tcBorders/>
            <w:vAlign w:val="center"/>
          </w:tcPr>
          <w:p>
            <w:pPr>
              <w:pStyle w:val="TableContents"/>
              <w:bidi w:val="0"/>
              <w:spacing w:before="0" w:after="0"/>
              <w:ind w:left="0" w:right="0" w:hanging="0"/>
              <w:jc w:val="left"/>
              <w:rPr/>
            </w:pPr>
            <w:r>
              <w:rPr/>
              <w:t> </w:t>
            </w:r>
          </w:p>
        </w:tc>
      </w:tr>
      <w:tr>
        <w:trPr/>
        <w:tc>
          <w:tcPr>
            <w:tcW w:w="306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500 11th Avenue North, Suite 850,</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Nashville, Tennessee</w:t>
            </w:r>
          </w:p>
        </w:tc>
        <w:tc>
          <w:tcPr>
            <w:tcW w:w="1085" w:type="dxa"/>
            <w:tcBorders/>
            <w:vAlign w:val="center"/>
          </w:tcPr>
          <w:p>
            <w:pPr>
              <w:pStyle w:val="TableContents"/>
              <w:bidi w:val="0"/>
              <w:spacing w:before="0" w:after="0"/>
              <w:ind w:left="0" w:right="0" w:hanging="0"/>
              <w:jc w:val="left"/>
              <w:rPr/>
            </w:pPr>
            <w:r>
              <w:rPr/>
              <w:t> </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37203</w:t>
            </w:r>
          </w:p>
        </w:tc>
      </w:tr>
      <w:tr>
        <w:trPr/>
        <w:tc>
          <w:tcPr>
            <w:tcW w:w="306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(Address of Principal Executive Offices)</w:t>
            </w:r>
          </w:p>
        </w:tc>
        <w:tc>
          <w:tcPr>
            <w:tcW w:w="1085" w:type="dxa"/>
            <w:tcBorders/>
            <w:vAlign w:val="center"/>
          </w:tcPr>
          <w:p>
            <w:pPr>
              <w:pStyle w:val="TableContents"/>
              <w:bidi w:val="0"/>
              <w:spacing w:before="0" w:after="0"/>
              <w:ind w:left="0" w:right="0" w:hanging="0"/>
              <w:jc w:val="left"/>
              <w:rPr/>
            </w:pPr>
            <w:r>
              <w:rPr/>
              <w:t> </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Registrant</w:t>
      </w:r>
      <w:r>
        <w:rPr>
          <w:rFonts w:ascii="Times New Roman" w:hAnsi="Times New Roman"/>
          <w:caps w:val="false"/>
          <w:smallCaps w:val="false"/>
          <w:sz w:val="18"/>
        </w:rPr>
        <w:t>’</w:t>
      </w:r>
      <w:r>
        <w:rPr>
          <w:rFonts w:ascii="Times New Roman" w:hAnsi="Times New Roman"/>
          <w:b/>
          <w:caps w:val="false"/>
          <w:smallCaps w:val="false"/>
          <w:sz w:val="18"/>
        </w:rPr>
        <w:t>s Telephone Number, Including Area Code: 615-301-3100</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Not Applicable</w:t>
      </w:r>
      <w:r>
        <w:rPr>
          <w:rFonts w:ascii="Times New Roman" w:hAnsi="Times New Roman"/>
          <w:caps w:val="false"/>
          <w:smallCaps w:val="false"/>
          <w:sz w:val="18"/>
        </w:rPr>
        <w:t xml:space="preserve">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(Former Name or Former Address, if Changed Since Last Report)</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230"/>
        <w:gridCol w:w="797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pPr>
            <w:r>
              <w:rPr/>
              <w:t> </w:t>
            </w:r>
          </w:p>
        </w:tc>
        <w:tc>
          <w:tcPr>
            <w:tcW w:w="797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pPr>
            <w:r>
              <w:rPr/>
              <w:t> </w:t>
            </w:r>
          </w:p>
        </w:tc>
        <w:tc>
          <w:tcPr>
            <w:tcW w:w="797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pPr>
            <w:r>
              <w:rPr/>
              <w:t> </w:t>
            </w:r>
          </w:p>
        </w:tc>
        <w:tc>
          <w:tcPr>
            <w:tcW w:w="797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b/>
          <w:caps w:val="false"/>
          <w:smallCaps w:val="false"/>
          <w:sz w:val="18"/>
        </w:rPr>
        <w:t>Securities registered pursuant to Section 12(b) of the Act:</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395" w:type="dxa"/>
        <w:jc w:val="left"/>
        <w:tblInd w:w="0" w:type="dxa"/>
        <w:tblLayout w:type="fixed"/>
        <w:tblCellMar>
          <w:top w:w="0" w:type="dxa"/>
          <w:left w:w="0" w:type="dxa"/>
          <w:bottom w:w="28" w:type="dxa"/>
          <w:right w:w="0" w:type="dxa"/>
        </w:tblCellMar>
      </w:tblPr>
      <w:tblGrid>
        <w:gridCol w:w="2450"/>
        <w:gridCol w:w="60"/>
        <w:gridCol w:w="1475"/>
        <w:gridCol w:w="60"/>
        <w:gridCol w:w="3350"/>
      </w:tblGrid>
      <w:tr>
        <w:trPr/>
        <w:tc>
          <w:tcPr>
            <w:tcW w:w="24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 on which registered</w:t>
            </w:r>
          </w:p>
        </w:tc>
      </w:tr>
      <w:tr>
        <w:trPr/>
        <w:tc>
          <w:tcPr>
            <w:tcW w:w="24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(Par Value $0.00)</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HSTM</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1.01. 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Securities Purchase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11, 2026, HealthStream, Inc., a Tennessee corporation (the “Company”), and Robert A. Frist, Jr., the Chief Executive Officer and Chairman of the Company (the “Selling Shareholder”), entered into a Securities Purchase Agreement (the “Securities Purchase Agreement”) with WJRJJ Ventures, LLC, a Delaware limited liability company (the “Investor”), pursuant to which (i) the Company agreed to issue to the Investor 1,355,932 shares of the Company’s common stock, no par value (the “Common Stock”), for an aggregate cash purchase price of approximately $40.0 million, or a purchase price of $29.50 per share, and (ii) the Selling Shareholder agreed to sell to the Investor 144,068 shares of Common Stock for an aggregate cash purchase price of approximately $4.25 million, or a purchase price of $29.50 per share (the total of 1.5 million shares purchased by the Investor from the Company and the Selling Shareholder are collectively referred to herein as the “Shares,” and the transactions contemplated by the Securities Purchase Agreement are referred to herein as the “Transactions”). The Transactions were completed on September 14, 2026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Securities Purchase Agreement contains customary representations, warranties and agreements by the Company, the Selling Shareholder and the Investor, certain standstill obligations restricting Investor for a period of 12 months following the Closing Date, and indemnification obligations of the Company and the Selling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intends to use the net proceeds it received from the Transactions for general corporate purposes, including continued investment in its solutions, working capital, potential acquisitions, and other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noted in the Press Release (as defined below), the Company and the Investor each have certain relationships with Empath Nursing, Inc. (“Empath Nursing”). The Company is a party to a strategic partnership agreement with Empath Nursing (under which Empath Nursing and the Company share in the economic benefits generated from the use by Empath Nursing of the Company’s hStream® technology platform and related solutions), and owns approximately 5% of the common stock of Empath Nursing. In addition, the Investor owns approximately 42% of the common stock of Empath Nursing, and Willis Johnson, the owner of the Investor, is a member of the board of directors of Empath Nursing.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the related-party nature of the Transactions, the Transactions were reviewed and approved by the Audit Committee of the Company pursuant to the Related-Party Transactions Policy, as well as by the disinterested members of the Board of Directors, with Mr. Frist abstaining from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representations, warranties, and covenants contained in the Securities Purchase Agreement were made solely for purposes of such agreement and as of specific dates, were solely for the benefit of the parties to the Securities Purchase Agreement, and may be subject to standards of materiality that differ from what an investor may view as material, and thus should not be relied upon as necessarily reflecting the actual state of facts or conditions. Investors in the Company are not third-party beneficiaries under the Securities Purchase Agreement and should not rely on the representations, warranties and covenants or any descriptions thereof as characterizations of the actual state of facts or conditions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Registration Rights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Securities Purchase Agreement, the Company and the Investor entered into a Registration Rights Agreement, dated September 14, 2026 (the “Registration Rights Agreement”), providing for certain registration rights with respect to resale of the Shares. Pursuant to the Registration Rights Agreement, if the Company receives a request from the Investor that the Company file a registration statement (the “Registration Statement”) with the Securities and Exchange Commission (the “SEC”), the Company shall prepare and file the Registration Statement no later than 45 days after the date such request is given by the Investor. The Company has agreed to use commercially reasonable efforts to have the Registration Statement declared effective by the SEC at the earliest possible date but no later than the earlier of (i) the 75th calendar day following the initial filing date of the Registration Statement if the SEC notifies the Company that it will review the Registration Statement and (ii) the fifth business day after the date the Company is notified by the SEC that the Registration Statement will not be reviewed or will not be subject to further review. Under the Registration Rights Agreement, the Company has agreed to use commercially reasonable efforts to keep the Registration Statement (if filed) continuously effective at all times until the earliest to occur of the following events: (i) the date on which the Investor has resold all the Registrable Securities (as defined in the Registration Rights Agreement) covered thereby; and (ii) the date on which the Registrable Securities may be resold by the Investor without registration and without regard to any volume or manner-of-sale limitations by reason of Rule 144 under the Securities Act of 1933, as amended (the “Securities Act”), without the requirement for the Company to be in compliance with the current public information requirement under Rule 144. The Registration Rights Agreement contains other customary agreements by the Company and the Investor.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descriptions of the Securities Purchase Agreement and the Registration Rights Agreement are not complete and are qualified in their entirety by reference to the full text of the Securities Purchase Agreement and Registration Rights Agreement, which are filed as Exhibits 10.1 and 10.2, respectively, to this Current Report on Form 8-K and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3.02. Unregistered Sales of Equity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Item 1.01 of this Current Report on Form 8-K is incorporated by reference into this Item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Shares issued by the Company pursuant to the Securities Purchase Agreement have not been registered under the Securities Act or any state securities laws and have been issued pursuant to an exemption from registration under Section 4(a)(2) of the Securities Act. The Company relied on this exemption from registration based in part on representations made by the Investor. The Shares may not be offered or sold in the United States by the Investor absent registration or an applicable exemption from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Neither this Current Report on Form 8-K nor any exhibit attached hereto is an offer to sell or the solicitation of an offer to buy any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14, 2026, the Company issued a press release announcing the Transactions (the “Press Release”). A copy of the Press Release is attached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included in Item 7.01 of this Current Report on Form 8-K, including Exhibit 99.1, is being furnished and shall not be deemed “filed” for purposes of Section 18 of the Securities Exchange Act of 1934, as amended (the “Exchange Act”), or otherwise subject to the liabilities of that Section and shall not be deemed to be incorporated by reference into any filing by the Company under the Securities Act,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Cautionary 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Private Securities Litigation Reform Act of 1995 and federal securities laws that may relate to, among other things, statements regarding our current beliefs, understanding and expectations regarding the use of proceeds received from the Transactions. Forward-looking statements are based on management’s current expectations and beliefs concerning future developments and their potential effects on the Company. Forward-looking statements are not a guarantee of future events, results or performance and are subject to a variety of risks and uncertainties, many of which are beyond our control. Future events and actual results and performance could differ materially from those set forth in, contemplated by or underlying the forward-looking statements. Factors that could cause actual events, results or performance to differ from forward-looking statements include the risks set forth in Item 1A - “Risk Factors” in the Company’s Annual Report on Form 10-K for the year ended December 31, 2025, filed with the SEC, and in the Company’s other filings with the SEC from time to time. These forward-looking statements speak only as of the date on which they are made. Readers should not place undue reliance on forward-looking statements, which reflect management’s views only as of the date hereof. The Company undertakes no obligation to update or revise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60"/>
        <w:gridCol w:w="9435"/>
      </w:tblGrid>
      <w:tr>
        <w:trPr/>
        <w:tc>
          <w:tcPr>
            <w:tcW w:w="7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0"/>
              <w:ind w:left="0" w:right="0" w:hanging="0"/>
              <w:jc w:val="left"/>
              <w:rPr/>
            </w:pPr>
            <w:r>
              <w:rPr/>
              <w:t> </w:t>
            </w:r>
          </w:p>
        </w:tc>
        <w:tc>
          <w:tcPr>
            <w:tcW w:w="9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 †</w:t>
            </w:r>
          </w:p>
        </w:tc>
        <w:tc>
          <w:tcPr>
            <w:tcW w:w="60" w:type="dxa"/>
            <w:tcBorders/>
            <w:vAlign w:val="center"/>
          </w:tcPr>
          <w:p>
            <w:pPr>
              <w:pStyle w:val="TableContents"/>
              <w:bidi w:val="0"/>
              <w:spacing w:before="0" w:after="0"/>
              <w:ind w:left="0" w:right="0" w:hanging="0"/>
              <w:jc w:val="left"/>
              <w:rPr/>
            </w:pPr>
            <w:r>
              <w:rPr/>
              <w:t> </w:t>
            </w:r>
          </w:p>
        </w:tc>
        <w:tc>
          <w:tcPr>
            <w:tcW w:w="9435" w:type="dxa"/>
            <w:tcBorders/>
            <w:vAlign w:val="center"/>
          </w:tcPr>
          <w:p>
            <w:pPr>
              <w:pStyle w:val="TableContents"/>
              <w:bidi w:val="0"/>
              <w:spacing w:before="0" w:after="0"/>
              <w:ind w:left="0" w:right="0" w:hanging="0"/>
              <w:jc w:val="left"/>
              <w:rPr/>
            </w:pPr>
            <w:hyperlink w:anchor="ex_1016292.htm">
              <w:r>
                <w:rPr>
                  <w:rStyle w:val="InternetLink"/>
                  <w:rFonts w:ascii="Times New Roman" w:hAnsi="Times New Roman"/>
                  <w:caps w:val="false"/>
                  <w:smallCaps w:val="false"/>
                  <w:sz w:val="20"/>
                </w:rPr>
                <w:t>Securities Purchase Agreement, dated September 11, 2026, by and among HealthStream, Inc., Robert A. Frist, Jr. and WJRJJ Ventures, LLC</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 †</w:t>
            </w:r>
          </w:p>
        </w:tc>
        <w:tc>
          <w:tcPr>
            <w:tcW w:w="60" w:type="dxa"/>
            <w:tcBorders/>
            <w:vAlign w:val="center"/>
          </w:tcPr>
          <w:p>
            <w:pPr>
              <w:pStyle w:val="TableContents"/>
              <w:bidi w:val="0"/>
              <w:spacing w:before="0" w:after="0"/>
              <w:ind w:left="0" w:right="0" w:hanging="0"/>
              <w:jc w:val="left"/>
              <w:rPr/>
            </w:pPr>
            <w:r>
              <w:rPr/>
              <w:t> </w:t>
            </w:r>
          </w:p>
        </w:tc>
        <w:tc>
          <w:tcPr>
            <w:tcW w:w="9435" w:type="dxa"/>
            <w:tcBorders/>
            <w:vAlign w:val="center"/>
          </w:tcPr>
          <w:p>
            <w:pPr>
              <w:pStyle w:val="TableContents"/>
              <w:bidi w:val="0"/>
              <w:spacing w:before="0" w:after="0"/>
              <w:ind w:left="0" w:right="0" w:hanging="0"/>
              <w:jc w:val="left"/>
              <w:rPr/>
            </w:pPr>
            <w:hyperlink w:anchor="ex_1016293.htm">
              <w:r>
                <w:rPr>
                  <w:rStyle w:val="InternetLink"/>
                  <w:rFonts w:ascii="Times New Roman" w:hAnsi="Times New Roman"/>
                  <w:caps w:val="false"/>
                  <w:smallCaps w:val="false"/>
                  <w:sz w:val="20"/>
                </w:rPr>
                <w:t>Registration Rights Agreement, dated September 14, 2026, by and between HealthStream, Inc. and WJRJJ Ventures, LLC</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0"/>
              <w:ind w:left="0" w:right="0" w:hanging="0"/>
              <w:jc w:val="left"/>
              <w:rPr/>
            </w:pPr>
            <w:r>
              <w:rPr/>
              <w:t> </w:t>
            </w:r>
          </w:p>
        </w:tc>
        <w:tc>
          <w:tcPr>
            <w:tcW w:w="9435" w:type="dxa"/>
            <w:tcBorders/>
            <w:vAlign w:val="center"/>
          </w:tcPr>
          <w:p>
            <w:pPr>
              <w:pStyle w:val="TableContents"/>
              <w:bidi w:val="0"/>
              <w:spacing w:before="0" w:after="0"/>
              <w:ind w:left="0" w:right="0" w:hanging="0"/>
              <w:jc w:val="left"/>
              <w:rPr/>
            </w:pPr>
            <w:hyperlink w:anchor="ex_1016299.htm">
              <w:r>
                <w:rPr>
                  <w:rStyle w:val="InternetLink"/>
                  <w:rFonts w:ascii="Times New Roman" w:hAnsi="Times New Roman"/>
                  <w:caps w:val="false"/>
                  <w:smallCaps w:val="false"/>
                  <w:sz w:val="20"/>
                </w:rPr>
                <w:t>Press Release, dated September 14, 2026</w:t>
              </w:r>
            </w:hyperlink>
          </w:p>
        </w:tc>
      </w:tr>
      <w:tr>
        <w:trPr/>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43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9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540" w:right="0" w:hanging="540"/>
        <w:jc w:val="left"/>
        <w:rPr>
          <w:caps w:val="false"/>
          <w:smallCaps w:val="false"/>
        </w:rPr>
      </w:pPr>
      <w:r>
        <w:rPr>
          <w:caps w:val="false"/>
          <w:smallCaps w:val="false"/>
        </w:rPr>
        <w:t xml:space="preserve">†         </w:t>
      </w:r>
      <w:r>
        <w:rPr>
          <w:rFonts w:ascii="Times New Roman" w:hAnsi="Times New Roman"/>
          <w:caps w:val="false"/>
          <w:smallCaps w:val="false"/>
          <w:sz w:val="20"/>
        </w:rPr>
        <w:t>Exhibits have been omitted pursuant to Item 601(a)(5) of Regulation S-K. The Company agrees to furnish, on a supplemental basis, a copy of such omitted exhibits to the Securities and Exchange Commission upon request.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2120"/>
        <w:gridCol w:w="60"/>
        <w:gridCol w:w="320"/>
        <w:gridCol w:w="1970"/>
      </w:tblGrid>
      <w:tr>
        <w:trPr/>
        <w:tc>
          <w:tcPr>
            <w:tcW w:w="21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9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HealthStream, Inc.</w:t>
            </w:r>
          </w:p>
        </w:tc>
      </w:tr>
      <w:tr>
        <w:trPr/>
        <w:tc>
          <w:tcPr>
            <w:tcW w:w="21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7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Date: September 15, 2026</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Scott A. Roberts</w:t>
            </w:r>
          </w:p>
        </w:tc>
      </w:tr>
      <w:tr>
        <w:trPr/>
        <w:tc>
          <w:tcPr>
            <w:tcW w:w="21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Scott A. Roberts</w:t>
            </w:r>
          </w:p>
        </w:tc>
      </w:tr>
      <w:tr>
        <w:trPr/>
        <w:tc>
          <w:tcPr>
            <w:tcW w:w="21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1016292.htm"/>
      <w:bookmarkStart w:id="5" w:name="ksex_1016292"/>
      <w:bookmarkEnd w:id="4"/>
      <w:bookmarkEnd w:id="5"/>
      <w:r>
        <w:rPr>
          <w:rFonts w:ascii="Times New Roman;Times;serif" w:hAnsi="Times New Roman;Times;serif"/>
          <w:b/>
          <w:sz w:val="20"/>
        </w:rPr>
        <w:t>Exhibit 10.1</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i/>
          <w:sz w:val="20"/>
        </w:rPr>
        <w:t>Execution Version</w:t>
      </w:r>
      <w:r>
        <w:rPr>
          <w:rFonts w:ascii="Times New Roman;Times;serif" w:hAnsi="Times New Roman;Times;serif"/>
          <w:b/>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PURCHASE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This </w:t>
      </w:r>
      <w:r>
        <w:rPr>
          <w:rFonts w:ascii="Times New Roman" w:hAnsi="Times New Roman"/>
          <w:b/>
          <w:caps w:val="false"/>
          <w:smallCaps w:val="false"/>
          <w:sz w:val="20"/>
        </w:rPr>
        <w:t>SECURITIES PURCHASE AGREEMENT</w:t>
      </w:r>
      <w:r>
        <w:rPr>
          <w:rFonts w:ascii="Times New Roman" w:hAnsi="Times New Roman"/>
          <w:caps w:val="false"/>
          <w:smallCaps w:val="false"/>
          <w:sz w:val="20"/>
        </w:rPr>
        <w:t xml:space="preserve"> (this “</w:t>
      </w:r>
      <w:r>
        <w:rPr>
          <w:rFonts w:ascii="Times New Roman" w:hAnsi="Times New Roman"/>
          <w:b/>
          <w:caps w:val="false"/>
          <w:smallCaps w:val="false"/>
          <w:sz w:val="20"/>
        </w:rPr>
        <w:t>Agreement</w:t>
      </w:r>
      <w:r>
        <w:rPr>
          <w:rFonts w:ascii="Times New Roman" w:hAnsi="Times New Roman"/>
          <w:caps w:val="false"/>
          <w:smallCaps w:val="false"/>
          <w:sz w:val="20"/>
        </w:rPr>
        <w:t>”) is dated as of September 11, 2026, by and among HealthStream, Inc., a Tennessee corporation (the “</w:t>
      </w:r>
      <w:r>
        <w:rPr>
          <w:rFonts w:ascii="Times New Roman" w:hAnsi="Times New Roman"/>
          <w:b/>
          <w:caps w:val="false"/>
          <w:smallCaps w:val="false"/>
          <w:sz w:val="20"/>
        </w:rPr>
        <w:t>Company</w:t>
      </w:r>
      <w:r>
        <w:rPr>
          <w:rFonts w:ascii="Times New Roman" w:hAnsi="Times New Roman"/>
          <w:caps w:val="false"/>
          <w:smallCaps w:val="false"/>
          <w:sz w:val="20"/>
        </w:rPr>
        <w:t>”), Robert A. Frist, Jr. (the “</w:t>
      </w:r>
      <w:r>
        <w:rPr>
          <w:rFonts w:ascii="Times New Roman" w:hAnsi="Times New Roman"/>
          <w:b/>
          <w:caps w:val="false"/>
          <w:smallCaps w:val="false"/>
          <w:sz w:val="20"/>
        </w:rPr>
        <w:t>Selling Shareholder</w:t>
      </w:r>
      <w:r>
        <w:rPr>
          <w:rFonts w:ascii="Times New Roman" w:hAnsi="Times New Roman"/>
          <w:caps w:val="false"/>
          <w:smallCaps w:val="false"/>
          <w:sz w:val="20"/>
        </w:rPr>
        <w:t>”), and WJRJJ Ventures, LLC, a Delaware limited liability company (the “</w:t>
      </w:r>
      <w:r>
        <w:rPr>
          <w:rFonts w:ascii="Times New Roman" w:hAnsi="Times New Roman"/>
          <w:b/>
          <w:caps w:val="false"/>
          <w:smallCaps w:val="false"/>
          <w:sz w:val="20"/>
        </w:rPr>
        <w:t>Investor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Company, the Selling Shareholder and the Investor are executing and delivering this Agreement in reliance upon exemptions from securities registration under the Securities Act, including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Company and the Selling Shareholder desire to sell to the Investor, and the Investor desires to purchase from the Company and the Selling Shareholder, upon the terms and subject to the conditions stated in this Agreement, shares of the Company’s common stock, no par value (the “</w:t>
      </w:r>
      <w:r>
        <w:rPr>
          <w:rFonts w:ascii="Times New Roman" w:hAnsi="Times New Roman"/>
          <w:b/>
          <w:caps w:val="false"/>
          <w:smallCaps w:val="false"/>
          <w:sz w:val="20"/>
        </w:rPr>
        <w:t>Common Stock</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contemporaneously with the sale of the Shares, the Company and the Investor will execute and deliver a Registration Rights Agreement, substantially in the form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 pursuant to which the Company will agree to provide certain registration rights in respect of the Shares under the Securities Act and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 of the mutual agreements, representations, warranties and covenants herein contained, the Company, the Selling Shareholder, and the Investor,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Definitions</w:t>
      </w:r>
      <w:r>
        <w:rPr>
          <w:rFonts w:ascii="Times New Roman" w:hAnsi="Times New Roman"/>
          <w:caps w:val="false"/>
          <w:smallCaps w:val="false"/>
          <w:sz w:val="20"/>
        </w:rPr>
        <w:t>. As used in this Agreement, the following terms shall have the following respective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Affiliate</w:t>
      </w:r>
      <w:r>
        <w:rPr>
          <w:rFonts w:ascii="Times New Roman" w:hAnsi="Times New Roman"/>
          <w:caps w:val="false"/>
          <w:smallCaps w:val="false"/>
          <w:sz w:val="20"/>
        </w:rPr>
        <w:t>” means, with respect to any Person, any other Person that, directly or indirectly through one or more intermediaries, controls, is controlled by or is under common control with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Agreement</w:t>
      </w:r>
      <w:r>
        <w:rPr>
          <w:rFonts w:ascii="Times New Roman" w:hAnsi="Times New Roman"/>
          <w:caps w:val="false"/>
          <w:smallCaps w:val="false"/>
          <w:sz w:val="20"/>
        </w:rPr>
        <w:t>” has the meaning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Amended and Restated Bylaws</w:t>
      </w:r>
      <w:r>
        <w:rPr>
          <w:rFonts w:ascii="Times New Roman" w:hAnsi="Times New Roman"/>
          <w:caps w:val="false"/>
          <w:smallCaps w:val="false"/>
          <w:sz w:val="20"/>
        </w:rPr>
        <w:t>” means the Third Amended and Restated Bylaws of the Company, as currently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Amended and Restated</w:t>
      </w:r>
      <w:r>
        <w:rPr>
          <w:rFonts w:ascii="Times New Roman" w:hAnsi="Times New Roman"/>
          <w:caps w:val="false"/>
          <w:smallCaps w:val="false"/>
          <w:sz w:val="20"/>
        </w:rPr>
        <w:t xml:space="preserve"> </w:t>
      </w:r>
      <w:r>
        <w:rPr>
          <w:rFonts w:ascii="Times New Roman" w:hAnsi="Times New Roman"/>
          <w:b/>
          <w:caps w:val="false"/>
          <w:smallCaps w:val="false"/>
          <w:sz w:val="20"/>
        </w:rPr>
        <w:t>Charter</w:t>
      </w:r>
      <w:r>
        <w:rPr>
          <w:rFonts w:ascii="Times New Roman" w:hAnsi="Times New Roman"/>
          <w:caps w:val="false"/>
          <w:smallCaps w:val="false"/>
          <w:sz w:val="20"/>
        </w:rPr>
        <w:t>” means the Fourth Amended and Restated Charter of the Company, as currently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Board of Directors</w:t>
      </w:r>
      <w:r>
        <w:rPr>
          <w:rFonts w:ascii="Times New Roman" w:hAnsi="Times New Roman"/>
          <w:caps w:val="false"/>
          <w:smallCaps w:val="false"/>
          <w:sz w:val="20"/>
        </w:rPr>
        <w:t>” means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Business Day</w:t>
      </w:r>
      <w:r>
        <w:rPr>
          <w:rFonts w:ascii="Times New Roman" w:hAnsi="Times New Roman"/>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Closing</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Closing Date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Common Stock</w:t>
      </w:r>
      <w:r>
        <w:rPr>
          <w:rFonts w:ascii="Times New Roman" w:hAnsi="Times New Roman"/>
          <w:caps w:val="false"/>
          <w:smallCaps w:val="false"/>
          <w:sz w:val="20"/>
        </w:rPr>
        <w:t>” has the meaning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Company</w:t>
      </w:r>
      <w:r>
        <w:rPr>
          <w:rFonts w:ascii="Times New Roman" w:hAnsi="Times New Roman"/>
          <w:caps w:val="false"/>
          <w:smallCaps w:val="false"/>
          <w:sz w:val="20"/>
        </w:rPr>
        <w:t>” has the meaning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Disclosure Document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Exchange Act</w:t>
      </w:r>
      <w:r>
        <w:rPr>
          <w:rFonts w:ascii="Times New Roman" w:hAnsi="Times New Roman"/>
          <w:caps w:val="false"/>
          <w:smallCaps w:val="false"/>
          <w:sz w:val="20"/>
        </w:rPr>
        <w:t>” means the U.S. Securities Exchange Act of 1934, as amended, and all of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Financial Statements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3.8(b)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Fundamental Representations</w:t>
      </w:r>
      <w:r>
        <w:rPr>
          <w:rFonts w:ascii="Times New Roman" w:hAnsi="Times New Roman"/>
          <w:caps w:val="false"/>
          <w:smallCaps w:val="false"/>
          <w:sz w:val="20"/>
        </w:rPr>
        <w:t xml:space="preserve">” means the representations and warranties made by the Company in </w:t>
      </w:r>
      <w:r>
        <w:rPr>
          <w:rFonts w:ascii="Times New Roman" w:hAnsi="Times New Roman"/>
          <w:caps w:val="false"/>
          <w:smallCaps w:val="false"/>
          <w:sz w:val="20"/>
          <w:u w:val="single"/>
        </w:rPr>
        <w:t>Sections 3.1 (Organization and Power)</w:t>
      </w:r>
      <w:r>
        <w:rPr>
          <w:rFonts w:ascii="Times New Roman" w:hAnsi="Times New Roman"/>
          <w:caps w:val="false"/>
          <w:smallCaps w:val="false"/>
          <w:sz w:val="20"/>
        </w:rPr>
        <w:t xml:space="preserve">, </w:t>
      </w:r>
      <w:r>
        <w:rPr>
          <w:rFonts w:ascii="Times New Roman" w:hAnsi="Times New Roman"/>
          <w:caps w:val="false"/>
          <w:smallCaps w:val="false"/>
          <w:sz w:val="20"/>
          <w:u w:val="single"/>
        </w:rPr>
        <w:t>3.2 (Capitalization)</w:t>
      </w:r>
      <w:r>
        <w:rPr>
          <w:rFonts w:ascii="Times New Roman" w:hAnsi="Times New Roman"/>
          <w:caps w:val="false"/>
          <w:smallCaps w:val="false"/>
          <w:sz w:val="20"/>
        </w:rPr>
        <w:t xml:space="preserve">, </w:t>
      </w:r>
      <w:r>
        <w:rPr>
          <w:rFonts w:ascii="Times New Roman" w:hAnsi="Times New Roman"/>
          <w:caps w:val="false"/>
          <w:smallCaps w:val="false"/>
          <w:sz w:val="20"/>
          <w:u w:val="single"/>
        </w:rPr>
        <w:t>3.4 (Authorization)</w:t>
      </w:r>
      <w:r>
        <w:rPr>
          <w:rFonts w:ascii="Times New Roman" w:hAnsi="Times New Roman"/>
          <w:caps w:val="false"/>
          <w:smallCaps w:val="false"/>
          <w:sz w:val="20"/>
        </w:rPr>
        <w:t xml:space="preserve">, </w:t>
      </w:r>
      <w:r>
        <w:rPr>
          <w:rFonts w:ascii="Times New Roman" w:hAnsi="Times New Roman"/>
          <w:caps w:val="false"/>
          <w:smallCaps w:val="false"/>
          <w:sz w:val="20"/>
          <w:u w:val="single"/>
        </w:rPr>
        <w:t>3.5 (Valid Issuance)</w:t>
      </w:r>
      <w:r>
        <w:rPr>
          <w:rFonts w:ascii="Times New Roman" w:hAnsi="Times New Roman"/>
          <w:caps w:val="false"/>
          <w:smallCaps w:val="false"/>
          <w:sz w:val="20"/>
        </w:rPr>
        <w:t xml:space="preserve">, </w:t>
      </w:r>
      <w:r>
        <w:rPr>
          <w:rFonts w:ascii="Times New Roman" w:hAnsi="Times New Roman"/>
          <w:caps w:val="false"/>
          <w:smallCaps w:val="false"/>
          <w:sz w:val="20"/>
          <w:u w:val="single"/>
        </w:rPr>
        <w:t>3.6 (No Conflict)</w:t>
      </w:r>
      <w:r>
        <w:rPr>
          <w:rFonts w:ascii="Times New Roman" w:hAnsi="Times New Roman"/>
          <w:caps w:val="false"/>
          <w:smallCaps w:val="false"/>
          <w:sz w:val="20"/>
        </w:rPr>
        <w:t xml:space="preserve">, and </w:t>
      </w:r>
      <w:r>
        <w:rPr>
          <w:rFonts w:ascii="Times New Roman" w:hAnsi="Times New Roman"/>
          <w:caps w:val="false"/>
          <w:smallCaps w:val="false"/>
          <w:sz w:val="20"/>
          <w:u w:val="single"/>
        </w:rPr>
        <w:t>3.7 (Consents)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GAAP</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3.8(b)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Indemnified Person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Investor</w:t>
      </w:r>
      <w:r>
        <w:rPr>
          <w:rFonts w:ascii="Times New Roman" w:hAnsi="Times New Roman"/>
          <w:caps w:val="false"/>
          <w:smallCaps w:val="false"/>
          <w:sz w:val="20"/>
        </w:rPr>
        <w:t>” has the meaning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Material Adverse Effect</w:t>
      </w:r>
      <w:r>
        <w:rPr>
          <w:rFonts w:ascii="Times New Roman" w:hAnsi="Times New Roman"/>
          <w:caps w:val="false"/>
          <w:smallCaps w:val="false"/>
          <w:sz w:val="20"/>
        </w:rPr>
        <w:t xml:space="preserve">” means any change, event, circumstance, development, condition, occurrence or effect that, individually or in the aggregate, (a) was, is, or would reasonably be expected to be, materially adverse to the business, financial condition, properties, assets, liabilities, shareholders’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 except that for purposes of </w:t>
      </w:r>
      <w:r>
        <w:rPr>
          <w:rFonts w:ascii="Times New Roman" w:hAnsi="Times New Roman"/>
          <w:caps w:val="false"/>
          <w:smallCaps w:val="false"/>
          <w:sz w:val="20"/>
          <w:u w:val="single"/>
        </w:rPr>
        <w:t>Section 7.1(g)</w:t>
      </w:r>
      <w:r>
        <w:rPr>
          <w:rFonts w:ascii="Times New Roman" w:hAnsi="Times New Roman"/>
          <w:caps w:val="false"/>
          <w:smallCaps w:val="false"/>
          <w:sz w:val="20"/>
        </w:rPr>
        <w:t xml:space="preserve"> of this Agreement, in no event shall a change in the market price of the Common Stock alone constitute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Nasdaq</w:t>
      </w:r>
      <w:r>
        <w:rPr>
          <w:rFonts w:ascii="Times New Roman" w:hAnsi="Times New Roman"/>
          <w:caps w:val="false"/>
          <w:smallCaps w:val="false"/>
          <w:sz w:val="20"/>
        </w:rPr>
        <w:t>” means the Nasdaq Global Select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Person</w:t>
      </w:r>
      <w:r>
        <w:rPr>
          <w:rFonts w:ascii="Times New Roman" w:hAnsi="Times New Roman"/>
          <w:caps w:val="false"/>
          <w:smallCaps w:val="false"/>
          <w:sz w:val="20"/>
        </w:rPr>
        <w:t>” means an individual, partnership, corporation, limited liability company, business trust, joint stock company, trust, unincorporated association, joint venture or any other entity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Registration Rights Agreement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7.1(k)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Rule 144</w:t>
      </w:r>
      <w:r>
        <w:rPr>
          <w:rFonts w:ascii="Times New Roman" w:hAnsi="Times New Roman"/>
          <w:caps w:val="false"/>
          <w:smallCaps w:val="false"/>
          <w:sz w:val="20"/>
        </w:rPr>
        <w:t>” means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SEC</w:t>
      </w:r>
      <w:r>
        <w:rPr>
          <w:rFonts w:ascii="Times New Roman" w:hAnsi="Times New Roman"/>
          <w:caps w:val="false"/>
          <w:smallCaps w:val="false"/>
          <w:sz w:val="20"/>
        </w:rPr>
        <w:t>” means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SEC Reports</w:t>
      </w:r>
      <w:r>
        <w:rPr>
          <w:rFonts w:ascii="Times New Roman" w:hAnsi="Times New Roman"/>
          <w:caps w:val="false"/>
          <w:smallCaps w:val="false"/>
          <w:sz w:val="20"/>
        </w:rPr>
        <w:t>” means (a) the Company’s most recently filed Annual Report on Form 10-K and (b) all Quarterly Reports on Form 10-Q and Current Reports on Form 8-K filed or furnished (as applicable) by the Company on and after January 1, 2026, and prior to the execution of this Agreement, together in each case with any documents incorporated by reference therein or exhibits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Securities Act</w:t>
      </w:r>
      <w:r>
        <w:rPr>
          <w:rFonts w:ascii="Times New Roman" w:hAnsi="Times New Roman"/>
          <w:caps w:val="false"/>
          <w:smallCaps w:val="false"/>
          <w:sz w:val="20"/>
        </w:rPr>
        <w:t>” means the U.S. Securities Act of 1933, as amended, and all of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Shares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Short Sales</w:t>
      </w:r>
      <w:r>
        <w:rPr>
          <w:rFonts w:ascii="Times New Roman" w:hAnsi="Times New Roman"/>
          <w:caps w:val="false"/>
          <w:smallCaps w:val="false"/>
          <w:sz w:val="20"/>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Tax</w:t>
      </w:r>
      <w:r>
        <w:rPr>
          <w:rFonts w:ascii="Times New Roman" w:hAnsi="Times New Roman"/>
          <w:caps w:val="false"/>
          <w:smallCaps w:val="false"/>
          <w:sz w:val="20"/>
        </w:rPr>
        <w:t>” or “</w:t>
      </w:r>
      <w:r>
        <w:rPr>
          <w:rFonts w:ascii="Times New Roman" w:hAnsi="Times New Roman"/>
          <w:b/>
          <w:caps w:val="false"/>
          <w:smallCaps w:val="false"/>
          <w:sz w:val="20"/>
        </w:rPr>
        <w:t>Taxes</w:t>
      </w:r>
      <w:r>
        <w:rPr>
          <w:rFonts w:ascii="Times New Roman" w:hAnsi="Times New Roman"/>
          <w:caps w:val="false"/>
          <w:smallCaps w:val="false"/>
          <w:sz w:val="20"/>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Tax Returns</w:t>
      </w:r>
      <w:r>
        <w:rPr>
          <w:rFonts w:ascii="Times New Roman" w:hAnsi="Times New Roman"/>
          <w:caps w:val="false"/>
          <w:smallCaps w:val="false"/>
          <w:sz w:val="20"/>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Transaction Agreements</w:t>
      </w:r>
      <w:r>
        <w:rPr>
          <w:rFonts w:ascii="Times New Roman" w:hAnsi="Times New Roman"/>
          <w:caps w:val="false"/>
          <w:smallCaps w:val="false"/>
          <w:sz w:val="20"/>
        </w:rPr>
        <w:t>” means this Agreement and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Transfer Agent</w:t>
      </w:r>
      <w:r>
        <w:rPr>
          <w:rFonts w:ascii="Times New Roman" w:hAnsi="Times New Roman"/>
          <w:caps w:val="false"/>
          <w:smallCaps w:val="false"/>
          <w:sz w:val="20"/>
        </w:rPr>
        <w:t>” means, with respect to the Common Stock, Computershare Trust Company, N.A. or such other financial institution that provides transfer agent services as the Company may engage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Purchase and Sale of Securities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caps w:val="false"/>
          <w:smallCaps w:val="false"/>
          <w:sz w:val="20"/>
          <w:u w:val="single"/>
        </w:rPr>
        <w:t>Purchase and Sale</w:t>
      </w:r>
      <w:r>
        <w:rPr>
          <w:rFonts w:ascii="Times New Roman" w:hAnsi="Times New Roman"/>
          <w:caps w:val="false"/>
          <w:smallCaps w:val="false"/>
          <w:sz w:val="20"/>
        </w:rPr>
        <w:t>. On the Closing Date, upon the terms and subject to the conditions set forth herein, (i) the Company agrees to issue to the Investor, and the Investor agrees to purchase from the Company, 1,355,932 shares of Common Stock (the “</w:t>
      </w:r>
      <w:r>
        <w:rPr>
          <w:rFonts w:ascii="Times New Roman" w:hAnsi="Times New Roman"/>
          <w:b/>
          <w:caps w:val="false"/>
          <w:smallCaps w:val="false"/>
          <w:sz w:val="20"/>
        </w:rPr>
        <w:t>Company Shares</w:t>
      </w:r>
      <w:r>
        <w:rPr>
          <w:rFonts w:ascii="Times New Roman" w:hAnsi="Times New Roman"/>
          <w:caps w:val="false"/>
          <w:smallCaps w:val="false"/>
          <w:sz w:val="20"/>
        </w:rPr>
        <w:t>”), for an aggregate purchase price of $39,999,994 (the “</w:t>
      </w:r>
      <w:r>
        <w:rPr>
          <w:rFonts w:ascii="Times New Roman" w:hAnsi="Times New Roman"/>
          <w:b/>
          <w:caps w:val="false"/>
          <w:smallCaps w:val="false"/>
          <w:sz w:val="20"/>
        </w:rPr>
        <w:t>Company Purchase Price</w:t>
      </w:r>
      <w:r>
        <w:rPr>
          <w:rFonts w:ascii="Times New Roman" w:hAnsi="Times New Roman"/>
          <w:caps w:val="false"/>
          <w:smallCaps w:val="false"/>
          <w:sz w:val="20"/>
        </w:rPr>
        <w:t>”), and (ii) the Selling Shareholder agrees to sell to the Investor, and the Investor agrees to purchase from the Selling Shareholder, 144,068 shares of Common Stock (the “</w:t>
      </w:r>
      <w:r>
        <w:rPr>
          <w:rFonts w:ascii="Times New Roman" w:hAnsi="Times New Roman"/>
          <w:b/>
          <w:caps w:val="false"/>
          <w:smallCaps w:val="false"/>
          <w:sz w:val="20"/>
        </w:rPr>
        <w:t>Selling Shareholder Shares</w:t>
      </w:r>
      <w:r>
        <w:rPr>
          <w:rFonts w:ascii="Times New Roman" w:hAnsi="Times New Roman"/>
          <w:caps w:val="false"/>
          <w:smallCaps w:val="false"/>
          <w:sz w:val="20"/>
        </w:rPr>
        <w:t>”; the Company Shares and the Selling Shareholder Shares are collectively referred to herein as the “</w:t>
      </w:r>
      <w:r>
        <w:rPr>
          <w:rFonts w:ascii="Times New Roman" w:hAnsi="Times New Roman"/>
          <w:b/>
          <w:caps w:val="false"/>
          <w:smallCaps w:val="false"/>
          <w:sz w:val="20"/>
        </w:rPr>
        <w:t>Shares</w:t>
      </w:r>
      <w:r>
        <w:rPr>
          <w:rFonts w:ascii="Times New Roman" w:hAnsi="Times New Roman"/>
          <w:caps w:val="false"/>
          <w:smallCaps w:val="false"/>
          <w:sz w:val="20"/>
        </w:rPr>
        <w:t>”), for an aggregate purchase price of $4,250,006 (the “</w:t>
      </w:r>
      <w:r>
        <w:rPr>
          <w:rFonts w:ascii="Times New Roman" w:hAnsi="Times New Roman"/>
          <w:b/>
          <w:caps w:val="false"/>
          <w:smallCaps w:val="false"/>
          <w:sz w:val="20"/>
        </w:rPr>
        <w:t>Selling Shareholder Purchase Price</w:t>
      </w:r>
      <w:r>
        <w:rPr>
          <w:rFonts w:ascii="Times New Roman" w:hAnsi="Times New Roman"/>
          <w:caps w:val="false"/>
          <w:smallCaps w:val="false"/>
          <w:sz w:val="20"/>
        </w:rPr>
        <w:t xml:space="preserve">”). The price per Share for the Company Shares and Selling Shareholder Shares to be issued and sold, respectively, pursuant to this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is $29.50.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caps w:val="false"/>
          <w:smallCaps w:val="false"/>
          <w:sz w:val="20"/>
          <w:u w:val="single"/>
        </w:rPr>
        <w:t>Closing</w:t>
      </w:r>
      <w:r>
        <w:rPr>
          <w:rFonts w:ascii="Times New Roman" w:hAnsi="Times New Roman"/>
          <w:caps w:val="false"/>
          <w:smallCaps w:val="false"/>
          <w:sz w:val="20"/>
        </w:rPr>
        <w:t>. The closing of the purchase and sale of the Shares (the “</w:t>
      </w:r>
      <w:r>
        <w:rPr>
          <w:rFonts w:ascii="Times New Roman" w:hAnsi="Times New Roman"/>
          <w:b/>
          <w:caps w:val="false"/>
          <w:smallCaps w:val="false"/>
          <w:sz w:val="20"/>
        </w:rPr>
        <w:t>Closing</w:t>
      </w:r>
      <w:r>
        <w:rPr>
          <w:rFonts w:ascii="Times New Roman" w:hAnsi="Times New Roman"/>
          <w:caps w:val="false"/>
          <w:smallCaps w:val="false"/>
          <w:sz w:val="20"/>
        </w:rPr>
        <w:t>” and the date on which the Closing occurs, the “</w:t>
      </w:r>
      <w:r>
        <w:rPr>
          <w:rFonts w:ascii="Times New Roman" w:hAnsi="Times New Roman"/>
          <w:b/>
          <w:caps w:val="false"/>
          <w:smallCaps w:val="false"/>
          <w:sz w:val="20"/>
        </w:rPr>
        <w:t>Closing Date</w:t>
      </w:r>
      <w:r>
        <w:rPr>
          <w:rFonts w:ascii="Times New Roman" w:hAnsi="Times New Roman"/>
          <w:caps w:val="false"/>
          <w:smallCaps w:val="false"/>
          <w:sz w:val="20"/>
        </w:rPr>
        <w:t xml:space="preserve">”) shall occur remotely via the exchange of documents and signatures (i) on the first Business Day after the date of this Agreement, subject to the satisfaction or waiver of the conditions set forth in </w:t>
      </w:r>
      <w:r>
        <w:rPr>
          <w:rFonts w:ascii="Times New Roman" w:hAnsi="Times New Roman"/>
          <w:caps w:val="false"/>
          <w:smallCaps w:val="false"/>
          <w:sz w:val="20"/>
          <w:u w:val="single"/>
        </w:rPr>
        <w:t>Section 7</w:t>
      </w:r>
      <w:r>
        <w:rPr>
          <w:rFonts w:ascii="Times New Roman" w:hAnsi="Times New Roman"/>
          <w:caps w:val="false"/>
          <w:smallCaps w:val="false"/>
          <w:sz w:val="20"/>
        </w:rPr>
        <w:t xml:space="preserve"> of this Agreement, and (ii) if the Closing does not occur on the first Business Day after the date of this Agreement, on the Business Day that is no later than one Business Day after the satisfaction or waiver of the conditions set forth in </w:t>
      </w:r>
      <w:r>
        <w:rPr>
          <w:rFonts w:ascii="Times New Roman" w:hAnsi="Times New Roman"/>
          <w:caps w:val="false"/>
          <w:smallCaps w:val="false"/>
          <w:sz w:val="20"/>
          <w:u w:val="single"/>
        </w:rPr>
        <w:t>Section 7</w:t>
      </w:r>
      <w:r>
        <w:rPr>
          <w:rFonts w:ascii="Times New Roman" w:hAnsi="Times New Roman"/>
          <w:caps w:val="false"/>
          <w:smallCaps w:val="false"/>
          <w:sz w:val="20"/>
        </w:rPr>
        <w:t xml:space="preserve"> of this Agreement (except for those conditions to the Closing that by their nature are to be satisfied at the Closing and subject to the satisfaction or waiver of such conditions), or at such other time as mutually agreed to in writing by the parties. At the Closing, the Company Shares shall be issued and registered in the name of the Investor, or in such nominee name(s) as designated by such Investor, representing the number of Company Shares to be purchased by the Investor from the Company at the Closing against payment to the Company of the Company Purchase Price therefor in full, by wire transfer to the Company of immediately available funds, at or prior to the Closing, in accordance with wire instructions provided by the Company to the Investor at least one Business Day prior to the Closing. At the Closing, the Selling Shareholder Shares shall be transferred to and registered in the name of the Investor, or in such nominee name(s) as designated by such Investor, representing the number of Selling Shareholder Shares to be purchased by the Investor from the Selling Shareholder at the Closing against payment to the Selling Shareholder of the Selling Shareholder Purchase Price therefor in full, by wire transfer to the Selling Shareholder of immediately available funds, at or prior to the Closing, in accordance with wire instructions provided by the Selling Shareholder to the Investor at least one Business Day prior to the Closing. On the Closing Date, the Company will cause the Transfer Agent to issue and register the Shares in book-entry form, free and clear of all restrictive and other legends (except as expressly provided in </w:t>
      </w:r>
      <w:r>
        <w:rPr>
          <w:rFonts w:ascii="Times New Roman" w:hAnsi="Times New Roman"/>
          <w:caps w:val="false"/>
          <w:smallCaps w:val="false"/>
          <w:sz w:val="20"/>
          <w:u w:val="single"/>
        </w:rPr>
        <w:t>Section 5.10</w:t>
      </w:r>
      <w:r>
        <w:rPr>
          <w:rFonts w:ascii="Times New Roman" w:hAnsi="Times New Roman"/>
          <w:caps w:val="false"/>
          <w:smallCaps w:val="false"/>
          <w:sz w:val="20"/>
        </w:rPr>
        <w:t>) and the Company shall provide evidence of such book-entries from the Company’s Transfer Agent as soon as reasonably practicable following the Closing Date to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Representations and Warranties of the Company</w:t>
      </w:r>
      <w:r>
        <w:rPr>
          <w:rFonts w:ascii="Times New Roman" w:hAnsi="Times New Roman"/>
          <w:caps w:val="false"/>
          <w:smallCaps w:val="false"/>
          <w:sz w:val="20"/>
        </w:rPr>
        <w:t xml:space="preserve">. Except as set forth in the SEC Reports (other than as to the Fundamental Representations, which are not so qualified), the Company hereby represents and warrants to the Investor that the statements contained in this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are true and correct as of the date of this Agreement and as of the Closing Date (except for the representations and warranties that speak as of a specific date, which shall be made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3.1    </w:t>
      </w:r>
      <w:r>
        <w:rPr>
          <w:rFonts w:ascii="Times New Roman" w:hAnsi="Times New Roman"/>
          <w:caps w:val="false"/>
          <w:smallCaps w:val="false"/>
          <w:sz w:val="20"/>
          <w:u w:val="single"/>
        </w:rPr>
        <w:t>Organization and Power</w:t>
      </w:r>
      <w:r>
        <w:rPr>
          <w:rFonts w:ascii="Times New Roman" w:hAnsi="Times New Roman"/>
          <w:caps w:val="false"/>
          <w:smallCaps w:val="false"/>
          <w:sz w:val="20"/>
        </w:rPr>
        <w:t>. The Company is a corporation duly organized, validly existing and in good standing under the laws of the State of Tennessee,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or duly formed, as applicable, and validly existing and in good standing under the laws of the jurisdiction of its incorporation or organization and has the requisite power and authority to carry on its business as now conducted and to own or lease its properties and (ii) qualified to do business as a foreign entity and in good standing in each jurisdiction in which such qualification is required, except, in any such case, as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3.2    </w:t>
      </w:r>
      <w:r>
        <w:rPr>
          <w:rFonts w:ascii="Times New Roman" w:hAnsi="Times New Roman"/>
          <w:caps w:val="false"/>
          <w:smallCaps w:val="false"/>
          <w:sz w:val="20"/>
          <w:u w:val="single"/>
        </w:rPr>
        <w:t>Capitalization</w:t>
      </w:r>
      <w:r>
        <w:rPr>
          <w:rFonts w:ascii="Times New Roman" w:hAnsi="Times New Roman"/>
          <w:caps w:val="false"/>
          <w:smallCaps w:val="false"/>
          <w:sz w:val="20"/>
        </w:rPr>
        <w:t>.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or agreement of any kind relating to the issuance of any capital stock of the Company or any such subsidiary, any such convertible or exchangeable securities or any such rights, warrants or options, except as disclosed in the SEC Reports or issued or issuable pursuant to the Company’s equity compensation plans described in the SEC Reports;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and are owned directly or indirectly by the Company, free and clear of any lien, charge, encumbrance, security interest, restriction on voting or transfer or any other claim of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3.3    </w:t>
      </w:r>
      <w:r>
        <w:rPr>
          <w:rFonts w:ascii="Times New Roman" w:hAnsi="Times New Roman"/>
          <w:caps w:val="false"/>
          <w:smallCaps w:val="false"/>
          <w:sz w:val="20"/>
          <w:u w:val="single"/>
        </w:rPr>
        <w:t>Registration Rights</w:t>
      </w:r>
      <w:r>
        <w:rPr>
          <w:rFonts w:ascii="Times New Roman" w:hAnsi="Times New Roman"/>
          <w:caps w:val="false"/>
          <w:smallCaps w:val="false"/>
          <w:sz w:val="20"/>
        </w:rPr>
        <w:t>.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3.4    </w:t>
      </w:r>
      <w:r>
        <w:rPr>
          <w:rFonts w:ascii="Times New Roman" w:hAnsi="Times New Roman"/>
          <w:caps w:val="false"/>
          <w:smallCaps w:val="false"/>
          <w:sz w:val="20"/>
          <w:u w:val="single"/>
        </w:rPr>
        <w:t>Authorization</w:t>
      </w:r>
      <w:r>
        <w:rPr>
          <w:rFonts w:ascii="Times New Roman" w:hAnsi="Times New Roman"/>
          <w:caps w:val="false"/>
          <w:smallCaps w:val="false"/>
          <w:sz w:val="20"/>
        </w:rPr>
        <w:t>. The Company has all requisite corporate power and authority to enter into the Transaction Agreements and to carry out and perform its obligations under the terms of the Transaction Agreements, including the issuance and sale of the Company Shares. All corporate action on the part of the Company, its officers, directors and shareholders necessary for the authorization of the Company Shares, the authorization, execution, delivery and performance of the Transaction Agreements and the consummation of the transactions contemplated herein, including the issuance and sale of the Company Shares, has been taken. This Agreement has been duly executed and delivered by the Company and, assuming the due authorization, execution and delivery by the other parties hereto and assuming that this Agreement constitutes the legal, valid and binding agreement of the other parties hereto,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3.5    </w:t>
      </w:r>
      <w:r>
        <w:rPr>
          <w:rFonts w:ascii="Times New Roman" w:hAnsi="Times New Roman"/>
          <w:caps w:val="false"/>
          <w:smallCaps w:val="false"/>
          <w:sz w:val="20"/>
          <w:u w:val="single"/>
        </w:rPr>
        <w:t>Valid Issuance</w:t>
      </w:r>
      <w:r>
        <w:rPr>
          <w:rFonts w:ascii="Times New Roman" w:hAnsi="Times New Roman"/>
          <w:caps w:val="false"/>
          <w:smallCaps w:val="false"/>
          <w:sz w:val="20"/>
        </w:rPr>
        <w:t xml:space="preserve">. The Shares being purchased by the Investor hereunder have been duly and validly authorized and, upon issuance and sale pursuant to the terms of this Agreement against full payment therefor in accordance with the terms of this Agreement, will be duly and validly issued, fully paid and non-assessable and will be issued at the Closing free and clear of any liens or other restrictions (other than those as provided in the Transaction Agreements or restrictions on transfer under applicable state and federal securities laws). At the Closing, the Investor shall be entitled to all rights accorded to a holder of Common Stock with respect to the Shares. The issuance and delivery of the Shares does not (a) obligate the Company to offer to issue, or issue, shares of Common Stock or other securities to any Person (other than the Investor)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with respect to the Shares. Subject to the accuracy of the representations and warranties made by the Investor in </w:t>
      </w:r>
      <w:r>
        <w:rPr>
          <w:rFonts w:ascii="Times New Roman" w:hAnsi="Times New Roman"/>
          <w:caps w:val="false"/>
          <w:smallCaps w:val="false"/>
          <w:sz w:val="20"/>
          <w:u w:val="single"/>
        </w:rPr>
        <w:t>Section 5</w:t>
      </w:r>
      <w:r>
        <w:rPr>
          <w:rFonts w:ascii="Times New Roman" w:hAnsi="Times New Roman"/>
          <w:caps w:val="false"/>
          <w:smallCaps w:val="false"/>
          <w:sz w:val="20"/>
        </w:rPr>
        <w:t>, the offer and sale of the Shares to the Investor is and will be in compliance with applicable exemptions from (i) the registration and prospectus delivery requirements of the Securities Act and (ii) the registration and qualification requirements of applicable securities laws of the states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3.6    </w:t>
      </w:r>
      <w:r>
        <w:rPr>
          <w:rFonts w:ascii="Times New Roman" w:hAnsi="Times New Roman"/>
          <w:caps w:val="false"/>
          <w:smallCaps w:val="false"/>
          <w:sz w:val="20"/>
          <w:u w:val="single"/>
        </w:rPr>
        <w:t>No Conflict</w:t>
      </w:r>
      <w:r>
        <w:rPr>
          <w:rFonts w:ascii="Times New Roman" w:hAnsi="Times New Roman"/>
          <w:caps w:val="false"/>
          <w:smallCaps w:val="false"/>
          <w:sz w:val="20"/>
        </w:rPr>
        <w:t>. The execution, delivery and performance of the Transaction Agreements by the Company, the issuance and sale of the Shares and the consummation of the other transactions contemplated by the Transaction Agreements will not (i) violate any provision of the Amended and Restated Charter or Amended and Restated Bylaws of the 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or (iii)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(ii) and (iii), as would not, individually or in the aggregate, be reasonably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3.7    </w:t>
      </w:r>
      <w:r>
        <w:rPr>
          <w:rFonts w:ascii="Times New Roman" w:hAnsi="Times New Roman"/>
          <w:caps w:val="false"/>
          <w:smallCaps w:val="false"/>
          <w:sz w:val="20"/>
          <w:u w:val="single"/>
        </w:rPr>
        <w:t>Consents</w:t>
      </w:r>
      <w:r>
        <w:rPr>
          <w:rFonts w:ascii="Times New Roman" w:hAnsi="Times New Roman"/>
          <w:caps w:val="false"/>
          <w:smallCaps w:val="false"/>
          <w:sz w:val="20"/>
        </w:rPr>
        <w:t>. Assuming the accuracy of the representations and warranties of the Investor, no consent, approval, authorization, filing with or order of or registration with, any court or governmental agency or body is required in connection with the authorization, execution or delivery by the Company of the Transaction Agreements, the issuance and sale of the Shares and the performance by the Company of its other obligations under the Transaction Agreements, except (a) such as have been or will be obtained or made under the Securities Act or the Exchange Act, (b) for the filing of any requisite notices and/or application(s) to Nasdaq for the issuance and sale of the Shares and the listing of the Shares for trading or quotation, as the case may be, thereon in the time and manner required thereby, (c) for customary post-closing filings with the SEC or pursuant to state securities laws in connection with the offer and sale of the Shares by the Company in the manner contemplated herein, which will be filed on a timely basis, (d) for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3.8    </w:t>
      </w:r>
      <w:r>
        <w:rPr>
          <w:rFonts w:ascii="Times New Roman" w:hAnsi="Times New Roman"/>
          <w:caps w:val="false"/>
          <w:smallCaps w:val="false"/>
          <w:sz w:val="20"/>
          <w:u w:val="single"/>
        </w:rPr>
        <w:t>SEC Filings; Financial Statements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(a)    The Company has filed all forms, statements, certifications, reports and documents required to be filed by it with the SEC under Sections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actual knowledge, none of the SEC Reports are the subject of an ongoing SEC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(b)    The financial statements of the Company included in the SEC Reports (collectively, the “</w:t>
      </w:r>
      <w:r>
        <w:rPr>
          <w:rFonts w:ascii="Times New Roman" w:hAnsi="Times New Roman"/>
          <w:b/>
          <w:caps w:val="false"/>
          <w:smallCaps w:val="false"/>
          <w:sz w:val="20"/>
        </w:rPr>
        <w:t>Financial Statements</w:t>
      </w:r>
      <w:r>
        <w:rPr>
          <w:rFonts w:ascii="Times New Roman" w:hAnsi="Times New Roman"/>
          <w:caps w:val="false"/>
          <w:smallCaps w:val="false"/>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as of the dates indicated, and the results of its operations and cash flows for the periods therein specified, all in accordance with United States generally accepted accounting principles (“</w:t>
      </w:r>
      <w:r>
        <w:rPr>
          <w:rFonts w:ascii="Times New Roman" w:hAnsi="Times New Roman"/>
          <w:b/>
          <w:caps w:val="false"/>
          <w:smallCaps w:val="false"/>
          <w:sz w:val="20"/>
        </w:rPr>
        <w:t>GAAP</w:t>
      </w:r>
      <w:r>
        <w:rPr>
          <w:rFonts w:ascii="Times New Roman" w:hAnsi="Times New Roman"/>
          <w:caps w:val="false"/>
          <w:smallCaps w:val="false"/>
          <w:sz w:val="20"/>
        </w:rPr>
        <w:t>”) (except as otherwise noted therein, and in the case of unaudited financial statements, as permitted by Form 10-Q of the SEC, and except that the unaudited financial statements may not contain footnotes and are subject to normal and recurring year-end adjustments) applied on a consistent basis throughout the periods therein specified (unless otherwise noted therein). Except as set forth in the Financial Statements filed prior to the date of this Agreement, neither the Company nor any of its subsidiaries has incurred any liabilities, contingent or otherwise, except (i) those incurred in the ordinary course of business, consistent with past practices since the date of such Financial Statements, (ii) liabilities not required under GAAP to be reflected in the Financial Statements, or (iii) liabilities that, individually or in the aggregate, have not had or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3.9    </w:t>
      </w:r>
      <w:r>
        <w:rPr>
          <w:rFonts w:ascii="Times New Roman" w:hAnsi="Times New Roman"/>
          <w:caps w:val="false"/>
          <w:smallCaps w:val="false"/>
          <w:sz w:val="20"/>
          <w:u w:val="single"/>
        </w:rPr>
        <w:t>Absence of Changes</w:t>
      </w:r>
      <w:r>
        <w:rPr>
          <w:rFonts w:ascii="Times New Roman" w:hAnsi="Times New Roman"/>
          <w:caps w:val="false"/>
          <w:smallCaps w:val="false"/>
          <w:sz w:val="20"/>
        </w:rPr>
        <w:t>. Since June 30, 2026, there has not been any other event or condition of any character that has had or would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3.10    </w:t>
      </w:r>
      <w:r>
        <w:rPr>
          <w:rFonts w:ascii="Times New Roman" w:hAnsi="Times New Roman"/>
          <w:caps w:val="false"/>
          <w:smallCaps w:val="false"/>
          <w:sz w:val="20"/>
          <w:u w:val="single"/>
        </w:rPr>
        <w:t>Absence of Litigation</w:t>
      </w:r>
      <w:r>
        <w:rPr>
          <w:rFonts w:ascii="Times New Roman" w:hAnsi="Times New Roman"/>
          <w:caps w:val="false"/>
          <w:smallCaps w:val="false"/>
          <w:sz w:val="20"/>
        </w:rPr>
        <w:t>.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subsidiary, nor to the knowledge of the Company, any director or officer of the Company or any subsidiary, is, or within the last ten years has been, the subject of any action involving a claim of violation of or liability under federal or state securities laws relating to the Company or such subsidiary or a claim of breach of fiduciary duty relating to the Company or such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3.11    </w:t>
      </w:r>
      <w:r>
        <w:rPr>
          <w:rFonts w:ascii="Times New Roman" w:hAnsi="Times New Roman"/>
          <w:caps w:val="false"/>
          <w:smallCaps w:val="false"/>
          <w:sz w:val="20"/>
          <w:u w:val="single"/>
        </w:rPr>
        <w:t>Compliance with Law; Permits</w:t>
      </w:r>
      <w:r>
        <w:rPr>
          <w:rFonts w:ascii="Times New Roman" w:hAnsi="Times New Roman"/>
          <w:caps w:val="false"/>
          <w:smallCaps w:val="false"/>
          <w:sz w:val="20"/>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caps w:val="false"/>
          <w:smallCaps w:val="false"/>
          <w:sz w:val="20"/>
        </w:rPr>
        <w:t>Governmental Authorizations</w:t>
      </w:r>
      <w:r>
        <w:rPr>
          <w:rFonts w:ascii="Times New Roman" w:hAnsi="Times New Roman"/>
          <w:caps w:val="false"/>
          <w:smallCaps w:val="false"/>
          <w:sz w:val="20"/>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3.12    </w:t>
      </w:r>
      <w:r>
        <w:rPr>
          <w:rFonts w:ascii="Times New Roman" w:hAnsi="Times New Roman"/>
          <w:caps w:val="false"/>
          <w:smallCaps w:val="false"/>
          <w:sz w:val="20"/>
          <w:u w:val="single"/>
        </w:rPr>
        <w:t>Intellectual Property</w:t>
      </w:r>
      <w:r>
        <w:rPr>
          <w:rFonts w:ascii="Times New Roman" w:hAnsi="Times New Roman"/>
          <w:caps w:val="false"/>
          <w:smallCaps w:val="false"/>
          <w:sz w:val="20"/>
        </w:rPr>
        <w:t>. The Company and its subsidiaries own, or have rights to use, all material inventions, patent applications, patents, trademarks, trade names, service names, service marks, copyrights, trade secrets, know-how (including unpatented and/or unpatentable proprietary or confidential information, systems or procedures) and other intellectual property as described in the SEC Reports necessary for, or used in the conduct of their respective businesses (including as described in the SEC Reports) (collectively, “</w:t>
      </w:r>
      <w:r>
        <w:rPr>
          <w:rFonts w:ascii="Times New Roman" w:hAnsi="Times New Roman"/>
          <w:b/>
          <w:caps w:val="false"/>
          <w:smallCaps w:val="false"/>
          <w:sz w:val="20"/>
        </w:rPr>
        <w:t>Intellectual Property</w:t>
      </w:r>
      <w:r>
        <w:rPr>
          <w:rFonts w:ascii="Times New Roman" w:hAnsi="Times New Roman"/>
          <w:caps w:val="false"/>
          <w:smallCaps w:val="false"/>
          <w:sz w:val="20"/>
        </w:rPr>
        <w:t>”), except where any failure to own, possess or acquire, or to have rights to use, such Intellectual Property has not had, and would not, individually or in the aggregate, reasonably be expected to have a Material Adverse Effect.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The Intellectual Property of the Company and its subsidiaries has not been adjudged by a court of competent jurisdiction to be invalid or unenforceable, in whole or in part.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material agreement pursuant to which Intellectual Property has been licensed to the Company or any of its subsidiaries in all material respects, and to the Company’s knowledge all such material agreements are in full force and effect. To the Company’s knowledge, there are no material defects in any of the patents or patent applications included in the owned Intellectual Property. The Company and its subsidiaries have taken steps the Company believes to be commercially reasonable to protect, maintain and safeguard their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3.13    </w:t>
      </w:r>
      <w:r>
        <w:rPr>
          <w:rFonts w:ascii="Times New Roman" w:hAnsi="Times New Roman"/>
          <w:caps w:val="false"/>
          <w:smallCaps w:val="false"/>
          <w:sz w:val="20"/>
          <w:u w:val="single"/>
        </w:rPr>
        <w:t>Taxes</w:t>
      </w:r>
      <w:r>
        <w:rPr>
          <w:rFonts w:ascii="Times New Roman" w:hAnsi="Times New Roman"/>
          <w:caps w:val="false"/>
          <w:smallCaps w:val="false"/>
          <w:sz w:val="20"/>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material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material liens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3.14    </w:t>
      </w:r>
      <w:r>
        <w:rPr>
          <w:rFonts w:ascii="Times New Roman" w:hAnsi="Times New Roman"/>
          <w:caps w:val="false"/>
          <w:smallCaps w:val="false"/>
          <w:sz w:val="20"/>
          <w:u w:val="single"/>
        </w:rPr>
        <w:t>Sarbanes-Oxley Act</w:t>
      </w:r>
      <w:r>
        <w:rPr>
          <w:rFonts w:ascii="Times New Roman" w:hAnsi="Times New Roman"/>
          <w:caps w:val="false"/>
          <w:smallCaps w:val="false"/>
          <w:sz w:val="20"/>
        </w:rPr>
        <w:t>. The Company is, and since January 1, 2026 has been, in compliance in all material respects with all applicable requirements of the Sarbanes-Oxley Act of 2002 and applicable rules and regulations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3.15    </w:t>
      </w:r>
      <w:r>
        <w:rPr>
          <w:rFonts w:ascii="Times New Roman" w:hAnsi="Times New Roman"/>
          <w:caps w:val="false"/>
          <w:smallCaps w:val="false"/>
          <w:sz w:val="20"/>
          <w:u w:val="single"/>
        </w:rPr>
        <w:t>Accounting Controls and Disclosure Controls and Procedures</w:t>
      </w:r>
      <w:r>
        <w:rPr>
          <w:rFonts w:ascii="Times New Roman" w:hAnsi="Times New Roman"/>
          <w:caps w:val="false"/>
          <w:smallCaps w:val="false"/>
          <w:sz w:val="20"/>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3.16    </w:t>
      </w:r>
      <w:r>
        <w:rPr>
          <w:rFonts w:ascii="Times New Roman" w:hAnsi="Times New Roman"/>
          <w:caps w:val="false"/>
          <w:smallCaps w:val="false"/>
          <w:sz w:val="20"/>
          <w:u w:val="single"/>
        </w:rPr>
        <w:t>Investment Company Act</w:t>
      </w:r>
      <w:r>
        <w:rPr>
          <w:rFonts w:ascii="Times New Roman" w:hAnsi="Times New Roman"/>
          <w:caps w:val="false"/>
          <w:smallCaps w:val="false"/>
          <w:sz w:val="20"/>
        </w:rPr>
        <w:t>. The Company is not, and immediately after receipt of payment for the Shares will not be, an “investment company” within the meaning of the U.S. Investment Company Act of 1940,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3.17    </w:t>
      </w:r>
      <w:r>
        <w:rPr>
          <w:rFonts w:ascii="Times New Roman" w:hAnsi="Times New Roman"/>
          <w:caps w:val="false"/>
          <w:smallCaps w:val="false"/>
          <w:sz w:val="20"/>
          <w:u w:val="single"/>
        </w:rPr>
        <w:t>Price Stabilization of Common Stock</w:t>
      </w:r>
      <w:r>
        <w:rPr>
          <w:rFonts w:ascii="Times New Roman" w:hAnsi="Times New Roman"/>
          <w:caps w:val="false"/>
          <w:smallCaps w:val="false"/>
          <w:sz w:val="20"/>
        </w:rPr>
        <w:t>. The Company has not taken, nor will it take, directly or indirectly, any action designed to stabilize or manipulate the price of the Common Stock to facilitate the sale or resale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3.18    </w:t>
      </w:r>
      <w:r>
        <w:rPr>
          <w:rFonts w:ascii="Times New Roman" w:hAnsi="Times New Roman"/>
          <w:caps w:val="false"/>
          <w:smallCaps w:val="false"/>
          <w:sz w:val="20"/>
          <w:u w:val="single"/>
        </w:rPr>
        <w:t>Anti-Bribery and Anti-Money Laundering Laws</w:t>
      </w:r>
      <w:r>
        <w:rPr>
          <w:rFonts w:ascii="Times New Roman" w:hAnsi="Times New Roman"/>
          <w:caps w:val="false"/>
          <w:smallCaps w:val="false"/>
          <w:sz w:val="20"/>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 any material respect,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 any material respect, including, but not limited to, applicable federal, state, international, foreign or other laws, regulations or government guidance regarding anti-money laundering, including, without limitation, Title 18 U.S. Code sections 1956 and 1957, the USA PATRIOT Act, the Bank Secrecy Act, and international anti-money laundering principles or procedures by an intergovernmental group or organization, such as the Financial Action Task Force on Money Laundering, of which the United States is a member</w:t>
      </w:r>
      <w:r>
        <w:rPr>
          <w:rFonts w:ascii="Times New Roman" w:hAnsi="Times New Roman"/>
          <w:caps w:val="false"/>
          <w:smallCaps w:val="false"/>
          <w:strike/>
          <w:sz w:val="20"/>
        </w:rPr>
        <w:t xml:space="preserve"> </w:t>
      </w:r>
      <w:r>
        <w:rPr>
          <w:rFonts w:ascii="Times New Roman" w:hAnsi="Times New Roman"/>
          <w:caps w:val="false"/>
          <w:smallCaps w:val="false"/>
          <w:sz w:val="20"/>
        </w:rPr>
        <w:t>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3.19    </w:t>
      </w:r>
      <w:r>
        <w:rPr>
          <w:rFonts w:ascii="Times New Roman" w:hAnsi="Times New Roman"/>
          <w:caps w:val="false"/>
          <w:smallCaps w:val="false"/>
          <w:sz w:val="20"/>
          <w:u w:val="single"/>
        </w:rPr>
        <w:t>Cybersecurity</w:t>
      </w:r>
      <w:r>
        <w:rPr>
          <w:rFonts w:ascii="Times New Roman" w:hAnsi="Times New Roman"/>
          <w:caps w:val="false"/>
          <w:smallCaps w:val="false"/>
          <w:sz w:val="20"/>
        </w:rPr>
        <w:t>. The Company’s and its subsidiaries’ information technology assets and equipment, computers, systems, networks, hardware, software, websites, applications, and databases (collectively, “</w:t>
      </w:r>
      <w:r>
        <w:rPr>
          <w:rFonts w:ascii="Times New Roman" w:hAnsi="Times New Roman"/>
          <w:b/>
          <w:caps w:val="false"/>
          <w:smallCaps w:val="false"/>
          <w:sz w:val="20"/>
        </w:rPr>
        <w:t>IT Systems</w:t>
      </w:r>
      <w:r>
        <w:rPr>
          <w:rFonts w:ascii="Times New Roman" w:hAnsi="Times New Roman"/>
          <w:caps w:val="false"/>
          <w:smallCaps w:val="false"/>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except as would not reasonably be expected, individually or in the aggregate, to result in a Material Adverse Effect. The Company and its subsidiaries have implemented and maintained physical, technical and administrative controls that the Company believes to be commercially reasonable designed to maintain and protect the confidentiality, integrity, availability, privacy and security of all sensitive, confidential or regulated data (“</w:t>
      </w:r>
      <w:r>
        <w:rPr>
          <w:rFonts w:ascii="Times New Roman" w:hAnsi="Times New Roman"/>
          <w:b/>
          <w:caps w:val="false"/>
          <w:smallCaps w:val="false"/>
          <w:sz w:val="20"/>
        </w:rPr>
        <w:t>Confidential Data</w:t>
      </w:r>
      <w:r>
        <w:rPr>
          <w:rFonts w:ascii="Times New Roman" w:hAnsi="Times New Roman"/>
          <w:caps w:val="false"/>
          <w:smallCaps w:val="false"/>
          <w:sz w:val="20"/>
        </w:rPr>
        <w:t>”) used or maintained in connection with their businesses and Personal Data, and the integrity, availability, continuous operation, redundancy and security of all IT Systems. “</w:t>
      </w:r>
      <w:r>
        <w:rPr>
          <w:rFonts w:ascii="Times New Roman" w:hAnsi="Times New Roman"/>
          <w:b/>
          <w:caps w:val="false"/>
          <w:smallCaps w:val="false"/>
          <w:sz w:val="20"/>
        </w:rPr>
        <w:t>Personal Data</w:t>
      </w:r>
      <w:r>
        <w:rPr>
          <w:rFonts w:ascii="Times New Roman" w:hAnsi="Times New Roman"/>
          <w:caps w:val="false"/>
          <w:smallCaps w:val="false"/>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caps w:val="false"/>
          <w:smallCaps w:val="false"/>
          <w:sz w:val="20"/>
        </w:rPr>
        <w:t>HIPAA</w:t>
      </w:r>
      <w:r>
        <w:rPr>
          <w:rFonts w:ascii="Times New Roman" w:hAnsi="Times New Roman"/>
          <w:caps w:val="false"/>
          <w:smallCaps w:val="false"/>
          <w:sz w:val="20"/>
        </w:rPr>
        <w:t>”); and (iv) any information that would qualify as “personal data,” “personal information” (or similar term) under the Privacy Laws (as defined below). To the Company’s knowledge, aside from cybersecurity incidents disclosed in the SEC Reports, there have been no breaches, outages or unauthorized uses of or accesses to the Company’s IT Systems, Confidential Data, or Personal Data that would require notification under the Privacy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3.20    </w:t>
      </w:r>
      <w:r>
        <w:rPr>
          <w:rFonts w:ascii="Times New Roman" w:hAnsi="Times New Roman"/>
          <w:caps w:val="false"/>
          <w:smallCaps w:val="false"/>
          <w:sz w:val="20"/>
          <w:u w:val="single"/>
        </w:rPr>
        <w:t>Compliance with Data Privacy Laws</w:t>
      </w:r>
      <w:r>
        <w:rPr>
          <w:rFonts w:ascii="Times New Roman" w:hAnsi="Times New Roman"/>
          <w:caps w:val="false"/>
          <w:smallCaps w:val="false"/>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caps w:val="false"/>
          <w:smallCaps w:val="false"/>
          <w:sz w:val="20"/>
        </w:rPr>
        <w:t>Process</w:t>
      </w:r>
      <w:r>
        <w:rPr>
          <w:rFonts w:ascii="Times New Roman" w:hAnsi="Times New Roman"/>
          <w:caps w:val="false"/>
          <w:smallCaps w:val="false"/>
          <w:sz w:val="20"/>
        </w:rPr>
        <w:t>” or “</w:t>
      </w:r>
      <w:r>
        <w:rPr>
          <w:rFonts w:ascii="Times New Roman" w:hAnsi="Times New Roman"/>
          <w:b/>
          <w:caps w:val="false"/>
          <w:smallCaps w:val="false"/>
          <w:sz w:val="20"/>
        </w:rPr>
        <w:t>Processing</w:t>
      </w:r>
      <w:r>
        <w:rPr>
          <w:rFonts w:ascii="Times New Roman" w:hAnsi="Times New Roman"/>
          <w:caps w:val="false"/>
          <w:smallCaps w:val="false"/>
          <w:sz w:val="20"/>
        </w:rPr>
        <w:t>”) of Personal Data, including without limitation HIPAA, the EU General Data Protection Regulation (“</w:t>
      </w:r>
      <w:r>
        <w:rPr>
          <w:rFonts w:ascii="Times New Roman" w:hAnsi="Times New Roman"/>
          <w:b/>
          <w:caps w:val="false"/>
          <w:smallCaps w:val="false"/>
          <w:sz w:val="20"/>
        </w:rPr>
        <w:t>GDPR</w:t>
      </w:r>
      <w:r>
        <w:rPr>
          <w:rFonts w:ascii="Times New Roman" w:hAnsi="Times New Roman"/>
          <w:caps w:val="false"/>
          <w:smallCaps w:val="false"/>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caps w:val="false"/>
          <w:smallCaps w:val="false"/>
          <w:sz w:val="20"/>
        </w:rPr>
        <w:t>Privacy Laws</w:t>
      </w:r>
      <w:r>
        <w:rPr>
          <w:rFonts w:ascii="Times New Roman" w:hAnsi="Times New Roman"/>
          <w:caps w:val="false"/>
          <w:smallCaps w:val="false"/>
          <w:sz w:val="20"/>
        </w:rPr>
        <w:t>”), except as would not reasonably be expected, individually or in the aggregate, to result in a Material Adverse Effect. To ensure material compliance with the Privacy Laws, the Company and its subsidiaries have in place, comply with, and take all steps the Company believes are commercially reasonable to ensure compliance in all material respects with their policies and procedures relating to data privacy and security, and the Processing of Personal Data and Confidential Data (the “</w:t>
      </w:r>
      <w:r>
        <w:rPr>
          <w:rFonts w:ascii="Times New Roman" w:hAnsi="Times New Roman"/>
          <w:b/>
          <w:caps w:val="false"/>
          <w:smallCaps w:val="false"/>
          <w:sz w:val="20"/>
        </w:rPr>
        <w:t>Privacy Statements</w:t>
      </w:r>
      <w:r>
        <w:rPr>
          <w:rFonts w:ascii="Times New Roman" w:hAnsi="Times New Roman"/>
          <w:caps w:val="false"/>
          <w:smallCaps w:val="false"/>
          <w:sz w:val="20"/>
        </w:rPr>
        <w:t>”). Except as would not reasonably be expected, individually or in the aggregate, to result in a Material Adverse Effect, (i) the Company and its subsidiaries have, at all times since inception provided accurate notice of their Privacy Statements then in effect to its customers, employees, third party vendors and representatives, and (ii) none of such disclosures made or contained in any Privacy Statements have been materially inaccurate, misleading, incomplete, or in material violation of any Privacy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3.21    </w:t>
      </w:r>
      <w:r>
        <w:rPr>
          <w:rFonts w:ascii="Times New Roman" w:hAnsi="Times New Roman"/>
          <w:caps w:val="false"/>
          <w:smallCaps w:val="false"/>
          <w:sz w:val="20"/>
          <w:u w:val="single"/>
        </w:rPr>
        <w:t>Transactions with Affiliates and Employees</w:t>
      </w:r>
      <w:r>
        <w:rPr>
          <w:rFonts w:ascii="Times New Roman" w:hAnsi="Times New Roman"/>
          <w:caps w:val="false"/>
          <w:smallCaps w:val="false"/>
          <w:sz w:val="20"/>
        </w:rPr>
        <w:t>. No relationship, direct or indirect, exists between or among the Company or any of its subsidiaries, on the one hand, and the directors, officers, stockholders, customers or suppliers of the Company, on the other hand, that is required to be described under Item 404(a) of Regulation S-K promulgated by the SEC in the SEC Reports that is not so described.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3.22    </w:t>
      </w:r>
      <w:r>
        <w:rPr>
          <w:rFonts w:ascii="Times New Roman" w:hAnsi="Times New Roman"/>
          <w:caps w:val="false"/>
          <w:smallCaps w:val="false"/>
          <w:sz w:val="20"/>
          <w:u w:val="single"/>
        </w:rPr>
        <w:t>Nasdaq Stock Market</w:t>
      </w:r>
      <w:r>
        <w:rPr>
          <w:rFonts w:ascii="Times New Roman" w:hAnsi="Times New Roman"/>
          <w:caps w:val="false"/>
          <w:smallCaps w:val="false"/>
          <w:sz w:val="20"/>
        </w:rPr>
        <w:t>. The issued and outstanding shares of Common Stock are registered pursuant to Section 12(b) of the Exchange Act and are listed for trading on Nasdaq under the symbol “HSTM”. The Company is in compliance with all listing requirements of Nasdaq applicable to the Company. As of the date of this Agreement, there is no suit, action, proceeding or investigation pending or, to the knowledge of the Company, threatened against the Company by Nasdaq or the SEC, respectively, to prohibit or terminate the listing of the Common Stock on Nasdaq or to deregister the Common Stock under the Exchange Act. The Company has taken no action as of the date of this Agreement that is designed to terminate the registration of the Common Stock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3.23    </w:t>
      </w:r>
      <w:r>
        <w:rPr>
          <w:rFonts w:ascii="Times New Roman" w:hAnsi="Times New Roman"/>
          <w:caps w:val="false"/>
          <w:smallCaps w:val="false"/>
          <w:sz w:val="20"/>
          <w:u w:val="single"/>
        </w:rPr>
        <w:t>General Solicitation; No Integration or Aggregation</w:t>
      </w:r>
      <w:r>
        <w:rPr>
          <w:rFonts w:ascii="Times New Roman" w:hAnsi="Times New Roman"/>
          <w:caps w:val="false"/>
          <w:smallCaps w:val="false"/>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Shares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Shares pursuant to this Agreement for purposes of the Securities Act or (ii) aggregated with prior offerings by the Company for the purposes of the rules and regulations of Nasdaq. Assuming the accuracy of the representations and warranties of the Investor set forth in </w:t>
      </w:r>
      <w:r>
        <w:rPr>
          <w:rFonts w:ascii="Times New Roman" w:hAnsi="Times New Roman"/>
          <w:caps w:val="false"/>
          <w:smallCaps w:val="false"/>
          <w:sz w:val="20"/>
          <w:u w:val="single"/>
        </w:rPr>
        <w:t>Section 5</w:t>
      </w:r>
      <w:r>
        <w:rPr>
          <w:rFonts w:ascii="Times New Roman" w:hAnsi="Times New Roman"/>
          <w:caps w:val="false"/>
          <w:smallCaps w:val="false"/>
          <w:sz w:val="20"/>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issuance of the Company Shares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3.24    </w:t>
      </w:r>
      <w:r>
        <w:rPr>
          <w:rFonts w:ascii="Times New Roman" w:hAnsi="Times New Roman"/>
          <w:caps w:val="false"/>
          <w:smallCaps w:val="false"/>
          <w:sz w:val="20"/>
          <w:u w:val="single"/>
        </w:rPr>
        <w:t>Brokers and Finders</w:t>
      </w:r>
      <w:r>
        <w:rPr>
          <w:rFonts w:ascii="Times New Roman" w:hAnsi="Times New Roman"/>
          <w:caps w:val="false"/>
          <w:smallCaps w:val="false"/>
          <w:sz w:val="20"/>
        </w:rPr>
        <w:t>. Neither the Company nor any other Person authorized by the Company to act on its behalf has retained, utilized or been represented by any broker or finder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3.25    </w:t>
      </w:r>
      <w:r>
        <w:rPr>
          <w:rFonts w:ascii="Times New Roman" w:hAnsi="Times New Roman"/>
          <w:caps w:val="false"/>
          <w:smallCaps w:val="false"/>
          <w:sz w:val="20"/>
          <w:u w:val="single"/>
        </w:rPr>
        <w:t>Title</w:t>
      </w:r>
      <w:r>
        <w:rPr>
          <w:rFonts w:ascii="Times New Roman" w:hAnsi="Times New Roman"/>
          <w:caps w:val="false"/>
          <w:smallCaps w:val="false"/>
          <w:sz w:val="20"/>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Except with respect to the portion of the lease of the Company’s principal office in Nashville, Tennessee which has been subleased,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3.26    </w:t>
      </w:r>
      <w:r>
        <w:rPr>
          <w:rFonts w:ascii="Times New Roman" w:hAnsi="Times New Roman"/>
          <w:caps w:val="false"/>
          <w:smallCaps w:val="false"/>
          <w:sz w:val="20"/>
          <w:u w:val="single"/>
        </w:rPr>
        <w:t>Insurance</w:t>
      </w:r>
      <w:r>
        <w:rPr>
          <w:rFonts w:ascii="Times New Roman" w:hAnsi="Times New Roman"/>
          <w:caps w:val="false"/>
          <w:smallCaps w:val="false"/>
          <w:sz w:val="20"/>
        </w:rPr>
        <w:t>. The Company carries or is entitled to the benefits of insurance in such amounts and covering such risks that the Company has reasonably determined is customary for comparably situated companies and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2026, the Company has not received any written notice regarding any actual or possible: (i) cancellation or invalidation of any material insurance policy or (ii) refusal or denial of any coverage, reservation of rights or rejection of any material claim under any insurance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3.27    </w:t>
      </w:r>
      <w:r>
        <w:rPr>
          <w:rFonts w:ascii="Times New Roman" w:hAnsi="Times New Roman"/>
          <w:caps w:val="false"/>
          <w:smallCaps w:val="false"/>
          <w:sz w:val="20"/>
          <w:u w:val="single"/>
        </w:rPr>
        <w:t>Related Party Transaction Approval</w:t>
      </w:r>
      <w:r>
        <w:rPr>
          <w:rFonts w:ascii="Times New Roman" w:hAnsi="Times New Roman"/>
          <w:caps w:val="false"/>
          <w:smallCaps w:val="false"/>
          <w:sz w:val="20"/>
        </w:rPr>
        <w:t>. The audit committee of the Board of Directors (or another committee of the Board of Directors composed solely of independent directors), or a majority of the disinterested members of the Board of Directors, has reviewed and approved this Agreement and the transactions contemplated hereby, including the sale of the Selling Shareholder Shares by the Selling Shareholder to the Investor, in accordance with the Company’s related person transaction policy, the applicable listing rules of Nasdaq and applicable law, and such approval has not been rescinded, modified or withdrawn as of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3.28    </w:t>
      </w:r>
      <w:r>
        <w:rPr>
          <w:rFonts w:ascii="Times New Roman" w:hAnsi="Times New Roman"/>
          <w:caps w:val="false"/>
          <w:smallCaps w:val="false"/>
          <w:sz w:val="20"/>
          <w:u w:val="single"/>
        </w:rPr>
        <w:t>Reliance by the Investor</w:t>
      </w:r>
      <w:r>
        <w:rPr>
          <w:rFonts w:ascii="Times New Roman" w:hAnsi="Times New Roman"/>
          <w:caps w:val="false"/>
          <w:smallCaps w:val="false"/>
          <w:sz w:val="20"/>
        </w:rPr>
        <w:t xml:space="preserve">. The Company has a reasonable basis for making each of the representations set forth in this </w:t>
      </w:r>
      <w:r>
        <w:rPr>
          <w:rFonts w:ascii="Times New Roman" w:hAnsi="Times New Roman"/>
          <w:caps w:val="false"/>
          <w:smallCaps w:val="false"/>
          <w:sz w:val="20"/>
          <w:u w:val="single"/>
        </w:rPr>
        <w:t>Section 3</w:t>
      </w:r>
      <w:r>
        <w:rPr>
          <w:rFonts w:ascii="Times New Roman" w:hAnsi="Times New Roman"/>
          <w:caps w:val="false"/>
          <w:smallCaps w:val="false"/>
          <w:sz w:val="20"/>
        </w:rPr>
        <w:t>. The Company acknowledges that the Investor will rely upon the truth and accuracy of, and the Company’s compliance with, the representations, warranties, agreements, acknowledgements and understandings of the Company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Representations and Warranties of the Selling Shareholder</w:t>
      </w:r>
      <w:r>
        <w:rPr>
          <w:rFonts w:ascii="Times New Roman" w:hAnsi="Times New Roman"/>
          <w:caps w:val="false"/>
          <w:smallCaps w:val="false"/>
          <w:sz w:val="20"/>
        </w:rPr>
        <w:t xml:space="preserve">. The Selling Shareholder represents and warrants to the Investor that the statements contained in this </w:t>
      </w:r>
      <w:r>
        <w:rPr>
          <w:rFonts w:ascii="Times New Roman" w:hAnsi="Times New Roman"/>
          <w:caps w:val="false"/>
          <w:smallCaps w:val="false"/>
          <w:sz w:val="20"/>
          <w:u w:val="single"/>
        </w:rPr>
        <w:t>Section 4</w:t>
      </w:r>
      <w:r>
        <w:rPr>
          <w:rFonts w:ascii="Times New Roman" w:hAnsi="Times New Roman"/>
          <w:caps w:val="false"/>
          <w:smallCaps w:val="false"/>
          <w:sz w:val="20"/>
        </w:rPr>
        <w:t xml:space="preserve"> are true and correct as of the date of this Agreement and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4.1    </w:t>
      </w:r>
      <w:r>
        <w:rPr>
          <w:rFonts w:ascii="Times New Roman" w:hAnsi="Times New Roman"/>
          <w:caps w:val="false"/>
          <w:smallCaps w:val="false"/>
          <w:sz w:val="20"/>
          <w:u w:val="single"/>
        </w:rPr>
        <w:t>Authorization</w:t>
      </w:r>
      <w:r>
        <w:rPr>
          <w:rFonts w:ascii="Times New Roman" w:hAnsi="Times New Roman"/>
          <w:caps w:val="false"/>
          <w:smallCaps w:val="false"/>
          <w:sz w:val="20"/>
        </w:rPr>
        <w:t>. The Selling Shareholder has the legal capacity, power and authority to enter into this Agreement and to carry out and perform his obligations hereunder, including in connection with the transfer of the Selling Shareholder Shares. This Agreement has been duly executed and delivered by the Selling Shareholder and, assuming the due authorization, execution and delivery by the other parties hereto, this Agreement constitutes a legal, valid and binding obligation of the Selling Shareholder, enforceable against the Selling Shareholder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4.2    </w:t>
      </w:r>
      <w:r>
        <w:rPr>
          <w:rFonts w:ascii="Times New Roman" w:hAnsi="Times New Roman"/>
          <w:caps w:val="false"/>
          <w:smallCaps w:val="false"/>
          <w:sz w:val="20"/>
          <w:u w:val="single"/>
        </w:rPr>
        <w:t>No Conflicts</w:t>
      </w:r>
      <w:r>
        <w:rPr>
          <w:rFonts w:ascii="Times New Roman" w:hAnsi="Times New Roman"/>
          <w:caps w:val="false"/>
          <w:smallCaps w:val="false"/>
          <w:sz w:val="20"/>
        </w:rPr>
        <w:t>. The execution, delivery and performance of this Agreement by the Selling Shareholder, the sale of the Selling Shareholder Shares and the consummation by the Selling Shareholder of the other transactions contemplated hereby will not conflict with or result in any violation of, breach or default by the Selling Shareholder (with or without notice or lapse of time, or both) under, conflict with, or give rise to a right of termination, cancellation or acceleration of any obligation, a change of control right or to a loss of a material benefit under any agreement or instrument, undertaking, credit facility, franchise, license, judgment, order, ruling, statute, law, ordinance, rule or regulations, applicable to the Selling Shareholder or his properties or assets, except as would not, individually or in the aggregate, be reasonably expected to materially delay or hinder the ability of the Selling Shareholder to perform his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caps w:val="false"/>
          <w:smallCaps w:val="false"/>
          <w:sz w:val="20"/>
          <w:u w:val="single"/>
        </w:rPr>
        <w:t>Title to Shares</w:t>
      </w:r>
      <w:r>
        <w:rPr>
          <w:rFonts w:ascii="Times New Roman" w:hAnsi="Times New Roman"/>
          <w:caps w:val="false"/>
          <w:smallCaps w:val="false"/>
          <w:sz w:val="20"/>
        </w:rPr>
        <w:t>. The Selling Shareholder is the beneficial owner of all of the Selling Shareholder Shares, and the Selling Shareholder Shares will be transferred to the Investor free and clear of any liens or other restrictions (other than those as provided in the Transaction Agreements or restrictions on transfer under applicable state and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4.4    </w:t>
      </w:r>
      <w:r>
        <w:rPr>
          <w:rFonts w:ascii="Times New Roman" w:hAnsi="Times New Roman"/>
          <w:caps w:val="false"/>
          <w:smallCaps w:val="false"/>
          <w:sz w:val="20"/>
          <w:u w:val="single"/>
        </w:rPr>
        <w:t>Brokers and Finders</w:t>
      </w:r>
      <w:r>
        <w:rPr>
          <w:rFonts w:ascii="Times New Roman" w:hAnsi="Times New Roman"/>
          <w:caps w:val="false"/>
          <w:smallCaps w:val="false"/>
          <w:sz w:val="20"/>
        </w:rPr>
        <w:t>. The Selling Shareholder has not retained, utilized or been represented by any broker or finder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4.5    </w:t>
      </w:r>
      <w:r>
        <w:rPr>
          <w:rFonts w:ascii="Times New Roman" w:hAnsi="Times New Roman"/>
          <w:caps w:val="false"/>
          <w:smallCaps w:val="false"/>
          <w:sz w:val="20"/>
          <w:u w:val="single"/>
        </w:rPr>
        <w:t>Reliance by the Investor</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 The Selling Shareholder has a reasonable basis for making each of the representations set forth in this </w:t>
      </w:r>
      <w:r>
        <w:rPr>
          <w:rFonts w:ascii="Times New Roman" w:hAnsi="Times New Roman"/>
          <w:caps w:val="false"/>
          <w:smallCaps w:val="false"/>
          <w:sz w:val="20"/>
          <w:u w:val="single"/>
        </w:rPr>
        <w:t>Section 4</w:t>
      </w:r>
      <w:r>
        <w:rPr>
          <w:rFonts w:ascii="Times New Roman" w:hAnsi="Times New Roman"/>
          <w:caps w:val="false"/>
          <w:smallCaps w:val="false"/>
          <w:sz w:val="20"/>
        </w:rPr>
        <w:t>. The Selling Shareholder acknowledges that the Investor will rely upon the truth and accuracy of, and the Selling Shareholder’s compliance with, the representations, warranties, agreements, acknowledgements and understandings of the Selling Shareholder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Representations and Warranties of the Investor</w:t>
      </w:r>
      <w:r>
        <w:rPr>
          <w:rFonts w:ascii="Times New Roman" w:hAnsi="Times New Roman"/>
          <w:caps w:val="false"/>
          <w:smallCaps w:val="false"/>
          <w:sz w:val="20"/>
        </w:rPr>
        <w:t xml:space="preserve">. The Investor represents and warrants to the Company and the Selling Shareholder that the statements contained in this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are true and correct as of the date of this Agreement and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5.1    </w:t>
      </w:r>
      <w:r>
        <w:rPr>
          <w:rFonts w:ascii="Times New Roman" w:hAnsi="Times New Roman"/>
          <w:caps w:val="false"/>
          <w:smallCaps w:val="false"/>
          <w:sz w:val="20"/>
          <w:u w:val="single"/>
        </w:rPr>
        <w:t>Organization</w:t>
      </w:r>
      <w:r>
        <w:rPr>
          <w:rFonts w:ascii="Times New Roman" w:hAnsi="Times New Roman"/>
          <w:caps w:val="false"/>
          <w:smallCaps w:val="false"/>
          <w:sz w:val="20"/>
        </w:rPr>
        <w:t>. The Investor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5.2    </w:t>
      </w:r>
      <w:r>
        <w:rPr>
          <w:rFonts w:ascii="Times New Roman" w:hAnsi="Times New Roman"/>
          <w:caps w:val="false"/>
          <w:smallCaps w:val="false"/>
          <w:sz w:val="20"/>
          <w:u w:val="single"/>
        </w:rPr>
        <w:t>Authorization</w:t>
      </w:r>
      <w:r>
        <w:rPr>
          <w:rFonts w:ascii="Times New Roman" w:hAnsi="Times New Roman"/>
          <w:caps w:val="false"/>
          <w:smallCaps w:val="false"/>
          <w:sz w:val="20"/>
        </w:rPr>
        <w:t>. The Investor has all requisite limited liability company power and authority to enter into this Agreement and the other Transaction Agreements to which it will be a party and to carry out and perform its obligations hereunder and thereunder. All limited liability company action on the part of the Investor and its members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the Investor of the Transaction Agreements to which the Investor is a party has been duly authorized and each has been duly executed. Assuming this Agreement constitutes the legal and binding agreement of the Company and the Selling Shareholder, this Agreement constitutes a legal, valid and binding obligation of the Investor, enforceable against the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5.3    </w:t>
      </w:r>
      <w:r>
        <w:rPr>
          <w:rFonts w:ascii="Times New Roman" w:hAnsi="Times New Roman"/>
          <w:caps w:val="false"/>
          <w:smallCaps w:val="false"/>
          <w:sz w:val="20"/>
          <w:u w:val="single"/>
        </w:rPr>
        <w:t>No Conflicts</w:t>
      </w:r>
      <w:r>
        <w:rPr>
          <w:rFonts w:ascii="Times New Roman" w:hAnsi="Times New Roman"/>
          <w:caps w:val="false"/>
          <w:smallCaps w:val="false"/>
          <w:sz w:val="20"/>
        </w:rPr>
        <w:t>. The execution, delivery and performance of the Transaction Agreements by the Investor, the purchase of the Shares in accordance with their terms and the consummation by the Investor of the other transactions contemplated hereby will not conflict with or result in any violation of, breach or default by the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the Investor or its respective properties or assets, except, in the case of clause (ii), as would not, individually or in the aggregate, be reasonably expected to materially delay or hinder the ability of the Investor to perform its obligations under the Transaction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5.4    </w:t>
      </w:r>
      <w:r>
        <w:rPr>
          <w:rFonts w:ascii="Times New Roman" w:hAnsi="Times New Roman"/>
          <w:caps w:val="false"/>
          <w:smallCaps w:val="false"/>
          <w:sz w:val="20"/>
          <w:u w:val="single"/>
        </w:rPr>
        <w:t>Residency</w:t>
      </w:r>
      <w:r>
        <w:rPr>
          <w:rFonts w:ascii="Times New Roman" w:hAnsi="Times New Roman"/>
          <w:caps w:val="false"/>
          <w:smallCaps w:val="false"/>
          <w:sz w:val="20"/>
        </w:rPr>
        <w:t>. The Investor’s residence (if an individual) or offices in which its investment decision with respect to the Shares was made (if an entity) are located at the address immediately below the Investor’s name on its signature page hereto, except as otherwise communicated by the Investor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5.5    </w:t>
      </w:r>
      <w:r>
        <w:rPr>
          <w:rFonts w:ascii="Times New Roman" w:hAnsi="Times New Roman"/>
          <w:caps w:val="false"/>
          <w:smallCaps w:val="false"/>
          <w:sz w:val="20"/>
          <w:u w:val="single"/>
        </w:rPr>
        <w:t>Brokers and Finders</w:t>
      </w:r>
      <w:r>
        <w:rPr>
          <w:rFonts w:ascii="Times New Roman" w:hAnsi="Times New Roman"/>
          <w:caps w:val="false"/>
          <w:smallCaps w:val="false"/>
          <w:sz w:val="20"/>
        </w:rPr>
        <w:t>. The Investor has not retained, utilized or been represented by any broker or finder in connection with the transactions contemplated by this Agreement whose fees the Company would be required to pay.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5.6    </w:t>
      </w:r>
      <w:r>
        <w:rPr>
          <w:rFonts w:ascii="Times New Roman" w:hAnsi="Times New Roman"/>
          <w:caps w:val="false"/>
          <w:smallCaps w:val="false"/>
          <w:sz w:val="20"/>
          <w:u w:val="single"/>
        </w:rPr>
        <w:t>Investment Representations and Warranties</w:t>
      </w:r>
      <w:r>
        <w:rPr>
          <w:rFonts w:ascii="Times New Roman" w:hAnsi="Times New Roman"/>
          <w:caps w:val="false"/>
          <w:smallCaps w:val="false"/>
          <w:sz w:val="20"/>
        </w:rPr>
        <w:t>. The Investor hereby represents and warrants that it is, as of the date of this Agreement, a “qualified institutional buyer” (as defined in Rule 144A under the Securities Act) or an institutional “accredited investor” as that term is defined in Rule 501(a) under Regulation D promulgated pursuant to the Securities Act. The Investor further represents and warrants that (x) it is capable of evaluating the merits and risk of such investment, and (y) that it has not been organized for the purpose of acquiring the Shares and is an “institutional account” as defined by FINRA Rule 4512(c). The Investor understands and agrees that the offering and sale of the Shares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5.7    </w:t>
      </w:r>
      <w:r>
        <w:rPr>
          <w:rFonts w:ascii="Times New Roman" w:hAnsi="Times New Roman"/>
          <w:caps w:val="false"/>
          <w:smallCaps w:val="false"/>
          <w:sz w:val="20"/>
          <w:u w:val="single"/>
        </w:rPr>
        <w:t>Intent</w:t>
      </w:r>
      <w:r>
        <w:rPr>
          <w:rFonts w:ascii="Times New Roman" w:hAnsi="Times New Roman"/>
          <w:caps w:val="false"/>
          <w:smallCaps w:val="false"/>
          <w:sz w:val="20"/>
        </w:rPr>
        <w:t>. The Investor is purchasing the Shares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Shares in compliance with applicable federal and state securities laws. The Investor has no present arrangement to sell the Shares to or through any person or entity. The Investor understands that the Shares must be held indefinitely unless such Shares are resold pursuant to a registration statement under the Securities Act or an exemption from registration is available. Nothing contained herein shall be deemed a representation or warranty by the Investor to hold the Shares for any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5.8    </w:t>
      </w:r>
      <w:r>
        <w:rPr>
          <w:rFonts w:ascii="Times New Roman" w:hAnsi="Times New Roman"/>
          <w:caps w:val="false"/>
          <w:smallCaps w:val="false"/>
          <w:sz w:val="20"/>
          <w:u w:val="single"/>
        </w:rPr>
        <w:t>Investment Experience; Ability to Protect Its Own Interests and Bear Economic Risks</w:t>
      </w:r>
      <w:r>
        <w:rPr>
          <w:rFonts w:ascii="Times New Roman" w:hAnsi="Times New Roman"/>
          <w:caps w:val="false"/>
          <w:smallCaps w:val="false"/>
          <w:sz w:val="20"/>
        </w:rPr>
        <w:t>. The Investor acknowledges that it can bear the economic risk and complete loss of its investment in the Shares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Shares. The Investor acknowledges that the Investor is aware that there are substantial risks incident to the purchase and ownership of the Shares, including those set forth in the Company’s filings with the SEC. Alone, or together with any professional advisor(s), the Investor has adequately analyzed and fully considered the risks of an investment in the Shares and determined that the Shares are a suitable investment for the Investor. The Investor is, at this time and in the foreseeable future, able to afford the loss of the Investor’s entire investment in the Shares and the Investor acknowledges specifically that a possibility of total loss exists.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5.9    </w:t>
      </w:r>
      <w:r>
        <w:rPr>
          <w:rFonts w:ascii="Times New Roman" w:hAnsi="Times New Roman"/>
          <w:caps w:val="false"/>
          <w:smallCaps w:val="false"/>
          <w:sz w:val="20"/>
          <w:u w:val="single"/>
        </w:rPr>
        <w:t>Independent Investment Decision</w:t>
      </w:r>
      <w:r>
        <w:rPr>
          <w:rFonts w:ascii="Times New Roman" w:hAnsi="Times New Roman"/>
          <w:caps w:val="false"/>
          <w:smallCaps w:val="false"/>
          <w:sz w:val="20"/>
        </w:rPr>
        <w:t>. The Investor understands that nothing in the Transaction Agreements or any other materials presented by or on behalf of the Company or the Selling Shareholder to the Investor in connection with the purchase of the Shares constitutes legal, tax or investment advice. The Investor has consulted such legal, tax and investment advisors as it, in such Investor’s sole discretion, has deemed necessary or appropriate in connection with its purchase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5.10    </w:t>
      </w:r>
      <w:r>
        <w:rPr>
          <w:rFonts w:ascii="Times New Roman" w:hAnsi="Times New Roman"/>
          <w:caps w:val="false"/>
          <w:smallCaps w:val="false"/>
          <w:sz w:val="20"/>
          <w:u w:val="single"/>
        </w:rPr>
        <w:t>Securities Not Registered; Legends</w:t>
      </w:r>
      <w:r>
        <w:rPr>
          <w:rFonts w:ascii="Times New Roman" w:hAnsi="Times New Roman"/>
          <w:caps w:val="false"/>
          <w:smallCaps w:val="false"/>
          <w:sz w:val="20"/>
        </w:rPr>
        <w:t>. The Investor acknowledges and agrees that (i) the Company Shares are being offered in a transaction not involving any public offering within the meaning of the Securities Act, and the Investor understands that the issuance of the Company Shares has not been registered under the Securities Act, by reason of their issuance by the Company in a transaction exempt from the registration requirements of the Securities Act, and that the Company Shares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and (ii) the sale of the Selling Shareholder Shares has not been registered under the Securities Act, and that such sale has been made in a transaction exempt from the registration requirements of the Securities Act, and that the Selling Shareholder Shares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further acknowledges and agrees that the Company Shares and the Selling Shareholder Shares are “restricted securities” as defined in Rule 144. The Investor understands that the exemptions from registration afforded by Rule 144 (the provisions of which are known to Investor)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Shares. The Investor acknowledges that no federal or state agency has passed upon or endorsed the merits of the offering of the Shares or made any findings or determination as to the fairness of this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Investor understands that any certificates or book entry notations evidencing the Shares may bear one or more legends in substantially the following form and substance: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caps w:val="false"/>
          <w:smallCaps w:val="false"/>
          <w:sz w:val="20"/>
        </w:rPr>
        <w:t>THE SHARES REPRESENTED HEREBY HAVE NOT BEEN REGISTERED UNDER THE SECURITIES ACT OF 1933, AS AMENDED, AND MAY NOT BE SOLD, TRANSFERRED, ASSIGNED, PLEDGED, OR HYPOTHECATED UNLESS AND UNTIL REGISTERED UNDER SUCH ACT, OR UNLESS THE COMPANY HAS RECEIVED THE OPINION OF COUNSEL OR OTHER EVIDENCE SATISFACTORY TO THE COMPANY AND ITS COUNSEL, THAT SUCH REGISTRATION IS NOT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Shares may contain a legend regarding affiliate status of the Investor,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5.11    </w:t>
      </w:r>
      <w:r>
        <w:rPr>
          <w:rFonts w:ascii="Times New Roman" w:hAnsi="Times New Roman"/>
          <w:caps w:val="false"/>
          <w:smallCaps w:val="false"/>
          <w:sz w:val="20"/>
          <w:u w:val="single"/>
        </w:rPr>
        <w:t>No General Solicitation</w:t>
      </w:r>
      <w:r>
        <w:rPr>
          <w:rFonts w:ascii="Times New Roman" w:hAnsi="Times New Roman"/>
          <w:caps w:val="false"/>
          <w:smallCaps w:val="false"/>
          <w:sz w:val="20"/>
        </w:rPr>
        <w:t>. The Investor acknowledges and agrees that the Investor is purchasing the Shares directly from the Company and the Selling Shareholder, as applicable. Investor became aware of this offering of the Shares solely by means of direct contact from the Company as a result of a pre-existing, substantive relationship with the Company, and/or their respective advisors (including, without limitation, attorneys, accountants, bankers, consultants and financial advisors), agents, control persons, representatives, affiliates, directors, officers, managers, members, and/or employees, and/or the representatives of such persons. The Shares were offered to Investor solely by direct contact between Investor and the Company, the Selling Shareholder and/or their respective representatives. The Investor did not become aware of this offering of the Shares, nor were the Shares offered to the Investor, by any other means, and none of the Company, the Selling Shareholder and/or their respective representatives acted as investment advisor, broker or dealer to Investor. The Investor is not purchasing the Shares as a result of any general or public solicitation or general advertising, or publicly disseminated advertisement, article, sales literature, notice or other communication regarding the Shares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5.12    </w:t>
      </w:r>
      <w:r>
        <w:rPr>
          <w:rFonts w:ascii="Times New Roman" w:hAnsi="Times New Roman"/>
          <w:caps w:val="false"/>
          <w:smallCaps w:val="false"/>
          <w:sz w:val="20"/>
          <w:u w:val="single"/>
        </w:rPr>
        <w:t>Access to Information</w:t>
      </w:r>
      <w:r>
        <w:rPr>
          <w:rFonts w:ascii="Times New Roman" w:hAnsi="Times New Roman"/>
          <w:caps w:val="false"/>
          <w:smallCaps w:val="false"/>
          <w:sz w:val="20"/>
        </w:rPr>
        <w:t>. In making its decision to purchase the Shares, the Investor has relied solely upon independent investigation made by the Investor, upon the SEC Reports and upon the representations, warranties and covenants set forth herein. The Investor acknowledges and agrees that the Investor and the Investor’s professional advisor(s), if any, have had the opportunity to ask such questions, receive such answers and obtain such information from the Company regarding the Company, its business and the terms and conditions of the offering of the Shares as the Investor and the Investor’s professional advisor(s), if any, have deemed necessary to make an investment decision with respect to the Shares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5.13    </w:t>
      </w:r>
      <w:r>
        <w:rPr>
          <w:rFonts w:ascii="Times New Roman" w:hAnsi="Times New Roman"/>
          <w:caps w:val="false"/>
          <w:smallCaps w:val="false"/>
          <w:sz w:val="20"/>
          <w:u w:val="single"/>
        </w:rPr>
        <w:t>Certain Trading Activities</w:t>
      </w:r>
      <w:r>
        <w:rPr>
          <w:rFonts w:ascii="Times New Roman" w:hAnsi="Times New Roman"/>
          <w:caps w:val="false"/>
          <w:smallCaps w:val="false"/>
          <w:sz w:val="20"/>
        </w:rPr>
        <w:t>.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Covenants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6.1    </w:t>
      </w:r>
      <w:r>
        <w:rPr>
          <w:rFonts w:ascii="Times New Roman" w:hAnsi="Times New Roman"/>
          <w:caps w:val="false"/>
          <w:smallCaps w:val="false"/>
          <w:sz w:val="20"/>
          <w:u w:val="single"/>
        </w:rPr>
        <w:t>Further Assurances</w:t>
      </w:r>
      <w:r>
        <w:rPr>
          <w:rFonts w:ascii="Times New Roman" w:hAnsi="Times New Roman"/>
          <w:caps w:val="false"/>
          <w:smallCaps w:val="false"/>
          <w:sz w:val="20"/>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and the Selling Shareholder will rely on the acknowledgments, understandings, agreements, representations and warranties contained in this Agreement. Prior to the Closing, the Investor agrees to promptly notify the Company and the Selling Shareholder if any of the acknowledgments, understandings, agreements, representations and warranties set forth in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of this Agreement are no longer 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6.2    </w:t>
      </w:r>
      <w:r>
        <w:rPr>
          <w:rFonts w:ascii="Times New Roman" w:hAnsi="Times New Roman"/>
          <w:caps w:val="false"/>
          <w:smallCaps w:val="false"/>
          <w:sz w:val="20"/>
          <w:u w:val="single"/>
        </w:rPr>
        <w:t>Listing</w:t>
      </w:r>
      <w:r>
        <w:rPr>
          <w:rFonts w:ascii="Times New Roman" w:hAnsi="Times New Roman"/>
          <w:caps w:val="false"/>
          <w:smallCaps w:val="false"/>
          <w:sz w:val="20"/>
        </w:rPr>
        <w:t>. The Company shall use commercially reasonable efforts to maintain the listing and trading of its Common Stock on Nasdaq and, in accordance therewith, will use commercially reasonable efforts to comply in all material respects with the Company’s reporting, filing and other obligations under the rules and regulations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6.3    </w:t>
      </w:r>
      <w:r>
        <w:rPr>
          <w:rFonts w:ascii="Times New Roman" w:hAnsi="Times New Roman"/>
          <w:caps w:val="false"/>
          <w:smallCaps w:val="false"/>
          <w:sz w:val="20"/>
          <w:u w:val="single"/>
        </w:rPr>
        <w:t>Disclosure of Transactions</w:t>
      </w:r>
      <w:r>
        <w:rPr>
          <w:rFonts w:ascii="Times New Roman" w:hAnsi="Times New Roman"/>
          <w:caps w:val="false"/>
          <w:smallCaps w:val="false"/>
          <w:sz w:val="20"/>
        </w:rPr>
        <w:t>. The Company shall, no later than 5:30 p.m. (eastern time), on the fourth (4</w:t>
      </w:r>
      <w:r>
        <w:rPr>
          <w:rFonts w:ascii="Times New Roman" w:hAnsi="Times New Roman"/>
          <w:caps w:val="false"/>
          <w:smallCaps w:val="false"/>
          <w:position w:val="7"/>
          <w:sz w:val="16"/>
          <w:sz w:val="20"/>
        </w:rPr>
        <w:t>th</w:t>
      </w:r>
      <w:r>
        <w:rPr>
          <w:rFonts w:ascii="Times New Roman" w:hAnsi="Times New Roman"/>
          <w:caps w:val="false"/>
          <w:smallCaps w:val="false"/>
          <w:sz w:val="20"/>
        </w:rPr>
        <w:t>) Business Day immediately following the date of this Agreement (but, in any event, unless otherwise determined by the Company, not earlier than the Closing Date), file with the SEC a Current Report on Form 8-K (including all exhibits thereto, the “</w:t>
      </w:r>
      <w:r>
        <w:rPr>
          <w:rFonts w:ascii="Times New Roman" w:hAnsi="Times New Roman"/>
          <w:b/>
          <w:caps w:val="false"/>
          <w:smallCaps w:val="false"/>
          <w:sz w:val="20"/>
        </w:rPr>
        <w:t>Disclosure Document</w:t>
      </w:r>
      <w:r>
        <w:rPr>
          <w:rFonts w:ascii="Times New Roman" w:hAnsi="Times New Roman"/>
          <w:caps w:val="false"/>
          <w:smallCaps w:val="false"/>
          <w:sz w:val="20"/>
        </w:rPr>
        <w:t>”) disclosing all material terms of the transactions contemplated hereby to the extent required by SEC rules, and attaching this Agreement and the Registration Rights Agreement as exhibits to such Disclosure Document. In addition, the Company may issue a press release in connection with the transactions contemplated hereby following the Closing (the content of which press release is subject to the prior approval of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6.4    </w:t>
      </w:r>
      <w:r>
        <w:rPr>
          <w:rFonts w:ascii="Times New Roman" w:hAnsi="Times New Roman"/>
          <w:caps w:val="false"/>
          <w:smallCaps w:val="false"/>
          <w:sz w:val="20"/>
          <w:u w:val="single"/>
        </w:rPr>
        <w:t>Integration</w:t>
      </w:r>
      <w:r>
        <w:rPr>
          <w:rFonts w:ascii="Times New Roman" w:hAnsi="Times New Roman"/>
          <w:caps w:val="false"/>
          <w:smallCaps w:val="false"/>
          <w:sz w:val="20"/>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Shares in a manner that would require the registration under the Securities Act of the sale of the Shares to the Investor, or that will be integrated with the offer or sale of the Shares for purposes of the rules and regulations of Nasdaq such that it would require stockholder approval prior to the closing of such other transaction unless stockholder approval is obtained before the closing of such subsequent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6.5    </w:t>
      </w:r>
      <w:r>
        <w:rPr>
          <w:rFonts w:ascii="Times New Roman" w:hAnsi="Times New Roman"/>
          <w:caps w:val="false"/>
          <w:smallCaps w:val="false"/>
          <w:sz w:val="20"/>
          <w:u w:val="single"/>
        </w:rPr>
        <w:t>Removal of Legends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(a)    In connection with any sale, assignment, transfer or other disposition of the Shares by the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(b)    Subject to receipt from the Investor by the Company and the Transfer Agent of customary representations and other documentation reasonably acceptable to the Company and the Transfer Agent in connection therewith, upon the earliest of such time as the Shares (i) have been sold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hAnsi="Times New Roman"/>
          <w:caps w:val="false"/>
          <w:smallCaps w:val="false"/>
          <w:sz w:val="20"/>
          <w:u w:val="single"/>
        </w:rPr>
        <w:t>Section 6.5(b)</w:t>
      </w:r>
      <w:r>
        <w:rPr>
          <w:rFonts w:ascii="Times New Roman" w:hAnsi="Times New Roman"/>
          <w:caps w:val="false"/>
          <w:smallCaps w:val="false"/>
          <w:sz w:val="20"/>
        </w:rPr>
        <w:t xml:space="preserve"> and as soon as reasonably practicable following any request therefor from the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6.6    </w:t>
      </w:r>
      <w:r>
        <w:rPr>
          <w:rFonts w:ascii="Times New Roman" w:hAnsi="Times New Roman"/>
          <w:caps w:val="false"/>
          <w:smallCaps w:val="false"/>
          <w:sz w:val="20"/>
          <w:u w:val="single"/>
        </w:rPr>
        <w:t>Withholding Taxes</w:t>
      </w:r>
      <w:r>
        <w:rPr>
          <w:rFonts w:ascii="Times New Roman" w:hAnsi="Times New Roman"/>
          <w:caps w:val="false"/>
          <w:smallCaps w:val="false"/>
          <w:sz w:val="20"/>
        </w:rPr>
        <w:t>. The Investor agrees to furnish the Company and the Selling Shareholder with any information, representations and forms (including a Form W-9) as shall reasonably be requested by the Company or the Selling Shareholder from time to time to assist the Company and the Selling Shareholder in complying with any applicable tax law (including any withholding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6.7    </w:t>
      </w:r>
      <w:r>
        <w:rPr>
          <w:rFonts w:ascii="Times New Roman" w:hAnsi="Times New Roman"/>
          <w:caps w:val="false"/>
          <w:smallCaps w:val="false"/>
          <w:sz w:val="20"/>
          <w:u w:val="single"/>
        </w:rPr>
        <w:t xml:space="preserve">No Conflicting Agreements. </w:t>
      </w:r>
      <w:r>
        <w:rPr>
          <w:rFonts w:ascii="Times New Roman" w:hAnsi="Times New Roman"/>
          <w:caps w:val="false"/>
          <w:smallCaps w:val="false"/>
          <w:sz w:val="20"/>
        </w:rPr>
        <w:t>The Company will not take any action, enter into any agreement or make any commitment that would conflict or interfere in any material respect with the Company’s obligations to the Investor under the Transaction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6.8    </w:t>
      </w:r>
      <w:r>
        <w:rPr>
          <w:rFonts w:ascii="Times New Roman" w:hAnsi="Times New Roman"/>
          <w:caps w:val="false"/>
          <w:smallCaps w:val="false"/>
          <w:sz w:val="20"/>
          <w:u w:val="single"/>
        </w:rPr>
        <w:t>Indemnification.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The Company agrees to indemnify and hold harmless the Investor and its Affiliates, and their respective directors, officers, trustees, members, managers, employees, investment advisers and agents (collectively, the “</w:t>
      </w:r>
      <w:r>
        <w:rPr>
          <w:rFonts w:ascii="Times New Roman" w:hAnsi="Times New Roman"/>
          <w:b/>
          <w:caps w:val="false"/>
          <w:smallCaps w:val="false"/>
          <w:sz w:val="20"/>
        </w:rPr>
        <w:t>Indemnified Persons</w:t>
      </w:r>
      <w:r>
        <w:rPr>
          <w:rFonts w:ascii="Times New Roman" w:hAnsi="Times New Roman"/>
          <w:caps w:val="false"/>
          <w:smallCaps w:val="false"/>
          <w:sz w:val="20"/>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has become subject as a result of any breach of representation, warranty, covenant or agreement made by or to be performed on the part of the Company under the Transaction Agreements, and will reimburse any such Indemnified Person for all such amounts as they are incurred by such Person solely to the extent such amounts have been finally judicially determined not to have resulted from any Indemnified Persons’ fraud or willful misconduct. The Selling Shareholder agrees to indemnify and hold harmless each Indemnified Person,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has become subject as a result of any breach of representation, warranty, covenant or agreement made by or to be performed on the part of the Selling Shareholder under the Transaction Agreements, and will reimburse any such Indemnified Person for all such amounts as they are incurred by such Person solely to the extent such amounts have been finally judicially determined not to have resulted from any Indemnified Persons’ fraud or willful misconduct.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In the event that any Indemnified Person is entitled to indemnification hereunder, the Investor shall (i) give prompt written notice to the indemnifying party of any claim with respect to which it seeks indemnification and (ii) permit such indemnifying party to assume the defense of such claim with counsel reasonably satisfactory to the Investor;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the Investor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Persons. No indemnifying party will, except with the consent of the Investor,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Person in respect of such claim or litigation in favor of, and (iii) does not include any admission of fault, culpability, wrongdoing or malfeasance by or on behalf of, the Indemnified Person. No Indemnified Person will, except with the consent of the indemnifying party, which consent shall not be unreasonably withheld, conditioned or delayed, consent to entry of any judgment or enter into any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6.9    </w:t>
      </w:r>
      <w:r>
        <w:rPr>
          <w:rFonts w:ascii="Times New Roman" w:hAnsi="Times New Roman"/>
          <w:caps w:val="false"/>
          <w:smallCaps w:val="false"/>
          <w:sz w:val="20"/>
          <w:u w:val="single"/>
        </w:rPr>
        <w:t>Standstill</w:t>
      </w:r>
      <w:r>
        <w:rPr>
          <w:rFonts w:ascii="Times New Roman" w:hAnsi="Times New Roman"/>
          <w:caps w:val="false"/>
          <w:smallCaps w:val="false"/>
          <w:sz w:val="20"/>
        </w:rPr>
        <w:t>. The Investor hereby agrees that for a period of 12 months following the Closing, the Investor shall not, and shall cause its Affiliates not to, directly or indirectly, in any manner, unless specifically agreed to in writing by the Company (collectively, the “</w:t>
      </w:r>
      <w:r>
        <w:rPr>
          <w:rFonts w:ascii="Times New Roman" w:hAnsi="Times New Roman"/>
          <w:b/>
          <w:caps w:val="false"/>
          <w:smallCaps w:val="false"/>
          <w:sz w:val="20"/>
        </w:rPr>
        <w:t>Standstill Restrictions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(a)    (i) acquire or agree, offer, announce an intention to acquire, propose to acquire or enter into any arrangement or undertaking to acquire, ownership (including, but not limited to, beneficial ownership) of any significant portion of the assets of the Company or any controlled Affiliate thereof, or any business of the Company or any controlled Affiliate thereof, or (ii) acquire or agree, offer, announce an intention to acquire, propose to acquire or enter into any arrangement or undertaking to acquire, (x) any shares of Common Stock or other securities of the Company or any controlled Affiliate thereof by means of any exchange offer or tender offer, or (y) any rights, options or other securities convertible into or exercisable or exchangeable for any securities of the Company or any controlled Affiliate thereof or any obligations measured by the price or value of any securities of the Company or any controlled Affiliate, including without limitation any swaps or other derivative arrangements (“</w:t>
      </w:r>
      <w:r>
        <w:rPr>
          <w:rFonts w:ascii="Times New Roman" w:hAnsi="Times New Roman"/>
          <w:b/>
          <w:caps w:val="false"/>
          <w:smallCaps w:val="false"/>
          <w:sz w:val="20"/>
        </w:rPr>
        <w:t>Derivative Securities</w:t>
      </w:r>
      <w:r>
        <w:rPr>
          <w:rFonts w:ascii="Times New Roman" w:hAnsi="Times New Roman"/>
          <w:caps w:val="false"/>
          <w:smallCaps w:val="false"/>
          <w:sz w:val="20"/>
        </w:rPr>
        <w:t>”), in each case, whether or not any of the foregoing may be acquired or obtained immediately or only after the passage of time or upon the satisfaction of one or more conditions (whether or not within the control of such party) pursuant to any agreement, arrangement or understanding (whether or not in writing) or otherwise and whether or not any of the foregoing would give rise to beneficial ownership, and, in each case, whether or not any of the foregoing is acquired or obtained by means of borrowing of securities, operation of any Derivative Security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(b)    make, effect, initiate, offer, seek, cause or propose any take-over bid, tender offer, merger, consolidation, exchange offer, recapitalization, reorganization, business combination, liquidation, dissolution or similar transaction, or any other extraordinary transaction, with or involving the Company or any controlled affiliate thereof, or involving the Common Stock or any other securities or assets of the Company or any controlled affiliate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(c)    seek or propose to obtain representation on the Board of Directors, or solicit, make, effect, initiate, cause, or, in any way, participate in the solicitation of, any proxies or consents with respect to any securities of the Company (including shares of Common Stock) or any of its controlled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(d)    form, join, or participate in or otherwise encourage the formation of any group with respect to any securities of the Company (including shares of Common Stock) or any of its controlled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(e)    enter into any discussions, negotiations, arrangements or understandings with any third party with respect to any of the foregoing;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(f)    make any public disclosure, or take any action that could be reasonably expected to require the Company to make a public announcement, regarding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contained herein to the contrary, the Standstill Restrictions (a) shall not restrict the purchase of shares of Common Stock by the Investor or its Affiliates in open-market transactions (not involving any tender offer or exchange offer by the Investor or its Affiliates) (it being understood that the restrictions in clause (a)(i) above shall not apply to, or be deemed a breach of this </w:t>
      </w:r>
      <w:r>
        <w:rPr>
          <w:rFonts w:ascii="Times New Roman" w:hAnsi="Times New Roman"/>
          <w:caps w:val="false"/>
          <w:smallCaps w:val="false"/>
          <w:sz w:val="20"/>
          <w:u w:val="single"/>
        </w:rPr>
        <w:t>Section 6.9</w:t>
      </w:r>
      <w:r>
        <w:rPr>
          <w:rFonts w:ascii="Times New Roman" w:hAnsi="Times New Roman"/>
          <w:caps w:val="false"/>
          <w:smallCaps w:val="false"/>
          <w:sz w:val="20"/>
        </w:rPr>
        <w:t xml:space="preserve"> by reason of, such open-market purchases), and (b) shall become inapplicable in the event that (i) the Company has publicly announced its entry into a definitive agreement providing for a Combination (as defined below), (ii) a tender or exchange offer that, if consummated, would constitute a Combination is made or announced, and the Company has publicly announced that the Board of Directors has accepted (or has recommended that its shareholders accept) such offer, (iii) any person or group (other than the Investor or any of its Affiliates) acquires, or publicly discloses or announces an intention to acquire beneficial ownership of more than 10% of the outstanding shares of Common Stock, and files, or is required to file, with the SEC a statement on Schedule 13D (or an amendment thereto) with respect thereto, or (iv) Robert A. Frist, Jr. ceases, for any reason (including resignation, removal, termination, death or disability), to serve as the Company’s Chief Executive Officer (it being understood and agreed that, from and after the occurrence of the event described in this clause (iv), none of the shares of Common Stock or other securities of the Company held by the Investor or any of its Affiliates shall be subject to any of the Standstill Restrictions). For the avoidance of doubt, nothing in this </w:t>
      </w:r>
      <w:r>
        <w:rPr>
          <w:rFonts w:ascii="Times New Roman" w:hAnsi="Times New Roman"/>
          <w:caps w:val="false"/>
          <w:smallCaps w:val="false"/>
          <w:sz w:val="20"/>
          <w:u w:val="single"/>
        </w:rPr>
        <w:t>Section 6.9</w:t>
      </w:r>
      <w:r>
        <w:rPr>
          <w:rFonts w:ascii="Times New Roman" w:hAnsi="Times New Roman"/>
          <w:caps w:val="false"/>
          <w:smallCaps w:val="false"/>
          <w:sz w:val="20"/>
        </w:rPr>
        <w:t xml:space="preserve"> shall restrict the Investor or any of its Affiliates from privately requesting that the Board of Directors or the Company’s senior management waive or amend any of the Standstill Restrictions, in any such case in a manner that would not reasonably be expected to require the Company or the Investor to make a public announcement or public disclosure. A “</w:t>
      </w:r>
      <w:r>
        <w:rPr>
          <w:rFonts w:ascii="Times New Roman" w:hAnsi="Times New Roman"/>
          <w:b/>
          <w:caps w:val="false"/>
          <w:smallCaps w:val="false"/>
          <w:sz w:val="20"/>
        </w:rPr>
        <w:t>Combination</w:t>
      </w:r>
      <w:r>
        <w:rPr>
          <w:rFonts w:ascii="Times New Roman" w:hAnsi="Times New Roman"/>
          <w:caps w:val="false"/>
          <w:smallCaps w:val="false"/>
          <w:sz w:val="20"/>
        </w:rPr>
        <w:t>” shall mean any transaction or series of related transactions (whether by merger, consolidation, recapitalization, sale or transfer of shares, tender or exchange offer, or otherwise) in which (x) a person or group (other than the Investor and its Affiliates) acquires, directly or indirectly, beneficial ownership of 50% or more of the outstanding shares of Common Stock (on an as-converted basis), or 50% or more of the assets of the Company (based on the fair market value of such assets), or (y) the Company engages in a merger or other business combination transaction, in any such case with respect to clauses (x) and (y), in a transaction which the shareholders of the Company immediately prior to such transaction do not own at least 50% of the outstanding equity of the acquiring company or surviving entity in the transaction (based on the voting power of such equity) immediately following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Conditions of Closing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7.1    </w:t>
      </w:r>
      <w:r>
        <w:rPr>
          <w:rFonts w:ascii="Times New Roman" w:hAnsi="Times New Roman"/>
          <w:caps w:val="false"/>
          <w:smallCaps w:val="false"/>
          <w:sz w:val="20"/>
          <w:u w:val="single"/>
        </w:rPr>
        <w:t xml:space="preserve">Conditions to the Obligation of the Investor. </w:t>
      </w:r>
      <w:r>
        <w:rPr>
          <w:rFonts w:ascii="Times New Roman" w:hAnsi="Times New Roman"/>
          <w:caps w:val="false"/>
          <w:smallCaps w:val="false"/>
          <w:sz w:val="20"/>
        </w:rPr>
        <w:t>The obligations of the Investor to consummate the transactions to be consummated at the Closing, and to purchase and pay for the Shares being purchased by it at the Closing pursuant to this Agreement, are subject to the satisfaction or waiver in writing of the following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Representations and Warranties of the Company</w:t>
      </w:r>
      <w:r>
        <w:rPr>
          <w:rFonts w:ascii="Times New Roman" w:hAnsi="Times New Roman"/>
          <w:caps w:val="false"/>
          <w:smallCaps w:val="false"/>
          <w:sz w:val="20"/>
        </w:rPr>
        <w:t>.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Representations and Warranties of the Selling Shareholder</w:t>
      </w:r>
      <w:r>
        <w:rPr>
          <w:rFonts w:ascii="Times New Roman" w:hAnsi="Times New Roman"/>
          <w:caps w:val="false"/>
          <w:smallCaps w:val="false"/>
          <w:sz w:val="20"/>
        </w:rPr>
        <w:t>. The representations and warranties of the Selling Shareholder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Performance</w:t>
      </w:r>
      <w:r>
        <w:rPr>
          <w:rFonts w:ascii="Times New Roman" w:hAnsi="Times New Roman"/>
          <w:caps w:val="false"/>
          <w:smallCaps w:val="false"/>
          <w:sz w:val="20"/>
        </w:rPr>
        <w:t>. The Company and the Selling Shareholder shall have performed in all material respects the obligations and conditions herein required to be performed or observed by the Company and the Selling Shareholder, as applicable,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No Injunction</w:t>
      </w:r>
      <w:r>
        <w:rPr>
          <w:rFonts w:ascii="Times New Roman" w:hAnsi="Times New Roman"/>
          <w:caps w:val="false"/>
          <w:smallCaps w:val="false"/>
          <w:sz w:val="20"/>
        </w:rPr>
        <w:t>. The purchase of and payment for the Shares by the Investor shall not be prohibited or enjoined by any law or governmental or court order or regulation and no such prohibition shall have been threatened in writing by any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Consents</w:t>
      </w:r>
      <w:r>
        <w:rPr>
          <w:rFonts w:ascii="Times New Roman" w:hAnsi="Times New Roman"/>
          <w:caps w:val="false"/>
          <w:smallCaps w:val="false"/>
          <w:sz w:val="20"/>
        </w:rPr>
        <w:t>. The Company and the Selling Shareholder, as applicable, shall have obtained any and all consents, permits, approvals, registrations and waivers necessary for the consummation of the purchase and sale of the Shares, all of which shall be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Transfer Agent</w:t>
      </w:r>
      <w:r>
        <w:rPr>
          <w:rFonts w:ascii="Times New Roman" w:hAnsi="Times New Roman"/>
          <w:caps w:val="false"/>
          <w:smallCaps w:val="false"/>
          <w:sz w:val="20"/>
        </w:rPr>
        <w:t>. The Company shall have furnished all required materials to the Transfer Agent to reflect the issuance of the Company Shares and the transfer of the Selling Shareholder Shares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Adverse Changes</w:t>
      </w:r>
      <w:r>
        <w:rPr>
          <w:rFonts w:ascii="Times New Roman" w:hAnsi="Times New Roman"/>
          <w:caps w:val="false"/>
          <w:smallCaps w:val="false"/>
          <w:sz w:val="20"/>
        </w:rPr>
        <w:t>. Since the date of this Agreement, no event or series of events shall have occurred that has had or would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Compliance Certificate of the Company</w:t>
      </w:r>
      <w:r>
        <w:rPr>
          <w:rFonts w:ascii="Times New Roman" w:hAnsi="Times New Roman"/>
          <w:caps w:val="false"/>
          <w:smallCaps w:val="false"/>
          <w:sz w:val="20"/>
        </w:rPr>
        <w:t xml:space="preserve">. An authorized officer of the Company shall have delivered to the Investor at the Closing Date a certificate certifying that the conditions specified in </w:t>
      </w:r>
      <w:r>
        <w:rPr>
          <w:rFonts w:ascii="Times New Roman" w:hAnsi="Times New Roman"/>
          <w:caps w:val="false"/>
          <w:smallCaps w:val="false"/>
          <w:sz w:val="20"/>
          <w:u w:val="single"/>
        </w:rPr>
        <w:t>Sections 7.1(a) (Representations and Warranties of the Company)</w:t>
      </w:r>
      <w:r>
        <w:rPr>
          <w:rFonts w:ascii="Times New Roman" w:hAnsi="Times New Roman"/>
          <w:caps w:val="false"/>
          <w:smallCaps w:val="false"/>
          <w:sz w:val="20"/>
        </w:rPr>
        <w:t xml:space="preserve">, </w:t>
      </w:r>
      <w:r>
        <w:rPr>
          <w:rFonts w:ascii="Times New Roman" w:hAnsi="Times New Roman"/>
          <w:caps w:val="false"/>
          <w:smallCaps w:val="false"/>
          <w:sz w:val="20"/>
          <w:u w:val="single"/>
        </w:rPr>
        <w:t>7.1(c) (Performance)</w:t>
      </w:r>
      <w:r>
        <w:rPr>
          <w:rFonts w:ascii="Times New Roman" w:hAnsi="Times New Roman"/>
          <w:caps w:val="false"/>
          <w:smallCaps w:val="false"/>
          <w:sz w:val="20"/>
        </w:rPr>
        <w:t xml:space="preserve">, </w:t>
      </w:r>
      <w:r>
        <w:rPr>
          <w:rFonts w:ascii="Times New Roman" w:hAnsi="Times New Roman"/>
          <w:caps w:val="false"/>
          <w:smallCaps w:val="false"/>
          <w:sz w:val="20"/>
          <w:u w:val="single"/>
        </w:rPr>
        <w:t>7.1(d) (No Injunction)</w:t>
      </w:r>
      <w:r>
        <w:rPr>
          <w:rFonts w:ascii="Times New Roman" w:hAnsi="Times New Roman"/>
          <w:caps w:val="false"/>
          <w:smallCaps w:val="false"/>
          <w:sz w:val="20"/>
        </w:rPr>
        <w:t xml:space="preserve">, </w:t>
      </w:r>
      <w:r>
        <w:rPr>
          <w:rFonts w:ascii="Times New Roman" w:hAnsi="Times New Roman"/>
          <w:caps w:val="false"/>
          <w:smallCaps w:val="false"/>
          <w:sz w:val="20"/>
          <w:u w:val="single"/>
        </w:rPr>
        <w:t>7.1(e) (Consents)</w:t>
      </w:r>
      <w:r>
        <w:rPr>
          <w:rFonts w:ascii="Times New Roman" w:hAnsi="Times New Roman"/>
          <w:caps w:val="false"/>
          <w:smallCaps w:val="false"/>
          <w:sz w:val="20"/>
        </w:rPr>
        <w:t xml:space="preserve">, </w:t>
      </w:r>
      <w:r>
        <w:rPr>
          <w:rFonts w:ascii="Times New Roman" w:hAnsi="Times New Roman"/>
          <w:caps w:val="false"/>
          <w:smallCaps w:val="false"/>
          <w:sz w:val="20"/>
          <w:u w:val="single"/>
        </w:rPr>
        <w:t>7.1(f) (Transfer Agent)</w:t>
      </w:r>
      <w:r>
        <w:rPr>
          <w:rFonts w:ascii="Times New Roman" w:hAnsi="Times New Roman"/>
          <w:caps w:val="false"/>
          <w:smallCaps w:val="false"/>
          <w:sz w:val="20"/>
        </w:rPr>
        <w:t xml:space="preserve">, </w:t>
      </w:r>
      <w:r>
        <w:rPr>
          <w:rFonts w:ascii="Times New Roman" w:hAnsi="Times New Roman"/>
          <w:caps w:val="false"/>
          <w:smallCaps w:val="false"/>
          <w:sz w:val="20"/>
          <w:u w:val="single"/>
        </w:rPr>
        <w:t>7.1(g) (Adverse Changes)</w:t>
      </w:r>
      <w:r>
        <w:rPr>
          <w:rFonts w:ascii="Times New Roman" w:hAnsi="Times New Roman"/>
          <w:caps w:val="false"/>
          <w:smallCaps w:val="false"/>
          <w:sz w:val="20"/>
        </w:rPr>
        <w:t xml:space="preserve"> and </w:t>
      </w:r>
      <w:r>
        <w:rPr>
          <w:rFonts w:ascii="Times New Roman" w:hAnsi="Times New Roman"/>
          <w:caps w:val="false"/>
          <w:smallCaps w:val="false"/>
          <w:sz w:val="20"/>
          <w:u w:val="single"/>
        </w:rPr>
        <w:t>7.1(l) (Listing Requirements)</w:t>
      </w:r>
      <w:r>
        <w:rPr>
          <w:rFonts w:ascii="Times New Roman" w:hAnsi="Times New Roman"/>
          <w:caps w:val="false"/>
          <w:smallCaps w:val="false"/>
          <w:sz w:val="20"/>
        </w:rPr>
        <w:t xml:space="preserve"> of this Agreement have been fulfilled.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Compliance Certificate of the Selling Shareholder</w:t>
      </w:r>
      <w:r>
        <w:rPr>
          <w:rFonts w:ascii="Times New Roman" w:hAnsi="Times New Roman"/>
          <w:caps w:val="false"/>
          <w:smallCaps w:val="false"/>
          <w:sz w:val="20"/>
        </w:rPr>
        <w:t xml:space="preserve">. The Selling Shareholder shall have delivered to the Investor at the Closing Date a certificate certifying that the conditions specified in </w:t>
      </w:r>
      <w:r>
        <w:rPr>
          <w:rFonts w:ascii="Times New Roman" w:hAnsi="Times New Roman"/>
          <w:caps w:val="false"/>
          <w:smallCaps w:val="false"/>
          <w:sz w:val="20"/>
          <w:u w:val="single"/>
        </w:rPr>
        <w:t>Sections 7.1(b) (Representations and Warranties of the Selling Shareholder)</w:t>
      </w:r>
      <w:r>
        <w:rPr>
          <w:rFonts w:ascii="Times New Roman" w:hAnsi="Times New Roman"/>
          <w:caps w:val="false"/>
          <w:smallCaps w:val="false"/>
          <w:sz w:val="20"/>
        </w:rPr>
        <w:t xml:space="preserve">, </w:t>
      </w:r>
      <w:r>
        <w:rPr>
          <w:rFonts w:ascii="Times New Roman" w:hAnsi="Times New Roman"/>
          <w:caps w:val="false"/>
          <w:smallCaps w:val="false"/>
          <w:sz w:val="20"/>
          <w:u w:val="single"/>
        </w:rPr>
        <w:t>7.1(c) (Performance)</w:t>
      </w:r>
      <w:r>
        <w:rPr>
          <w:rFonts w:ascii="Times New Roman" w:hAnsi="Times New Roman"/>
          <w:caps w:val="false"/>
          <w:smallCaps w:val="false"/>
          <w:sz w:val="20"/>
        </w:rPr>
        <w:t xml:space="preserve">, </w:t>
      </w:r>
      <w:r>
        <w:rPr>
          <w:rFonts w:ascii="Times New Roman" w:hAnsi="Times New Roman"/>
          <w:caps w:val="false"/>
          <w:smallCaps w:val="false"/>
          <w:sz w:val="20"/>
          <w:u w:val="single"/>
        </w:rPr>
        <w:t>7.1(d) (No Injunction)</w:t>
      </w:r>
      <w:r>
        <w:rPr>
          <w:rFonts w:ascii="Times New Roman" w:hAnsi="Times New Roman"/>
          <w:caps w:val="false"/>
          <w:smallCaps w:val="false"/>
          <w:sz w:val="20"/>
        </w:rPr>
        <w:t xml:space="preserve"> and </w:t>
      </w:r>
      <w:r>
        <w:rPr>
          <w:rFonts w:ascii="Times New Roman" w:hAnsi="Times New Roman"/>
          <w:caps w:val="false"/>
          <w:smallCaps w:val="false"/>
          <w:sz w:val="20"/>
          <w:u w:val="single"/>
        </w:rPr>
        <w:t>7.1(f) (Transfer Agent)</w:t>
      </w:r>
      <w:r>
        <w:rPr>
          <w:rFonts w:ascii="Times New Roman" w:hAnsi="Times New Roman"/>
          <w:caps w:val="false"/>
          <w:smallCaps w:val="false"/>
          <w:sz w:val="20"/>
        </w:rPr>
        <w:t xml:space="preserve"> of this Agreement have been fulfilled.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(j)    </w:t>
      </w:r>
      <w:r>
        <w:rPr>
          <w:rFonts w:ascii="Times New Roman" w:hAnsi="Times New Roman"/>
          <w:caps w:val="false"/>
          <w:smallCaps w:val="false"/>
          <w:sz w:val="20"/>
          <w:u w:val="single"/>
        </w:rPr>
        <w:t>Secretary’s Certificate</w:t>
      </w:r>
      <w:r>
        <w:rPr>
          <w:rFonts w:ascii="Times New Roman" w:hAnsi="Times New Roman"/>
          <w:caps w:val="false"/>
          <w:smallCaps w:val="false"/>
          <w:sz w:val="20"/>
        </w:rPr>
        <w:t>. The Secretary of the Company shall have delivered to the Investor at the Closing Date a certificate certifying (i) the Company’s Amended and Restated Charter; (ii) the Company’s Amended and Restated Bylaws; and (iii) the resolutions of the Company’s Board of Directors (and/or an authorized committee thereof) approving this Agreement, the other Transaction Agreements, the transactions contemplated by this Agreement and the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(k)    </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xml:space="preserve">. The Company shall have executed and delivered the Registration Rights Agreement in the form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(the “</w:t>
      </w:r>
      <w:r>
        <w:rPr>
          <w:rFonts w:ascii="Times New Roman" w:hAnsi="Times New Roman"/>
          <w:b/>
          <w:caps w:val="false"/>
          <w:smallCaps w:val="false"/>
          <w:sz w:val="20"/>
        </w:rPr>
        <w:t>Registration Rights Agreement</w:t>
      </w:r>
      <w:r>
        <w:rPr>
          <w:rFonts w:ascii="Times New Roman" w:hAnsi="Times New Roman"/>
          <w:caps w:val="false"/>
          <w:smallCaps w:val="false"/>
          <w:sz w:val="20"/>
        </w:rPr>
        <w:t>”) to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(l)    </w:t>
      </w:r>
      <w:r>
        <w:rPr>
          <w:rFonts w:ascii="Times New Roman" w:hAnsi="Times New Roman"/>
          <w:caps w:val="false"/>
          <w:smallCaps w:val="false"/>
          <w:sz w:val="20"/>
          <w:u w:val="single"/>
        </w:rPr>
        <w:t>Listing Requirements</w:t>
      </w:r>
      <w:r>
        <w:rPr>
          <w:rFonts w:ascii="Times New Roman" w:hAnsi="Times New Roman"/>
          <w:caps w:val="false"/>
          <w:smallCaps w:val="false"/>
          <w:sz w:val="20"/>
        </w:rPr>
        <w:t>. No stop order or suspension of trading shall have been imposed by Nasdaq, the SEC or any other governmental or regulatory body with respect to public trading in the Common Stock. The Common Stock shall be listed on Nasdaq and shall not have been suspended, as of the Closing Date, by the SEC or Nasdaq from trading thereon nor shall suspension by the SEC or Nasdaq have been threatened, as of the Closing Date, in writing by the SEC or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(m)    </w:t>
      </w:r>
      <w:r>
        <w:rPr>
          <w:rFonts w:ascii="Times New Roman" w:hAnsi="Times New Roman"/>
          <w:caps w:val="false"/>
          <w:smallCaps w:val="false"/>
          <w:sz w:val="20"/>
          <w:u w:val="single"/>
        </w:rPr>
        <w:t>No Injunction</w:t>
      </w:r>
      <w:r>
        <w:rPr>
          <w:rFonts w:ascii="Times New Roman" w:hAnsi="Times New Roman"/>
          <w:caps w:val="false"/>
          <w:smallCaps w:val="false"/>
          <w:sz w:val="20"/>
        </w:rPr>
        <w:t>.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(n)    </w:t>
      </w:r>
      <w:r>
        <w:rPr>
          <w:rFonts w:ascii="Times New Roman" w:hAnsi="Times New Roman"/>
          <w:caps w:val="false"/>
          <w:smallCaps w:val="false"/>
          <w:sz w:val="20"/>
          <w:u w:val="single"/>
        </w:rPr>
        <w:t>Delivery of Selling Shareholder Shares</w:t>
      </w:r>
      <w:r>
        <w:rPr>
          <w:rFonts w:ascii="Times New Roman" w:hAnsi="Times New Roman"/>
          <w:caps w:val="false"/>
          <w:smallCaps w:val="false"/>
          <w:sz w:val="20"/>
        </w:rPr>
        <w:t xml:space="preserve">. At or prior to the Closing, the Selling Shareholder shall have delivered to the Investor and/or the Transfer Agent, as applicable, all instruments and documentation necessary or reasonably required by the Transfer Agent to transfer the Selling Shareholder Shares to the Investor at the Closing, including (i) one or more stock powers or assignments separate from certificate, duly executed by the Selling Shareholder in favor of the Investor and with the Selling Shareholder’s signature guaranteed by an eligible guarantor institution participating in a medallion signature guarantee program acceptable to the Transfer Agent, and/or (ii) such other duly completed transfer instructions or documents as the Transfer Agent requires to effect the transfer of the Selling Shareholder Shares. The Company and the Selling Shareholder shall have delivered, or caused to be delivered, to the Transfer Agent irrevocable instructions to register the Selling Shareholder Shares in the name of the Investor at the Closing, in book-entry form through the direct registration system and bearing only the legend set forth in </w:t>
      </w:r>
      <w:r>
        <w:rPr>
          <w:rFonts w:ascii="Times New Roman" w:hAnsi="Times New Roman"/>
          <w:caps w:val="false"/>
          <w:smallCaps w:val="false"/>
          <w:sz w:val="20"/>
          <w:u w:val="single"/>
        </w:rPr>
        <w:t>Section 5.10</w:t>
      </w:r>
      <w:r>
        <w:rPr>
          <w:rFonts w:ascii="Times New Roman" w:hAnsi="Times New Roman"/>
          <w:caps w:val="false"/>
          <w:smallCaps w:val="false"/>
          <w:sz w:val="20"/>
        </w:rPr>
        <w:t>, against payment of the Selling Shareholder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7.2    </w:t>
      </w:r>
      <w:r>
        <w:rPr>
          <w:rFonts w:ascii="Times New Roman" w:hAnsi="Times New Roman"/>
          <w:caps w:val="false"/>
          <w:smallCaps w:val="false"/>
          <w:sz w:val="20"/>
          <w:u w:val="single"/>
        </w:rPr>
        <w:t>Conditions to the Obligation of the Company and the Selling Shareholder</w:t>
      </w:r>
      <w:r>
        <w:rPr>
          <w:rFonts w:ascii="Times New Roman" w:hAnsi="Times New Roman"/>
          <w:caps w:val="false"/>
          <w:smallCaps w:val="false"/>
          <w:sz w:val="20"/>
        </w:rPr>
        <w:t>. The obligation of the Company and the Selling Shareholder to consummate the transactions to be consummated at the Closing, and to issue and sell to the Investor the Shares to be purchased by it at the Closing pursuant to this Agreement, is subject to the satisfaction or waiver in writing of the following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xml:space="preserve">. The representations and warranties of the Investor in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hereto shall be true and correct on and as of the date of this Agreement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Performance</w:t>
      </w:r>
      <w:r>
        <w:rPr>
          <w:rFonts w:ascii="Times New Roman" w:hAnsi="Times New Roman"/>
          <w:caps w:val="false"/>
          <w:smallCaps w:val="false"/>
          <w:sz w:val="20"/>
        </w:rPr>
        <w:t>. The Investor shall have performed or complied with in all material respects all obligations and conditions herein required to be performed or observed by the Investor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No Injunction</w:t>
      </w:r>
      <w:r>
        <w:rPr>
          <w:rFonts w:ascii="Times New Roman" w:hAnsi="Times New Roman"/>
          <w:caps w:val="false"/>
          <w:smallCaps w:val="false"/>
          <w:sz w:val="20"/>
        </w:rPr>
        <w:t>. The purchase of and payment for the Shares by the Investor shall not be prohibited or enjoined by any law or governmental or court order or regulation and no such prohibition shall have been threatened in writing by any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xml:space="preserve">. The Investor shall have executed and delivered the Registration Rights Agreement to the Company in the form attached as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Payment</w:t>
      </w:r>
      <w:r>
        <w:rPr>
          <w:rFonts w:ascii="Times New Roman" w:hAnsi="Times New Roman"/>
          <w:caps w:val="false"/>
          <w:smallCaps w:val="false"/>
          <w:sz w:val="20"/>
        </w:rPr>
        <w:t>. The Company shall have received payment, by wire transfer of immediately available funds, of the full amount of the Company Purchase Price, and the Selling Shareholder shall have received payment, by wire transfer of immediately available funds, of the full amount of the Selling Shareholder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No Injunction</w:t>
      </w:r>
      <w:r>
        <w:rPr>
          <w:rFonts w:ascii="Times New Roman" w:hAnsi="Times New Roman"/>
          <w:caps w:val="false"/>
          <w:smallCaps w:val="false"/>
          <w:sz w:val="20"/>
        </w:rPr>
        <w:t>.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Termination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8.1    </w:t>
      </w:r>
      <w:r>
        <w:rPr>
          <w:rFonts w:ascii="Times New Roman" w:hAnsi="Times New Roman"/>
          <w:caps w:val="false"/>
          <w:smallCaps w:val="false"/>
          <w:sz w:val="20"/>
          <w:u w:val="single"/>
        </w:rPr>
        <w:t>Termination</w:t>
      </w:r>
      <w:r>
        <w:rPr>
          <w:rFonts w:ascii="Times New Roman" w:hAnsi="Times New Roman"/>
          <w:caps w:val="false"/>
          <w:smallCaps w:val="false"/>
          <w:sz w:val="20"/>
        </w:rPr>
        <w:t>. The obligations of the Company and the Selling Shareholder, on the one hand, and the Investor, on the other hand, to effect the Closing shall terminate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(i)    Upon the mutual written consent of the Company and the Investor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(ii)    By the Company, upon written notice to the Investor, if any of the conditions set forth in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shall have become incapable of fulfillment, and shall not have been waived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(iii)    By the Investor, upon written notice to the Company and the Selling Shareholder, if any of the conditions set forth in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shall have become incapable of fulfillment, and shall not have been waived by the Investor;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(iv)    By either the Company (upon written notice to the Investor) or the Investor (upon written notice to the Company and the Selling Shareholder) if the Closing has not occurred on or prior to the fifth Business Day following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provided, however, that, in the case of clauses (ii), (iii) and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8.2    Effect of Termination. In the event of termination of this Agreement pursuant to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nothing in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Miscellaneous Provisions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9.1    </w:t>
      </w:r>
      <w:r>
        <w:rPr>
          <w:rFonts w:ascii="Times New Roman" w:hAnsi="Times New Roman"/>
          <w:caps w:val="false"/>
          <w:smallCaps w:val="false"/>
          <w:sz w:val="20"/>
          <w:u w:val="single"/>
        </w:rPr>
        <w:t>Public Statements or Releases</w:t>
      </w:r>
      <w:r>
        <w:rPr>
          <w:rFonts w:ascii="Times New Roman" w:hAnsi="Times New Roman"/>
          <w:caps w:val="false"/>
          <w:smallCaps w:val="false"/>
          <w:sz w:val="20"/>
        </w:rPr>
        <w:t xml:space="preserve">. Except as set forth in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neither the Company, the Selling Shareholder, nor the Investor shall make any public announcement with respect to the existence or terms of this Agreement or the transactions provided for herein without the prior consent of (x) the Company, in the case of any such announcement by Investor, and (y) the Investor, in the case of any such announcement by the Company or the Selling Shareholder (which consent, in any such case, shall not be unreasonably withheld). Notwithstanding the foregoing, and subject to the terms of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nothing in this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shall prevent the Company from making any public announcement it considers necessary or advisable in order to satisfy its obligations under the law, including applicable securities laws, or under the rules of any national securities exchange or securities market, in which case the Company shall allow the Investor reasonable time to comment on such release or announcement in advance of such issuance,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 except as otherwise required by law or the applicable rules or regulations of any securities exchange or securities market, in which case the Company shall allow the Investor, to the extent reasonably practicable in the circumstances, reasonable time to comment on such release or announcement in advance of such issuance. Notwithstanding anything to the contrary in this </w:t>
      </w:r>
      <w:r>
        <w:rPr>
          <w:rFonts w:ascii="Times New Roman" w:hAnsi="Times New Roman"/>
          <w:caps w:val="false"/>
          <w:smallCaps w:val="false"/>
          <w:sz w:val="20"/>
          <w:u w:val="single"/>
        </w:rPr>
        <w:t>Section 9.1</w:t>
      </w:r>
      <w:r>
        <w:rPr>
          <w:rFonts w:ascii="Times New Roman" w:hAnsi="Times New Roman"/>
          <w:caps w:val="false"/>
          <w:smallCaps w:val="false"/>
          <w:sz w:val="20"/>
        </w:rPr>
        <w:t>, Investor review shall not be required for Company disclosures that are substantially consistent with prior Company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9.2    </w:t>
      </w:r>
      <w:r>
        <w:rPr>
          <w:rFonts w:ascii="Times New Roman" w:hAnsi="Times New Roman"/>
          <w:caps w:val="false"/>
          <w:smallCaps w:val="false"/>
          <w:sz w:val="20"/>
          <w:u w:val="single"/>
        </w:rPr>
        <w:t>Notices</w:t>
      </w:r>
      <w:r>
        <w:rPr>
          <w:rFonts w:ascii="Times New Roman" w:hAnsi="Times New Roman"/>
          <w:caps w:val="false"/>
          <w:smallCaps w:val="false"/>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(a)    If to the Company,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 w:hAnsi="Times New Roman"/>
          <w:caps w:val="false"/>
          <w:smallCaps w:val="false"/>
          <w:sz w:val="20"/>
        </w:rPr>
      </w:pPr>
      <w:r>
        <w:rPr>
          <w:rFonts w:ascii="Times New Roman" w:hAnsi="Times New Roman"/>
          <w:caps w:val="false"/>
          <w:smallCaps w:val="false"/>
          <w:sz w:val="20"/>
        </w:rPr>
        <w:t>HealthStream, Inc.</w:t>
        <w:br/>
        <w:t>500 11th Avenue North, Suite 850</w:t>
      </w:r>
    </w:p>
    <w:p>
      <w:pPr>
        <w:pStyle w:val="TextBody"/>
        <w:bidi w:val="0"/>
        <w:spacing w:before="0" w:after="0"/>
        <w:ind w:left="3600" w:right="0" w:hanging="0"/>
        <w:jc w:val="left"/>
        <w:rPr>
          <w:rFonts w:ascii="Times New Roman" w:hAnsi="Times New Roman"/>
          <w:caps w:val="false"/>
          <w:smallCaps w:val="false"/>
          <w:sz w:val="20"/>
        </w:rPr>
      </w:pPr>
      <w:r>
        <w:rPr>
          <w:rFonts w:ascii="Times New Roman" w:hAnsi="Times New Roman"/>
          <w:caps w:val="false"/>
          <w:smallCaps w:val="false"/>
          <w:sz w:val="20"/>
        </w:rPr>
        <w:t>Nashville, Tennessee 37203</w:t>
        <w:br/>
        <w:t>Attention: Sneha Oakley, Vice President, General Counsel</w:t>
        <w:br/>
        <w:t>Email: sneha.oakley@healthstream.com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with a copy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 w:hAnsi="Times New Roman"/>
          <w:caps w:val="false"/>
          <w:smallCaps w:val="false"/>
          <w:sz w:val="20"/>
        </w:rPr>
      </w:pPr>
      <w:r>
        <w:rPr>
          <w:rFonts w:ascii="Times New Roman" w:hAnsi="Times New Roman"/>
          <w:caps w:val="false"/>
          <w:smallCaps w:val="false"/>
          <w:sz w:val="20"/>
        </w:rPr>
        <w:t>Bass, Berry &amp; Sims PLC</w:t>
      </w:r>
    </w:p>
    <w:p>
      <w:pPr>
        <w:pStyle w:val="TextBody"/>
        <w:bidi w:val="0"/>
        <w:spacing w:before="0" w:after="0"/>
        <w:ind w:left="3600" w:right="0" w:hanging="0"/>
        <w:jc w:val="left"/>
        <w:rPr>
          <w:rFonts w:ascii="Times New Roman" w:hAnsi="Times New Roman"/>
          <w:caps w:val="false"/>
          <w:smallCaps w:val="false"/>
          <w:sz w:val="20"/>
        </w:rPr>
      </w:pPr>
      <w:r>
        <w:rPr>
          <w:rFonts w:ascii="Times New Roman" w:hAnsi="Times New Roman"/>
          <w:caps w:val="false"/>
          <w:smallCaps w:val="false"/>
          <w:sz w:val="20"/>
        </w:rPr>
        <w:t>21 Platform Way South, Suite 3500</w:t>
      </w:r>
    </w:p>
    <w:p>
      <w:pPr>
        <w:pStyle w:val="TextBody"/>
        <w:bidi w:val="0"/>
        <w:spacing w:before="0" w:after="0"/>
        <w:ind w:left="3600" w:right="0" w:hanging="0"/>
        <w:jc w:val="left"/>
        <w:rPr>
          <w:rFonts w:ascii="Times New Roman" w:hAnsi="Times New Roman"/>
          <w:caps w:val="false"/>
          <w:smallCaps w:val="false"/>
          <w:sz w:val="20"/>
        </w:rPr>
      </w:pPr>
      <w:r>
        <w:rPr>
          <w:rFonts w:ascii="Times New Roman" w:hAnsi="Times New Roman"/>
          <w:caps w:val="false"/>
          <w:smallCaps w:val="false"/>
          <w:sz w:val="20"/>
        </w:rPr>
        <w:t>Nashville, Tennessee 37203</w:t>
      </w:r>
    </w:p>
    <w:p>
      <w:pPr>
        <w:pStyle w:val="TextBody"/>
        <w:bidi w:val="0"/>
        <w:spacing w:before="0" w:after="0"/>
        <w:ind w:left="3600" w:right="0" w:hanging="0"/>
        <w:jc w:val="left"/>
        <w:rPr>
          <w:rFonts w:ascii="Times New Roman" w:hAnsi="Times New Roman"/>
          <w:caps w:val="false"/>
          <w:smallCaps w:val="false"/>
          <w:sz w:val="20"/>
        </w:rPr>
      </w:pPr>
      <w:r>
        <w:rPr>
          <w:rFonts w:ascii="Times New Roman" w:hAnsi="Times New Roman"/>
          <w:caps w:val="false"/>
          <w:smallCaps w:val="false"/>
          <w:sz w:val="20"/>
        </w:rPr>
        <w:t>Attention:     J. Page Davidson</w:t>
      </w:r>
    </w:p>
    <w:p>
      <w:pPr>
        <w:pStyle w:val="TextBody"/>
        <w:bidi w:val="0"/>
        <w:spacing w:before="0" w:after="0"/>
        <w:ind w:left="3600" w:right="0" w:firstLine="1080"/>
        <w:jc w:val="left"/>
        <w:rPr>
          <w:rFonts w:ascii="Times New Roman" w:hAnsi="Times New Roman"/>
          <w:caps w:val="false"/>
          <w:smallCaps w:val="false"/>
          <w:sz w:val="20"/>
        </w:rPr>
      </w:pPr>
      <w:r>
        <w:rPr>
          <w:rFonts w:ascii="Times New Roman" w:hAnsi="Times New Roman"/>
          <w:caps w:val="false"/>
          <w:smallCaps w:val="false"/>
          <w:sz w:val="20"/>
        </w:rPr>
        <w:t>Kevin H. Douglas</w:t>
        <w:br/>
        <w:t>Email:           pdavidson@bassberry.com</w:t>
      </w:r>
    </w:p>
    <w:p>
      <w:pPr>
        <w:pStyle w:val="TextBody"/>
        <w:bidi w:val="0"/>
        <w:spacing w:before="0" w:after="0"/>
        <w:ind w:left="3600" w:right="0" w:firstLine="1080"/>
        <w:jc w:val="left"/>
        <w:rPr>
          <w:rFonts w:ascii="Times New Roman" w:hAnsi="Times New Roman"/>
          <w:caps w:val="false"/>
          <w:smallCaps w:val="false"/>
          <w:sz w:val="20"/>
        </w:rPr>
      </w:pPr>
      <w:r>
        <w:rPr>
          <w:rFonts w:ascii="Times New Roman" w:hAnsi="Times New Roman"/>
          <w:caps w:val="false"/>
          <w:smallCaps w:val="false"/>
          <w:sz w:val="20"/>
        </w:rPr>
        <w:t>kdouglas@bassberry.com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If to the Selling Shareholder or the Investor, at its address or e-mail address set forth on its signature page hereto, or such address as subsequently modified by written notice given in accordance with this </w:t>
      </w:r>
      <w:r>
        <w:rPr>
          <w:rFonts w:ascii="Times New Roman" w:hAnsi="Times New Roman"/>
          <w:caps w:val="false"/>
          <w:smallCaps w:val="false"/>
          <w:sz w:val="20"/>
          <w:u w:val="single"/>
        </w:rPr>
        <w:t>Section 9.2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Person may change the address to which notices and communications to it are to be addressed by notification as provided for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9.3    </w:t>
      </w:r>
      <w:r>
        <w:rPr>
          <w:rFonts w:ascii="Times New Roman" w:hAnsi="Times New Roman"/>
          <w:caps w:val="false"/>
          <w:smallCaps w:val="false"/>
          <w:sz w:val="20"/>
          <w:u w:val="single"/>
        </w:rPr>
        <w:t>Consent to Electronic Notice</w:t>
      </w:r>
      <w:r>
        <w:rPr>
          <w:rFonts w:ascii="Times New Roman" w:hAnsi="Times New Roman"/>
          <w:caps w:val="false"/>
          <w:smallCaps w:val="false"/>
          <w:sz w:val="20"/>
        </w:rPr>
        <w:t>. The Investor consents to the delivery of any shareholder notice pursuant to the Tennessee Business Corporation Act (the “</w:t>
      </w:r>
      <w:r>
        <w:rPr>
          <w:rFonts w:ascii="Times New Roman" w:hAnsi="Times New Roman"/>
          <w:b/>
          <w:caps w:val="false"/>
          <w:smallCaps w:val="false"/>
          <w:sz w:val="20"/>
        </w:rPr>
        <w:t>TBCA</w:t>
      </w:r>
      <w:r>
        <w:rPr>
          <w:rFonts w:ascii="Times New Roman" w:hAnsi="Times New Roman"/>
          <w:caps w:val="false"/>
          <w:smallCaps w:val="false"/>
          <w:sz w:val="20"/>
        </w:rPr>
        <w:t>”), as amended or superseded from time to time, by electronic mail pursuant to § 48-11-202 of the TBCA (or any successor thereto) at the e-mail address set forth below the Investor’s name on the signature page,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9.4    </w:t>
      </w:r>
      <w:r>
        <w:rPr>
          <w:rFonts w:ascii="Times New Roman" w:hAnsi="Times New Roman"/>
          <w:caps w:val="false"/>
          <w:smallCaps w:val="false"/>
          <w:sz w:val="20"/>
          <w:u w:val="single"/>
        </w:rPr>
        <w:t>Severability</w:t>
      </w:r>
      <w:r>
        <w:rPr>
          <w:rFonts w:ascii="Times New Roman" w:hAnsi="Times New Roman"/>
          <w:caps w:val="false"/>
          <w:smallCaps w:val="false"/>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9.5    </w:t>
      </w:r>
      <w:r>
        <w:rPr>
          <w:rFonts w:ascii="Times New Roman" w:hAnsi="Times New Roman"/>
          <w:caps w:val="false"/>
          <w:smallCaps w:val="false"/>
          <w:sz w:val="20"/>
          <w:u w:val="single"/>
        </w:rPr>
        <w:t>Governing Law; Submission to Jurisdiction; Venue; Waiver of Trial by Jury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(a)    This Agreement shall be governed by, and construed in accordance with, the laws of the State of Delaware without regard to choice of laws or conflicts of laws provisions thereof that would require the application of the laws of any other jurisdiction, except to the extent that mandatory principles of Tennessee law may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(b)    The Company, the Selling Shareholder and the Investor hereby irrevocably and unconditionally: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(i)    submits for itself and its property in any legal action or proceeding relating solely to this Agreement or the transactions contemplated hereby, to the exclusive jurisdiction and venue of the Court of Chancery of the State of Delaware (or, only if subject matter jurisdiction in that court is not available, in any appropriate state or federal courts in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before="0" w:after="0"/>
        <w:ind w:left="0" w:right="0" w:firstLine="198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caps w:val="false"/>
          <w:smallCaps w:val="false"/>
          <w:sz w:val="20"/>
          <w:u w:val="single"/>
        </w:rPr>
        <w:t>Section 9.2</w:t>
      </w:r>
      <w:r>
        <w:rPr>
          <w:rFonts w:ascii="Times New Roman" w:hAnsi="Times New Roman"/>
          <w:caps w:val="false"/>
          <w:smallCaps w:val="false"/>
          <w:sz w:val="20"/>
        </w:rPr>
        <w:t xml:space="preserve"> or at such other address of which the other party shall have been notified pursuant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(vii)    irrevocably and unconditionally waives trial by jury in any legal action or proceeding in relation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9.6    </w:t>
      </w:r>
      <w:r>
        <w:rPr>
          <w:rFonts w:ascii="Times New Roman" w:hAnsi="Times New Roman"/>
          <w:caps w:val="false"/>
          <w:smallCaps w:val="false"/>
          <w:sz w:val="20"/>
          <w:u w:val="single"/>
        </w:rPr>
        <w:t>Waiver</w:t>
      </w:r>
      <w:r>
        <w:rPr>
          <w:rFonts w:ascii="Times New Roman" w:hAnsi="Times New Roman"/>
          <w:caps w:val="false"/>
          <w:smallCaps w:val="false"/>
          <w:sz w:val="20"/>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9.7    </w:t>
      </w:r>
      <w:r>
        <w:rPr>
          <w:rFonts w:ascii="Times New Roman" w:hAnsi="Times New Roman"/>
          <w:caps w:val="false"/>
          <w:smallCaps w:val="false"/>
          <w:sz w:val="20"/>
          <w:u w:val="single"/>
        </w:rPr>
        <w:t>Expenses</w:t>
      </w:r>
      <w:r>
        <w:rPr>
          <w:rFonts w:ascii="Times New Roman" w:hAnsi="Times New Roman"/>
          <w:caps w:val="false"/>
          <w:smallCaps w:val="false"/>
          <w:sz w:val="20"/>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Shares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Shares to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9.8    </w:t>
      </w:r>
      <w:r>
        <w:rPr>
          <w:rFonts w:ascii="Times New Roman" w:hAnsi="Times New Roman"/>
          <w:caps w:val="false"/>
          <w:smallCaps w:val="false"/>
          <w:sz w:val="20"/>
          <w:u w:val="single"/>
        </w:rPr>
        <w:t>Assignment</w:t>
      </w:r>
      <w:r>
        <w:rPr>
          <w:rFonts w:ascii="Times New Roman" w:hAnsi="Times New Roman"/>
          <w:caps w:val="false"/>
          <w:smallCaps w:val="false"/>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the Investor, and (y) the Investor, in the case of the Company or the Selling Shareholder; provided, however, that the Investor may, without the prior written consent of the Company, assign or transfer its rights and obligations under this Agreement, in whole or in part, (A) to one or more of its Affiliates or (B) to any transferee of Shares in connection with a transfer of Shares made in accordance with the Registration Rights Agreement and applicable law, so long as (1) the Investor provides written notice of such assignment to the Company prior to effecting such assignment and (2) the assignee agrees in writing to be bound by, and to be subject to the terms and conditions of, this Agreement (including the representations and warranties of the Investor set forth in </w:t>
      </w:r>
      <w:r>
        <w:rPr>
          <w:rFonts w:ascii="Times New Roman" w:hAnsi="Times New Roman"/>
          <w:caps w:val="false"/>
          <w:smallCaps w:val="false"/>
          <w:sz w:val="20"/>
          <w:u w:val="single"/>
        </w:rPr>
        <w:t>Section 5</w:t>
      </w:r>
      <w:r>
        <w:rPr>
          <w:rFonts w:ascii="Times New Roman" w:hAnsi="Times New Roman"/>
          <w:caps w:val="false"/>
          <w:smallCaps w:val="false"/>
          <w:sz w:val="20"/>
        </w:rPr>
        <w:t>) in form reasonably satisfactory to the Company, not to be unreasonably withheld.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9.9    </w:t>
      </w:r>
      <w:r>
        <w:rPr>
          <w:rFonts w:ascii="Times New Roman" w:hAnsi="Times New Roman"/>
          <w:caps w:val="false"/>
          <w:smallCaps w:val="false"/>
          <w:sz w:val="20"/>
          <w:u w:val="single"/>
        </w:rPr>
        <w:t>Third Parties</w:t>
      </w:r>
      <w:r>
        <w:rPr>
          <w:rFonts w:ascii="Times New Roman" w:hAnsi="Times New Roman"/>
          <w:caps w:val="false"/>
          <w:smallCaps w:val="false"/>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the Indemnified Persons are intended third-party beneficiaries of </w:t>
      </w:r>
      <w:r>
        <w:rPr>
          <w:rFonts w:ascii="Times New Roman" w:hAnsi="Times New Roman"/>
          <w:caps w:val="false"/>
          <w:smallCaps w:val="false"/>
          <w:sz w:val="20"/>
          <w:u w:val="single"/>
        </w:rPr>
        <w:t>Section 6.8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9.10    </w:t>
      </w:r>
      <w:r>
        <w:rPr>
          <w:rFonts w:ascii="Times New Roman" w:hAnsi="Times New Roman"/>
          <w:caps w:val="false"/>
          <w:smallCaps w:val="false"/>
          <w:sz w:val="20"/>
          <w:u w:val="single"/>
        </w:rPr>
        <w:t>Headings</w:t>
      </w:r>
      <w:r>
        <w:rPr>
          <w:rFonts w:ascii="Times New Roman" w:hAnsi="Times New Roman"/>
          <w:caps w:val="false"/>
          <w:smallCaps w:val="false"/>
          <w:sz w:val="20"/>
        </w:rPr>
        <w:t>. The titles, subtitles and headings in this Agreement are for convenience of reference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9.11    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9.12    </w:t>
      </w:r>
      <w:r>
        <w:rPr>
          <w:rFonts w:ascii="Times New Roman" w:hAnsi="Times New Roman"/>
          <w:caps w:val="false"/>
          <w:smallCaps w:val="false"/>
          <w:sz w:val="20"/>
          <w:u w:val="single"/>
        </w:rPr>
        <w:t>Entire Agreement; Amendments</w:t>
      </w:r>
      <w:r>
        <w:rPr>
          <w:rFonts w:ascii="Times New Roman" w:hAnsi="Times New Roman"/>
          <w:caps w:val="false"/>
          <w:smallCaps w:val="false"/>
          <w:sz w:val="20"/>
        </w:rPr>
        <w:t>. This Agreement and the other Transaction Agreements (including all schedules and exhibits hereto and thereto), constitute the entire agreement between the parties hereto respecting the subject matter of this Agreement and supersedes all prior agreements, negotiations, understandings, representations and statements respecting the subject matter of this Agreement, whether written or oral; provided, however, that (i) the letter agreement dated as of January 29, 2026, by and between the Company and Willis Johnson, and (ii) the confidentiality letter agreement dated as of August 28, 2026, by and between the Investor and the Company, in any such case, will not be superseded hereby and will remain in full force and effect. No amendment, modification, alteration, or change in any of the terms of this Agreement shall be valid or binding upon the parties hereto unless made in writing and duly executed by the Company and the Investor; provided, however, that any such amendment, modification, alteration or change that adversely affects the Selling Shareholder will also require the written consent of the Selling Shareholder. The Company may, by an instrument signed in writing by such parties, waive the performance, compliance or satisfaction by the Investor with any term or provision of this Agreement or any condition hereto to be performed, complied with or satisfied by the Investor provided, however, that any such amendment, modification, alteration or change that adversely affects the Selling Shareholder will also require the written consent of the Selling Shareholder. The Investor may, by an instrument signed in writing by the Investor, waive the performance, compliance or satisfaction by the Company or the Selling Shareholder with any term or provision of this Agreement or any condition hereto to be performed, complied with or satisfied by the Company or the Selling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9.13    </w:t>
      </w:r>
      <w:r>
        <w:rPr>
          <w:rFonts w:ascii="Times New Roman" w:hAnsi="Times New Roman"/>
          <w:caps w:val="false"/>
          <w:smallCaps w:val="false"/>
          <w:sz w:val="20"/>
          <w:u w:val="single"/>
        </w:rPr>
        <w:t>Survival</w:t>
      </w:r>
      <w:r>
        <w:rPr>
          <w:rFonts w:ascii="Times New Roman" w:hAnsi="Times New Roman"/>
          <w:caps w:val="false"/>
          <w:smallCaps w:val="false"/>
          <w:sz w:val="20"/>
        </w:rPr>
        <w:t>. The covenants, representations and warranties made by each party hereto contained in this Agreement shall survive the Closing and the delivery of the Shares in accordance with their respective terms. The Company, the Selling Shareholder and the Investor shall be responsible only for its own representations, warranties, agreements and covenants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9.14    </w:t>
      </w:r>
      <w:r>
        <w:rPr>
          <w:rFonts w:ascii="Times New Roman" w:hAnsi="Times New Roman"/>
          <w:caps w:val="false"/>
          <w:smallCaps w:val="false"/>
          <w:sz w:val="20"/>
          <w:u w:val="single"/>
        </w:rPr>
        <w:t>Contract Interpretation.</w:t>
      </w:r>
      <w:r>
        <w:rPr>
          <w:rFonts w:ascii="Times New Roman" w:hAnsi="Times New Roman"/>
          <w:caps w:val="false"/>
          <w:smallCaps w:val="false"/>
          <w:sz w:val="20"/>
        </w:rPr>
        <w:t xml:space="preserve"> This Agreement is the joint product of the Investor, the Selling Shareholder and the Company, and each provision of this Agreement has been subject to the mutual consultation, negotiation and agreement of such parties and shall not be construed for or against any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9.15    </w:t>
      </w:r>
      <w:r>
        <w:rPr>
          <w:rFonts w:ascii="Times New Roman" w:hAnsi="Times New Roman"/>
          <w:caps w:val="false"/>
          <w:smallCaps w:val="false"/>
          <w:sz w:val="20"/>
          <w:u w:val="single"/>
        </w:rPr>
        <w:t>Arm’s Length Negotiations</w:t>
      </w:r>
      <w:r>
        <w:rPr>
          <w:rFonts w:ascii="Times New Roman" w:hAnsi="Times New Roman"/>
          <w:caps w:val="false"/>
          <w:smallCaps w:val="false"/>
          <w:sz w:val="20"/>
        </w:rPr>
        <w:t>. For the avoidance of doubt, the parties acknowledge and confirm that the terms and conditions of this Agreement were determined as a result of arm’s-length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9.16         </w:t>
      </w:r>
      <w:r>
        <w:rPr>
          <w:rFonts w:ascii="Times New Roman" w:hAnsi="Times New Roman"/>
          <w:caps w:val="false"/>
          <w:smallCaps w:val="false"/>
          <w:sz w:val="20"/>
          <w:u w:val="single"/>
        </w:rPr>
        <w:t>Additional Information</w:t>
      </w:r>
      <w:r>
        <w:rPr>
          <w:rFonts w:ascii="Times New Roman" w:hAnsi="Times New Roman"/>
          <w:caps w:val="false"/>
          <w:smallCaps w:val="false"/>
          <w:sz w:val="20"/>
        </w:rPr>
        <w:t>. The Company may request from the Investor such reasonable and customary additional information as the Company may deem necessary to evaluate the eligibility of the Investor to acquire the Shares,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[Remainder of Page Intentionally Left Blank.]</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parties hereto have executed this Agreement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 w:name="signature-table"/>
      <w:bookmarkStart w:id="7" w:name="signature-table"/>
      <w:bookmarkEnd w:id="7"/>
    </w:p>
    <w:tbl>
      <w:tblPr>
        <w:tblW w:w="10205" w:type="dxa"/>
        <w:jc w:val="left"/>
        <w:tblInd w:w="0" w:type="dxa"/>
        <w:tblLayout w:type="fixed"/>
        <w:tblCellMar>
          <w:top w:w="0" w:type="dxa"/>
          <w:left w:w="0" w:type="dxa"/>
          <w:bottom w:w="0" w:type="dxa"/>
          <w:right w:w="0" w:type="dxa"/>
        </w:tblCellMar>
      </w:tblPr>
      <w:tblGrid>
        <w:gridCol w:w="6212"/>
        <w:gridCol w:w="318"/>
        <w:gridCol w:w="3675"/>
      </w:tblGrid>
      <w:tr>
        <w:trPr/>
        <w:tc>
          <w:tcPr>
            <w:tcW w:w="6212" w:type="dxa"/>
            <w:tcBorders/>
            <w:vAlign w:val="center"/>
          </w:tcPr>
          <w:p>
            <w:pPr>
              <w:pStyle w:val="TableContents"/>
              <w:bidi w:val="0"/>
              <w:spacing w:before="0" w:after="0"/>
              <w:ind w:left="0" w:right="0" w:hanging="0"/>
              <w:jc w:val="left"/>
              <w:rPr/>
            </w:pPr>
            <w:r>
              <w:rPr/>
              <w:t> </w:t>
            </w:r>
          </w:p>
        </w:tc>
        <w:tc>
          <w:tcPr>
            <w:tcW w:w="3993" w:type="dxa"/>
            <w:gridSpan w:val="2"/>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COMPANY:</w:t>
            </w:r>
          </w:p>
        </w:tc>
      </w:tr>
      <w:tr>
        <w:trPr/>
        <w:tc>
          <w:tcPr>
            <w:tcW w:w="6212" w:type="dxa"/>
            <w:tcBorders/>
            <w:vAlign w:val="center"/>
          </w:tcPr>
          <w:p>
            <w:pPr>
              <w:pStyle w:val="TableContents"/>
              <w:bidi w:val="0"/>
              <w:spacing w:before="0" w:after="0"/>
              <w:ind w:left="0" w:right="0" w:hanging="0"/>
              <w:jc w:val="left"/>
              <w:rPr/>
            </w:pPr>
            <w:r>
              <w:rPr/>
              <w:t> </w:t>
            </w:r>
          </w:p>
        </w:tc>
        <w:tc>
          <w:tcPr>
            <w:tcW w:w="3993" w:type="dxa"/>
            <w:gridSpan w:val="2"/>
            <w:tcBorders/>
            <w:vAlign w:val="center"/>
          </w:tcPr>
          <w:p>
            <w:pPr>
              <w:pStyle w:val="TableContents"/>
              <w:bidi w:val="0"/>
              <w:spacing w:before="0" w:after="0"/>
              <w:ind w:left="0" w:right="0" w:hanging="0"/>
              <w:jc w:val="left"/>
              <w:rPr/>
            </w:pPr>
            <w:r>
              <w:rPr/>
              <w:t> </w:t>
            </w:r>
          </w:p>
        </w:tc>
      </w:tr>
      <w:tr>
        <w:trPr/>
        <w:tc>
          <w:tcPr>
            <w:tcW w:w="6212" w:type="dxa"/>
            <w:tcBorders/>
            <w:vAlign w:val="center"/>
          </w:tcPr>
          <w:p>
            <w:pPr>
              <w:pStyle w:val="TableContents"/>
              <w:bidi w:val="0"/>
              <w:spacing w:before="0" w:after="0"/>
              <w:ind w:left="0" w:right="0" w:hanging="0"/>
              <w:jc w:val="left"/>
              <w:rPr/>
            </w:pPr>
            <w:r>
              <w:rPr/>
              <w:t> </w:t>
            </w:r>
          </w:p>
        </w:tc>
        <w:tc>
          <w:tcPr>
            <w:tcW w:w="3993" w:type="dxa"/>
            <w:gridSpan w:val="2"/>
            <w:tcBorders/>
          </w:tcPr>
          <w:p>
            <w:pPr>
              <w:pStyle w:val="TableContents"/>
              <w:bidi w:val="0"/>
              <w:spacing w:before="0" w:after="0"/>
              <w:jc w:val="left"/>
              <w:rPr>
                <w:rFonts w:ascii="Times New Roman" w:hAnsi="Times New Roman"/>
                <w:sz w:val="20"/>
              </w:rPr>
            </w:pPr>
            <w:r>
              <w:rPr>
                <w:rFonts w:ascii="Times New Roman" w:hAnsi="Times New Roman"/>
                <w:sz w:val="20"/>
              </w:rPr>
              <w:t>HealthStream, Inc. </w:t>
            </w:r>
          </w:p>
        </w:tc>
      </w:tr>
      <w:tr>
        <w:trPr/>
        <w:tc>
          <w:tcPr>
            <w:tcW w:w="6212" w:type="dxa"/>
            <w:tcBorders/>
            <w:vAlign w:val="center"/>
          </w:tcPr>
          <w:p>
            <w:pPr>
              <w:pStyle w:val="TableContents"/>
              <w:bidi w:val="0"/>
              <w:spacing w:before="0" w:after="0"/>
              <w:ind w:left="0" w:right="0" w:hanging="0"/>
              <w:jc w:val="left"/>
              <w:rPr/>
            </w:pPr>
            <w:r>
              <w:rPr/>
              <w:t> </w:t>
            </w:r>
          </w:p>
        </w:tc>
        <w:tc>
          <w:tcPr>
            <w:tcW w:w="3993" w:type="dxa"/>
            <w:gridSpan w:val="2"/>
            <w:tcBorders/>
            <w:vAlign w:val="center"/>
          </w:tcPr>
          <w:p>
            <w:pPr>
              <w:pStyle w:val="TableContents"/>
              <w:bidi w:val="0"/>
              <w:spacing w:before="0" w:after="0"/>
              <w:ind w:left="0" w:right="0" w:hanging="0"/>
              <w:jc w:val="left"/>
              <w:rPr/>
            </w:pPr>
            <w:r>
              <w:rPr/>
              <w:t> </w:t>
            </w:r>
          </w:p>
        </w:tc>
      </w:tr>
      <w:tr>
        <w:trPr/>
        <w:tc>
          <w:tcPr>
            <w:tcW w:w="6212"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3675" w:type="dxa"/>
            <w:tcBorders/>
            <w:vAlign w:val="center"/>
          </w:tcPr>
          <w:p>
            <w:pPr>
              <w:pStyle w:val="TableContents"/>
              <w:bidi w:val="0"/>
              <w:spacing w:before="0" w:after="0"/>
              <w:ind w:left="0" w:right="0" w:hanging="0"/>
              <w:jc w:val="left"/>
              <w:rPr/>
            </w:pPr>
            <w:r>
              <w:rPr/>
              <w:t> </w:t>
            </w:r>
          </w:p>
        </w:tc>
      </w:tr>
      <w:tr>
        <w:trPr/>
        <w:tc>
          <w:tcPr>
            <w:tcW w:w="6212" w:type="dxa"/>
            <w:tcBorders/>
            <w:vAlign w:val="center"/>
          </w:tcPr>
          <w:p>
            <w:pPr>
              <w:pStyle w:val="TableContents"/>
              <w:bidi w:val="0"/>
              <w:spacing w:before="0" w:after="0"/>
              <w:ind w:left="0" w:right="0" w:hanging="0"/>
              <w:jc w:val="left"/>
              <w:rPr/>
            </w:pPr>
            <w:r>
              <w:rPr/>
              <w:t> </w:t>
            </w:r>
          </w:p>
        </w:tc>
        <w:tc>
          <w:tcPr>
            <w:tcW w:w="31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675"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Michael M. Collier</w:t>
            </w:r>
          </w:p>
        </w:tc>
      </w:tr>
      <w:tr>
        <w:trPr/>
        <w:tc>
          <w:tcPr>
            <w:tcW w:w="6212"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36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Michael M. Collier</w:t>
            </w:r>
          </w:p>
        </w:tc>
      </w:tr>
      <w:tr>
        <w:trPr/>
        <w:tc>
          <w:tcPr>
            <w:tcW w:w="6212"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36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Chief Operating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parties hereto have executed this Agreement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 w:name="signature-table1"/>
      <w:bookmarkStart w:id="9" w:name="signature-table1"/>
      <w:bookmarkEnd w:id="9"/>
    </w:p>
    <w:tbl>
      <w:tblPr>
        <w:tblW w:w="8885" w:type="dxa"/>
        <w:jc w:val="left"/>
        <w:tblInd w:w="0" w:type="dxa"/>
        <w:tblLayout w:type="fixed"/>
        <w:tblCellMar>
          <w:top w:w="0" w:type="dxa"/>
          <w:left w:w="0" w:type="dxa"/>
          <w:bottom w:w="0" w:type="dxa"/>
          <w:right w:w="0" w:type="dxa"/>
        </w:tblCellMar>
      </w:tblPr>
      <w:tblGrid>
        <w:gridCol w:w="5775"/>
        <w:gridCol w:w="3110"/>
      </w:tblGrid>
      <w:tr>
        <w:trPr/>
        <w:tc>
          <w:tcPr>
            <w:tcW w:w="577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SELLING SHAREHOLDER:</w:t>
            </w:r>
          </w:p>
        </w:tc>
      </w:tr>
      <w:tr>
        <w:trPr/>
        <w:tc>
          <w:tcPr>
            <w:tcW w:w="577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t> </w:t>
            </w:r>
          </w:p>
        </w:tc>
      </w:tr>
      <w:tr>
        <w:trPr/>
        <w:tc>
          <w:tcPr>
            <w:tcW w:w="577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t> </w:t>
            </w:r>
          </w:p>
        </w:tc>
      </w:tr>
      <w:tr>
        <w:trPr/>
        <w:tc>
          <w:tcPr>
            <w:tcW w:w="577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t> </w:t>
            </w:r>
          </w:p>
        </w:tc>
      </w:tr>
      <w:tr>
        <w:trPr/>
        <w:tc>
          <w:tcPr>
            <w:tcW w:w="577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t> </w:t>
            </w:r>
          </w:p>
        </w:tc>
      </w:tr>
      <w:tr>
        <w:trPr/>
        <w:tc>
          <w:tcPr>
            <w:tcW w:w="5775" w:type="dxa"/>
            <w:tcBorders/>
            <w:vAlign w:val="center"/>
          </w:tcPr>
          <w:p>
            <w:pPr>
              <w:pStyle w:val="TableContents"/>
              <w:bidi w:val="0"/>
              <w:spacing w:before="0" w:after="0"/>
              <w:ind w:left="0" w:right="0" w:hanging="0"/>
              <w:jc w:val="left"/>
              <w:rPr/>
            </w:pPr>
            <w:r>
              <w:rPr/>
              <w:t> </w:t>
            </w:r>
          </w:p>
        </w:tc>
        <w:tc>
          <w:tcPr>
            <w:tcW w:w="311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Robert A. Frist, Jr.</w:t>
            </w:r>
          </w:p>
        </w:tc>
      </w:tr>
      <w:tr>
        <w:trPr/>
        <w:tc>
          <w:tcPr>
            <w:tcW w:w="577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Robert A. Frist, Jr.</w:t>
            </w:r>
          </w:p>
        </w:tc>
      </w:tr>
      <w:tr>
        <w:trPr/>
        <w:tc>
          <w:tcPr>
            <w:tcW w:w="577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t> </w:t>
            </w:r>
          </w:p>
        </w:tc>
      </w:tr>
      <w:tr>
        <w:trPr/>
        <w:tc>
          <w:tcPr>
            <w:tcW w:w="577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Address:</w:t>
              <w:br/>
              <w:t>c/o HealthStream, Inc.</w:t>
            </w:r>
          </w:p>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500 11</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Avenue N., Suite 850</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Nashville, Tennessee 37203</w:t>
              <w:br/>
              <w:t>Email: robert.frist@healthstream.com</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parties hereto have executed this Agreement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 w:name="signature-table2"/>
      <w:bookmarkStart w:id="11" w:name="signature-table2"/>
      <w:bookmarkEnd w:id="11"/>
    </w:p>
    <w:tbl>
      <w:tblPr>
        <w:tblW w:w="10205" w:type="dxa"/>
        <w:jc w:val="left"/>
        <w:tblInd w:w="0" w:type="dxa"/>
        <w:tblLayout w:type="fixed"/>
        <w:tblCellMar>
          <w:top w:w="0" w:type="dxa"/>
          <w:left w:w="0" w:type="dxa"/>
          <w:bottom w:w="0" w:type="dxa"/>
          <w:right w:w="0" w:type="dxa"/>
        </w:tblCellMar>
      </w:tblPr>
      <w:tblGrid>
        <w:gridCol w:w="5213"/>
        <w:gridCol w:w="614"/>
        <w:gridCol w:w="4378"/>
      </w:tblGrid>
      <w:tr>
        <w:trPr/>
        <w:tc>
          <w:tcPr>
            <w:tcW w:w="5213" w:type="dxa"/>
            <w:tcBorders/>
            <w:vAlign w:val="center"/>
          </w:tcPr>
          <w:p>
            <w:pPr>
              <w:pStyle w:val="TableContents"/>
              <w:bidi w:val="0"/>
              <w:spacing w:before="0" w:after="0"/>
              <w:ind w:left="0" w:right="0" w:hanging="0"/>
              <w:jc w:val="left"/>
              <w:rPr/>
            </w:pPr>
            <w:r>
              <w:rPr/>
              <w:t> </w:t>
            </w:r>
          </w:p>
        </w:tc>
        <w:tc>
          <w:tcPr>
            <w:tcW w:w="4992" w:type="dxa"/>
            <w:gridSpan w:val="2"/>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INVESTOR:</w:t>
            </w:r>
          </w:p>
        </w:tc>
      </w:tr>
      <w:tr>
        <w:trPr/>
        <w:tc>
          <w:tcPr>
            <w:tcW w:w="5213" w:type="dxa"/>
            <w:tcBorders/>
            <w:vAlign w:val="center"/>
          </w:tcPr>
          <w:p>
            <w:pPr>
              <w:pStyle w:val="TableContents"/>
              <w:bidi w:val="0"/>
              <w:spacing w:before="0" w:after="0"/>
              <w:ind w:left="0" w:right="0" w:hanging="0"/>
              <w:jc w:val="left"/>
              <w:rPr/>
            </w:pPr>
            <w:r>
              <w:rPr/>
              <w:t> </w:t>
            </w:r>
          </w:p>
        </w:tc>
        <w:tc>
          <w:tcPr>
            <w:tcW w:w="4992" w:type="dxa"/>
            <w:gridSpan w:val="2"/>
            <w:tcBorders/>
            <w:vAlign w:val="center"/>
          </w:tcPr>
          <w:p>
            <w:pPr>
              <w:pStyle w:val="TableContents"/>
              <w:bidi w:val="0"/>
              <w:spacing w:before="0" w:after="0"/>
              <w:ind w:left="0" w:right="0" w:hanging="0"/>
              <w:jc w:val="left"/>
              <w:rPr/>
            </w:pPr>
            <w:r>
              <w:rPr/>
              <w:t> </w:t>
            </w:r>
          </w:p>
        </w:tc>
      </w:tr>
      <w:tr>
        <w:trPr/>
        <w:tc>
          <w:tcPr>
            <w:tcW w:w="5213" w:type="dxa"/>
            <w:tcBorders/>
            <w:vAlign w:val="center"/>
          </w:tcPr>
          <w:p>
            <w:pPr>
              <w:pStyle w:val="TableContents"/>
              <w:bidi w:val="0"/>
              <w:spacing w:before="0" w:after="0"/>
              <w:ind w:left="0" w:right="0" w:hanging="0"/>
              <w:jc w:val="left"/>
              <w:rPr/>
            </w:pPr>
            <w:r>
              <w:rPr/>
              <w:t> </w:t>
            </w:r>
          </w:p>
        </w:tc>
        <w:tc>
          <w:tcPr>
            <w:tcW w:w="4992"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WJRJJ VENTURES, LLC</w:t>
            </w:r>
          </w:p>
        </w:tc>
      </w:tr>
      <w:tr>
        <w:trPr/>
        <w:tc>
          <w:tcPr>
            <w:tcW w:w="5213" w:type="dxa"/>
            <w:tcBorders/>
            <w:vAlign w:val="center"/>
          </w:tcPr>
          <w:p>
            <w:pPr>
              <w:pStyle w:val="TableContents"/>
              <w:bidi w:val="0"/>
              <w:spacing w:before="0" w:after="0"/>
              <w:ind w:left="0" w:right="0" w:hanging="0"/>
              <w:jc w:val="left"/>
              <w:rPr/>
            </w:pPr>
            <w:r>
              <w:rPr/>
              <w:t> </w:t>
            </w:r>
          </w:p>
        </w:tc>
        <w:tc>
          <w:tcPr>
            <w:tcW w:w="4992" w:type="dxa"/>
            <w:gridSpan w:val="2"/>
            <w:tcBorders/>
            <w:vAlign w:val="center"/>
          </w:tcPr>
          <w:p>
            <w:pPr>
              <w:pStyle w:val="TableContents"/>
              <w:bidi w:val="0"/>
              <w:spacing w:before="0" w:after="0"/>
              <w:ind w:left="0" w:right="0" w:hanging="0"/>
              <w:jc w:val="left"/>
              <w:rPr/>
            </w:pPr>
            <w:r>
              <w:rPr/>
              <w:t> </w:t>
            </w:r>
          </w:p>
        </w:tc>
      </w:tr>
      <w:tr>
        <w:trPr/>
        <w:tc>
          <w:tcPr>
            <w:tcW w:w="5213" w:type="dxa"/>
            <w:tcBorders/>
            <w:vAlign w:val="center"/>
          </w:tcPr>
          <w:p>
            <w:pPr>
              <w:pStyle w:val="TableContents"/>
              <w:bidi w:val="0"/>
              <w:spacing w:before="0" w:after="0"/>
              <w:ind w:left="0" w:right="0" w:hanging="0"/>
              <w:jc w:val="left"/>
              <w:rPr/>
            </w:pPr>
            <w:r>
              <w:rPr/>
              <w:t> </w:t>
            </w:r>
          </w:p>
        </w:tc>
        <w:tc>
          <w:tcPr>
            <w:tcW w:w="4992" w:type="dxa"/>
            <w:gridSpan w:val="2"/>
            <w:tcBorders/>
            <w:vAlign w:val="center"/>
          </w:tcPr>
          <w:p>
            <w:pPr>
              <w:pStyle w:val="TableContents"/>
              <w:bidi w:val="0"/>
              <w:spacing w:before="0" w:after="0"/>
              <w:ind w:left="0" w:right="0" w:hanging="0"/>
              <w:jc w:val="left"/>
              <w:rPr/>
            </w:pPr>
            <w:r>
              <w:rPr/>
              <w:t> </w:t>
            </w:r>
          </w:p>
        </w:tc>
      </w:tr>
      <w:tr>
        <w:trPr/>
        <w:tc>
          <w:tcPr>
            <w:tcW w:w="5213" w:type="dxa"/>
            <w:tcBorders/>
            <w:vAlign w:val="center"/>
          </w:tcPr>
          <w:p>
            <w:pPr>
              <w:pStyle w:val="TableContents"/>
              <w:bidi w:val="0"/>
              <w:spacing w:before="0" w:after="0"/>
              <w:ind w:left="0" w:right="0" w:hanging="0"/>
              <w:jc w:val="left"/>
              <w:rPr/>
            </w:pPr>
            <w:r>
              <w:rPr/>
              <w:t> </w:t>
            </w:r>
          </w:p>
        </w:tc>
        <w:tc>
          <w:tcPr>
            <w:tcW w:w="4992" w:type="dxa"/>
            <w:gridSpan w:val="2"/>
            <w:tcBorders/>
            <w:vAlign w:val="center"/>
          </w:tcPr>
          <w:p>
            <w:pPr>
              <w:pStyle w:val="TableContents"/>
              <w:bidi w:val="0"/>
              <w:spacing w:before="0" w:after="0"/>
              <w:ind w:left="0" w:right="0" w:hanging="0"/>
              <w:jc w:val="left"/>
              <w:rPr/>
            </w:pPr>
            <w:r>
              <w:rPr/>
              <w:t> </w:t>
            </w:r>
          </w:p>
        </w:tc>
      </w:tr>
      <w:tr>
        <w:trPr/>
        <w:tc>
          <w:tcPr>
            <w:tcW w:w="5213"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left"/>
              <w:rPr/>
            </w:pPr>
            <w:r>
              <w:rPr/>
              <w:t> </w:t>
            </w:r>
          </w:p>
        </w:tc>
        <w:tc>
          <w:tcPr>
            <w:tcW w:w="4378" w:type="dxa"/>
            <w:tcBorders/>
            <w:vAlign w:val="center"/>
          </w:tcPr>
          <w:p>
            <w:pPr>
              <w:pStyle w:val="TableContents"/>
              <w:bidi w:val="0"/>
              <w:spacing w:before="0" w:after="0"/>
              <w:ind w:left="0" w:right="0" w:hanging="0"/>
              <w:jc w:val="left"/>
              <w:rPr/>
            </w:pPr>
            <w:r>
              <w:rPr/>
              <w:t> </w:t>
            </w:r>
          </w:p>
        </w:tc>
      </w:tr>
      <w:tr>
        <w:trPr/>
        <w:tc>
          <w:tcPr>
            <w:tcW w:w="5213" w:type="dxa"/>
            <w:tcBorders/>
            <w:vAlign w:val="center"/>
          </w:tcPr>
          <w:p>
            <w:pPr>
              <w:pStyle w:val="TableContents"/>
              <w:bidi w:val="0"/>
              <w:spacing w:before="0" w:after="0"/>
              <w:ind w:left="0" w:right="0" w:hanging="0"/>
              <w:jc w:val="left"/>
              <w:rPr/>
            </w:pPr>
            <w:r>
              <w:rPr/>
              <w:t> </w:t>
            </w:r>
          </w:p>
        </w:tc>
        <w:tc>
          <w:tcPr>
            <w:tcW w:w="61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378"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Willis Johnson</w:t>
            </w:r>
          </w:p>
        </w:tc>
      </w:tr>
      <w:tr>
        <w:trPr/>
        <w:tc>
          <w:tcPr>
            <w:tcW w:w="5213"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w:t>
            </w:r>
          </w:p>
        </w:tc>
        <w:tc>
          <w:tcPr>
            <w:tcW w:w="43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Willis Johnson</w:t>
            </w:r>
          </w:p>
        </w:tc>
      </w:tr>
      <w:tr>
        <w:trPr/>
        <w:tc>
          <w:tcPr>
            <w:tcW w:w="5213"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w:t>
            </w:r>
          </w:p>
        </w:tc>
        <w:tc>
          <w:tcPr>
            <w:tcW w:w="43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tc>
      </w:tr>
      <w:tr>
        <w:trPr/>
        <w:tc>
          <w:tcPr>
            <w:tcW w:w="5213"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left"/>
              <w:rPr/>
            </w:pPr>
            <w:r>
              <w:rPr/>
              <w:t> </w:t>
            </w:r>
          </w:p>
        </w:tc>
        <w:tc>
          <w:tcPr>
            <w:tcW w:w="4378" w:type="dxa"/>
            <w:tcBorders/>
            <w:vAlign w:val="center"/>
          </w:tcPr>
          <w:p>
            <w:pPr>
              <w:pStyle w:val="TableContents"/>
              <w:bidi w:val="0"/>
              <w:spacing w:before="0" w:after="0"/>
              <w:ind w:left="0" w:right="0" w:hanging="0"/>
              <w:jc w:val="left"/>
              <w:rPr/>
            </w:pPr>
            <w:r>
              <w:rPr/>
              <w:t> </w:t>
            </w:r>
          </w:p>
        </w:tc>
      </w:tr>
      <w:tr>
        <w:trPr/>
        <w:tc>
          <w:tcPr>
            <w:tcW w:w="5213"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left"/>
              <w:rPr/>
            </w:pPr>
            <w:r>
              <w:rPr/>
              <w:t> </w:t>
            </w:r>
          </w:p>
        </w:tc>
        <w:tc>
          <w:tcPr>
            <w:tcW w:w="4378" w:type="dxa"/>
            <w:tcBorders/>
            <w:vAlign w:val="center"/>
          </w:tcPr>
          <w:p>
            <w:pPr>
              <w:pStyle w:val="TableContents"/>
              <w:bidi w:val="0"/>
              <w:spacing w:before="0" w:after="0"/>
              <w:ind w:left="0" w:right="0" w:hanging="0"/>
              <w:jc w:val="left"/>
              <w:rPr/>
            </w:pPr>
            <w:r>
              <w:rPr/>
              <w:t> </w:t>
            </w:r>
          </w:p>
        </w:tc>
      </w:tr>
      <w:tr>
        <w:trPr/>
        <w:tc>
          <w:tcPr>
            <w:tcW w:w="5213"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left"/>
              <w:rPr/>
            </w:pPr>
            <w:r>
              <w:rPr/>
              <w:t> </w:t>
            </w:r>
          </w:p>
        </w:tc>
        <w:tc>
          <w:tcPr>
            <w:tcW w:w="4378" w:type="dxa"/>
            <w:tcBorders/>
            <w:vAlign w:val="center"/>
          </w:tcPr>
          <w:p>
            <w:pPr>
              <w:pStyle w:val="TableContents"/>
              <w:bidi w:val="0"/>
              <w:spacing w:before="0" w:after="0"/>
              <w:ind w:left="0" w:right="0" w:hanging="0"/>
              <w:jc w:val="left"/>
              <w:rPr/>
            </w:pPr>
            <w:r>
              <w:rPr/>
              <w:t> </w:t>
            </w:r>
          </w:p>
        </w:tc>
      </w:tr>
      <w:tr>
        <w:trPr/>
        <w:tc>
          <w:tcPr>
            <w:tcW w:w="5213" w:type="dxa"/>
            <w:tcBorders/>
            <w:vAlign w:val="center"/>
          </w:tcPr>
          <w:p>
            <w:pPr>
              <w:pStyle w:val="TableContents"/>
              <w:bidi w:val="0"/>
              <w:spacing w:before="0" w:after="0"/>
              <w:ind w:left="0" w:right="0" w:hanging="0"/>
              <w:jc w:val="left"/>
              <w:rPr/>
            </w:pPr>
            <w:r>
              <w:rPr/>
              <w:t> </w:t>
            </w:r>
          </w:p>
        </w:tc>
        <w:tc>
          <w:tcPr>
            <w:tcW w:w="4992"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Address: [*****]</w:t>
              <w:br/>
              <w:t>Email: [*****]</w:t>
            </w:r>
          </w:p>
        </w:tc>
      </w:tr>
      <w:tr>
        <w:trPr/>
        <w:tc>
          <w:tcPr>
            <w:tcW w:w="5213" w:type="dxa"/>
            <w:tcBorders/>
            <w:vAlign w:val="center"/>
          </w:tcPr>
          <w:p>
            <w:pPr>
              <w:pStyle w:val="TableContents"/>
              <w:bidi w:val="0"/>
              <w:spacing w:before="0" w:after="0"/>
              <w:ind w:left="0" w:right="0" w:hanging="0"/>
              <w:jc w:val="left"/>
              <w:rPr/>
            </w:pPr>
            <w:r>
              <w:rPr/>
              <w:t> </w:t>
            </w:r>
          </w:p>
        </w:tc>
        <w:tc>
          <w:tcPr>
            <w:tcW w:w="4992" w:type="dxa"/>
            <w:gridSpan w:val="2"/>
            <w:tcBorders/>
            <w:vAlign w:val="center"/>
          </w:tcPr>
          <w:p>
            <w:pPr>
              <w:pStyle w:val="TableContents"/>
              <w:bidi w:val="0"/>
              <w:spacing w:before="0" w:after="0"/>
              <w:ind w:left="0" w:right="0" w:hanging="0"/>
              <w:jc w:val="left"/>
              <w:rPr/>
            </w:pPr>
            <w:r>
              <w:rPr/>
              <w:t> </w:t>
            </w:r>
          </w:p>
        </w:tc>
      </w:tr>
      <w:tr>
        <w:trPr/>
        <w:tc>
          <w:tcPr>
            <w:tcW w:w="5213" w:type="dxa"/>
            <w:tcBorders/>
            <w:vAlign w:val="center"/>
          </w:tcPr>
          <w:p>
            <w:pPr>
              <w:pStyle w:val="TableContents"/>
              <w:bidi w:val="0"/>
              <w:spacing w:before="0" w:after="0"/>
              <w:ind w:left="0" w:right="0" w:hanging="0"/>
              <w:jc w:val="left"/>
              <w:rPr/>
            </w:pPr>
            <w:r>
              <w:rPr/>
              <w:t> </w:t>
            </w:r>
          </w:p>
        </w:tc>
        <w:tc>
          <w:tcPr>
            <w:tcW w:w="4992" w:type="dxa"/>
            <w:gridSpan w:val="2"/>
            <w:tcBorders/>
            <w:vAlign w:val="center"/>
          </w:tcPr>
          <w:p>
            <w:pPr>
              <w:pStyle w:val="TableContents"/>
              <w:bidi w:val="0"/>
              <w:spacing w:before="0" w:after="0"/>
              <w:ind w:left="0" w:right="0" w:hanging="0"/>
              <w:jc w:val="left"/>
              <w:rPr/>
            </w:pPr>
            <w:r>
              <w:rPr/>
              <w:t> </w:t>
            </w:r>
          </w:p>
        </w:tc>
      </w:tr>
      <w:tr>
        <w:trPr/>
        <w:tc>
          <w:tcPr>
            <w:tcW w:w="5213" w:type="dxa"/>
            <w:tcBorders/>
            <w:vAlign w:val="center"/>
          </w:tcPr>
          <w:p>
            <w:pPr>
              <w:pStyle w:val="TableContents"/>
              <w:bidi w:val="0"/>
              <w:spacing w:before="0" w:after="0"/>
              <w:ind w:left="0" w:right="0" w:hanging="0"/>
              <w:jc w:val="left"/>
              <w:rPr/>
            </w:pPr>
            <w:r>
              <w:rPr/>
              <w:t> </w:t>
            </w:r>
          </w:p>
        </w:tc>
        <w:tc>
          <w:tcPr>
            <w:tcW w:w="4992"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With a copy to:</w:t>
            </w:r>
          </w:p>
        </w:tc>
      </w:tr>
      <w:tr>
        <w:trPr/>
        <w:tc>
          <w:tcPr>
            <w:tcW w:w="5213" w:type="dxa"/>
            <w:tcBorders/>
            <w:vAlign w:val="center"/>
          </w:tcPr>
          <w:p>
            <w:pPr>
              <w:pStyle w:val="TableContents"/>
              <w:bidi w:val="0"/>
              <w:spacing w:before="0" w:after="0"/>
              <w:ind w:left="0" w:right="0" w:hanging="0"/>
              <w:jc w:val="left"/>
              <w:rPr/>
            </w:pPr>
            <w:r>
              <w:rPr/>
              <w:t> </w:t>
            </w:r>
          </w:p>
        </w:tc>
        <w:tc>
          <w:tcPr>
            <w:tcW w:w="4992" w:type="dxa"/>
            <w:gridSpan w:val="2"/>
            <w:tcBorders/>
            <w:vAlign w:val="center"/>
          </w:tcPr>
          <w:p>
            <w:pPr>
              <w:pStyle w:val="TableContents"/>
              <w:bidi w:val="0"/>
              <w:spacing w:before="0" w:after="0"/>
              <w:ind w:left="0" w:right="0" w:hanging="0"/>
              <w:jc w:val="left"/>
              <w:rPr/>
            </w:pPr>
            <w:r>
              <w:rPr/>
              <w:t> </w:t>
            </w:r>
          </w:p>
        </w:tc>
      </w:tr>
      <w:tr>
        <w:trPr/>
        <w:tc>
          <w:tcPr>
            <w:tcW w:w="5213" w:type="dxa"/>
            <w:tcBorders/>
            <w:vAlign w:val="center"/>
          </w:tcPr>
          <w:p>
            <w:pPr>
              <w:pStyle w:val="TableContents"/>
              <w:bidi w:val="0"/>
              <w:spacing w:before="0" w:after="0"/>
              <w:ind w:left="0" w:right="0" w:hanging="0"/>
              <w:jc w:val="left"/>
              <w:rPr/>
            </w:pPr>
            <w:r>
              <w:rPr/>
              <w:t> </w:t>
            </w:r>
          </w:p>
        </w:tc>
        <w:tc>
          <w:tcPr>
            <w:tcW w:w="4992" w:type="dxa"/>
            <w:gridSpan w:val="2"/>
            <w:tcBorders/>
            <w:vAlign w:val="center"/>
          </w:tcPr>
          <w:p>
            <w:pPr>
              <w:pStyle w:val="TableContents"/>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Wilson Sonsini Goodrich &amp; Rosati, P.C.</w:t>
            </w:r>
          </w:p>
          <w:p>
            <w:pPr>
              <w:pStyle w:val="TableContents"/>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701 Fifth Avenue, Suite 5100</w:t>
            </w:r>
          </w:p>
          <w:p>
            <w:pPr>
              <w:pStyle w:val="TableContents"/>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Seattle, WA 98104</w:t>
            </w:r>
          </w:p>
          <w:p>
            <w:pPr>
              <w:pStyle w:val="TableContents"/>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Attention:     Brian Keyes; Victor Nilsson</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bkeyes@wsgr.com; vnilsson@wsgr.com</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REGISTRATION RIGHTS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12" w:name="ex_1016293.htm"/>
      <w:bookmarkStart w:id="13" w:name="ksex_1016293"/>
      <w:bookmarkEnd w:id="12"/>
      <w:bookmarkEnd w:id="13"/>
      <w:r>
        <w:rPr>
          <w:rFonts w:ascii="Times New Roman;Times;serif" w:hAnsi="Times New Roman;Times;serif"/>
          <w:b/>
          <w:sz w:val="20"/>
        </w:rPr>
        <w:t>Exhibit 10.2</w:t>
        <w:br/>
      </w:r>
      <w:r>
        <w:rPr>
          <w:rFonts w:ascii="Times New Roman;Times;serif" w:hAnsi="Times New Roman;Times;serif"/>
          <w:b/>
          <w:i/>
          <w:sz w:val="20"/>
        </w:rPr>
        <w:t>Execution Version</w:t>
      </w:r>
      <w:r>
        <w:rPr>
          <w:rFonts w:ascii="Times New Roman;Times;serif" w:hAnsi="Times New Roman;Times;serif"/>
          <w:b/>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REGISTRATION RIGHTS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THIS REGISTRATION RIGHTS AGREEMENT</w:t>
      </w:r>
      <w:r>
        <w:rPr>
          <w:rFonts w:ascii="Times New Roman" w:hAnsi="Times New Roman"/>
          <w:caps w:val="false"/>
          <w:smallCaps w:val="false"/>
          <w:sz w:val="20"/>
        </w:rPr>
        <w:t xml:space="preserve"> (this “</w:t>
      </w:r>
      <w:r>
        <w:rPr>
          <w:rFonts w:ascii="Times New Roman" w:hAnsi="Times New Roman"/>
          <w:b/>
          <w:caps w:val="false"/>
          <w:smallCaps w:val="false"/>
          <w:sz w:val="20"/>
        </w:rPr>
        <w:t>Agreement</w:t>
      </w:r>
      <w:r>
        <w:rPr>
          <w:rFonts w:ascii="Times New Roman" w:hAnsi="Times New Roman"/>
          <w:caps w:val="false"/>
          <w:smallCaps w:val="false"/>
          <w:sz w:val="20"/>
        </w:rPr>
        <w:t>”), dated as of September 14, 2026, is entered into by and between HealthStream, Inc., a Tennessee corporation (the “</w:t>
      </w:r>
      <w:r>
        <w:rPr>
          <w:rFonts w:ascii="Times New Roman" w:hAnsi="Times New Roman"/>
          <w:b/>
          <w:caps w:val="false"/>
          <w:smallCaps w:val="false"/>
          <w:sz w:val="20"/>
        </w:rPr>
        <w:t>Company</w:t>
      </w:r>
      <w:r>
        <w:rPr>
          <w:rFonts w:ascii="Times New Roman" w:hAnsi="Times New Roman"/>
          <w:caps w:val="false"/>
          <w:smallCaps w:val="false"/>
          <w:sz w:val="20"/>
        </w:rPr>
        <w:t>”), and WJRJJ Ventures, LLC, a Delaware limited liability company (the “</w:t>
      </w:r>
      <w:r>
        <w:rPr>
          <w:rFonts w:ascii="Times New Roman" w:hAnsi="Times New Roman"/>
          <w:b/>
          <w:caps w:val="false"/>
          <w:smallCaps w:val="false"/>
          <w:sz w:val="20"/>
        </w:rPr>
        <w:t>Investor</w:t>
      </w:r>
      <w:r>
        <w:rPr>
          <w:rFonts w:ascii="Times New Roman" w:hAnsi="Times New Roman"/>
          <w:caps w:val="false"/>
          <w:smallCaps w:val="false"/>
          <w:sz w:val="20"/>
        </w:rPr>
        <w:t>” and collectively together with its respective permitted assigns, the “</w:t>
      </w:r>
      <w:r>
        <w:rPr>
          <w:rFonts w:ascii="Times New Roman" w:hAnsi="Times New Roman"/>
          <w:b/>
          <w:caps w:val="false"/>
          <w:smallCaps w:val="false"/>
          <w:sz w:val="20"/>
        </w:rPr>
        <w:t>Investors</w:t>
      </w:r>
      <w:r>
        <w:rPr>
          <w:rFonts w:ascii="Times New Roman" w:hAnsi="Times New Roman"/>
          <w:caps w:val="false"/>
          <w:smallCaps w:val="false"/>
          <w:sz w:val="20"/>
        </w:rPr>
        <w:t>”). Capitalized terms used herein and not otherwise defined herein shall have the respective meanings set forth in the Securities Purchase Agreement, by and among the Company, Robert A. Frist, Jr. (the “</w:t>
      </w:r>
      <w:r>
        <w:rPr>
          <w:rFonts w:ascii="Times New Roman" w:hAnsi="Times New Roman"/>
          <w:b/>
          <w:caps w:val="false"/>
          <w:smallCaps w:val="false"/>
          <w:sz w:val="20"/>
        </w:rPr>
        <w:t>Selling Shareholder</w:t>
      </w:r>
      <w:r>
        <w:rPr>
          <w:rFonts w:ascii="Times New Roman" w:hAnsi="Times New Roman"/>
          <w:caps w:val="false"/>
          <w:smallCaps w:val="false"/>
          <w:sz w:val="20"/>
        </w:rPr>
        <w:t>”) and the Investor, dated as of September 11, 2026 (as amended, restated, supplemented or otherwise modified from time to time, the “</w:t>
      </w:r>
      <w:r>
        <w:rPr>
          <w:rFonts w:ascii="Times New Roman" w:hAnsi="Times New Roman"/>
          <w:b/>
          <w:caps w:val="false"/>
          <w:smallCaps w:val="false"/>
          <w:sz w:val="20"/>
        </w:rPr>
        <w:t>Purchase Agreement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Upon the terms and subject to the conditions of the Purchase Agreement, (i) the Company has agreed to issue to the Investor, and the Investor has agreed to purchase, 1,355,932 shares (the “</w:t>
      </w:r>
      <w:r>
        <w:rPr>
          <w:rFonts w:ascii="Times New Roman" w:hAnsi="Times New Roman"/>
          <w:b/>
          <w:caps w:val="false"/>
          <w:smallCaps w:val="false"/>
          <w:sz w:val="20"/>
        </w:rPr>
        <w:t>Company Shares</w:t>
      </w:r>
      <w:r>
        <w:rPr>
          <w:rFonts w:ascii="Times New Roman" w:hAnsi="Times New Roman"/>
          <w:caps w:val="false"/>
          <w:smallCaps w:val="false"/>
          <w:sz w:val="20"/>
        </w:rPr>
        <w:t>”) of the Company’s common stock, no par value (the “</w:t>
      </w:r>
      <w:r>
        <w:rPr>
          <w:rFonts w:ascii="Times New Roman" w:hAnsi="Times New Roman"/>
          <w:b/>
          <w:caps w:val="false"/>
          <w:smallCaps w:val="false"/>
          <w:sz w:val="20"/>
        </w:rPr>
        <w:t>Common Stock</w:t>
      </w:r>
      <w:r>
        <w:rPr>
          <w:rFonts w:ascii="Times New Roman" w:hAnsi="Times New Roman"/>
          <w:caps w:val="false"/>
          <w:smallCaps w:val="false"/>
          <w:sz w:val="20"/>
        </w:rPr>
        <w:t>”), and (ii) the Selling Shareholder has agreed to sell to the Investor, and the Investor has agreed to purchase, 144,068 shares (the “</w:t>
      </w:r>
      <w:r>
        <w:rPr>
          <w:rFonts w:ascii="Times New Roman" w:hAnsi="Times New Roman"/>
          <w:b/>
          <w:caps w:val="false"/>
          <w:smallCaps w:val="false"/>
          <w:sz w:val="20"/>
        </w:rPr>
        <w:t>Selling Shareholder Shares</w:t>
      </w:r>
      <w:r>
        <w:rPr>
          <w:rFonts w:ascii="Times New Roman" w:hAnsi="Times New Roman"/>
          <w:caps w:val="false"/>
          <w:smallCaps w:val="false"/>
          <w:sz w:val="20"/>
        </w:rPr>
        <w:t>,” and collectively with the Company Shares, the “</w:t>
      </w:r>
      <w:r>
        <w:rPr>
          <w:rFonts w:ascii="Times New Roman" w:hAnsi="Times New Roman"/>
          <w:b/>
          <w:caps w:val="false"/>
          <w:smallCaps w:val="false"/>
          <w:sz w:val="20"/>
        </w:rPr>
        <w:t>Shares</w:t>
      </w:r>
      <w:r>
        <w:rPr>
          <w:rFonts w:ascii="Times New Roman" w:hAnsi="Times New Roman"/>
          <w:caps w:val="false"/>
          <w:smallCaps w:val="false"/>
          <w:sz w:val="20"/>
        </w:rPr>
        <w:t>”) of Common Stock, in each case pursuant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To induce the Investor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caps w:val="false"/>
          <w:smallCaps w:val="false"/>
          <w:sz w:val="20"/>
        </w:rPr>
        <w:t>Securities Act</w:t>
      </w:r>
      <w:r>
        <w:rPr>
          <w:rFonts w:ascii="Times New Roman" w:hAnsi="Times New Roman"/>
          <w:caps w:val="false"/>
          <w:smallCaps w:val="false"/>
          <w:sz w:val="20"/>
        </w:rPr>
        <w:t>”), and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xml:space="preserve"> in consideration of the promises and the mutual covenants contained herein and other good and valuable consideration, the receipt and sufficiency of which are hereby acknowledged, the Company and the Investor hereby agree as follows:</w:t>
      </w:r>
    </w:p>
    <w:p>
      <w:pPr>
        <w:pStyle w:val="TextBody"/>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60"/>
        <w:gridCol w:w="170"/>
        <w:gridCol w:w="134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13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For purposes of this Agreement, the following terms shall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Affiliate</w:t>
      </w:r>
      <w:r>
        <w:rPr>
          <w:rFonts w:ascii="Times New Roman" w:hAnsi="Times New Roman"/>
          <w:caps w:val="false"/>
          <w:smallCaps w:val="false"/>
          <w:sz w:val="20"/>
        </w:rPr>
        <w:t>” means, with respect to any Person, any other Person that, directly or indirectly through one or more intermediaries, controls, is controlled by or is under common control with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Company Sale</w:t>
      </w:r>
      <w:r>
        <w:rPr>
          <w:rFonts w:ascii="Times New Roman" w:hAnsi="Times New Roman"/>
          <w:caps w:val="false"/>
          <w:smallCaps w:val="false"/>
          <w:sz w:val="20"/>
        </w:rPr>
        <w:t>”</w:t>
      </w:r>
      <w:r>
        <w:rPr>
          <w:rFonts w:ascii="Times New Roman" w:hAnsi="Times New Roman"/>
          <w:caps w:val="false"/>
          <w:smallCaps w:val="false"/>
          <w:position w:val="7"/>
          <w:sz w:val="16"/>
          <w:sz w:val="20"/>
        </w:rPr>
        <w:t xml:space="preserve"> </w:t>
      </w:r>
      <w:r>
        <w:rPr>
          <w:rFonts w:ascii="Times New Roman" w:hAnsi="Times New Roman"/>
          <w:caps w:val="false"/>
          <w:smallCaps w:val="false"/>
          <w:sz w:val="20"/>
        </w:rPr>
        <w:t>means the happening of one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any person or entity, including a “group” as defined in Section 13(d)(3) of the Exchange Act, other than the Company or a wholly-owned subsidiary thereof or any employee benefit plan of the Company or any of its subsidiaries, becomes the beneficial owner of the Company’s securities having 50% or more of the combined voting power of the then outstanding securities of the Company that may be cast for the election of directors of the Company (other than as a result of an issuance of securities initiated by the Company in the ordinary course of business);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consummation of any merger, consolidation, exchange offer, tender offer, sale of assets or similar business combination transaction, or any combination of the foregoing transactions, other than any such transaction where the Company’s voting stock outstanding immediately prior to such transaction constitutes, or is converted into or exchanged for, a majority of the combined voting power of the then outstanding securities of the Company or any acquiring or surviving parent entity, as applicable, entitled to vote generally in the election of the directors of the Company or such acquiring or surviving parent entity immediately after such transaction.</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Person</w:t>
      </w:r>
      <w:r>
        <w:rPr>
          <w:rFonts w:ascii="Times New Roman" w:hAnsi="Times New Roman"/>
          <w:caps w:val="false"/>
          <w:smallCaps w:val="false"/>
          <w:sz w:val="20"/>
        </w:rPr>
        <w:t>” means an individual, partnership, corporation, limited liability company, business trust, joint stock company, trust, unincorporated association, joint venture or any other entity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Register</w:t>
      </w:r>
      <w:r>
        <w:rPr>
          <w:rFonts w:ascii="Times New Roman" w:hAnsi="Times New Roman"/>
          <w:caps w:val="false"/>
          <w:smallCaps w:val="false"/>
          <w:sz w:val="20"/>
        </w:rPr>
        <w:t>,” “</w:t>
      </w:r>
      <w:r>
        <w:rPr>
          <w:rFonts w:ascii="Times New Roman" w:hAnsi="Times New Roman"/>
          <w:b/>
          <w:caps w:val="false"/>
          <w:smallCaps w:val="false"/>
          <w:sz w:val="20"/>
        </w:rPr>
        <w:t>Registered</w:t>
      </w:r>
      <w:r>
        <w:rPr>
          <w:rFonts w:ascii="Times New Roman" w:hAnsi="Times New Roman"/>
          <w:caps w:val="false"/>
          <w:smallCaps w:val="false"/>
          <w:sz w:val="20"/>
        </w:rPr>
        <w:t>,” and “</w:t>
      </w:r>
      <w:r>
        <w:rPr>
          <w:rFonts w:ascii="Times New Roman" w:hAnsi="Times New Roman"/>
          <w:b/>
          <w:caps w:val="false"/>
          <w:smallCaps w:val="false"/>
          <w:sz w:val="20"/>
        </w:rPr>
        <w:t>Registration</w:t>
      </w:r>
      <w:r>
        <w:rPr>
          <w:rFonts w:ascii="Times New Roman" w:hAnsi="Times New Roman"/>
          <w:caps w:val="false"/>
          <w:smallCaps w:val="false"/>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caps w:val="false"/>
          <w:smallCaps w:val="false"/>
          <w:sz w:val="20"/>
        </w:rPr>
        <w:t>SEC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Registrable Securities</w:t>
      </w:r>
      <w:r>
        <w:rPr>
          <w:rFonts w:ascii="Times New Roman" w:hAnsi="Times New Roman"/>
          <w:caps w:val="false"/>
          <w:smallCaps w:val="false"/>
          <w:sz w:val="20"/>
        </w:rPr>
        <w:t xml:space="preserve">” means the Shares and any Common Stock issued or issuable with respect to the Shares as a result of any stock split or subdivision, stock dividend, recapitalization, exchange or similar event. Registrable Securities shall cease to be Registrable Securities upon the earliest of (i) the date on which such Registrable Securities have been resold by any Investor either pursuant to any Registration Statement or Rule 144, or (ii) the date on which such Registrable Securities have been transferred in a private transaction in which the rights of the transferring Investor under this Agreement have not been assigned pursuant to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Registration Expenses</w:t>
      </w:r>
      <w:r>
        <w:rPr>
          <w:rFonts w:ascii="Times New Roman" w:hAnsi="Times New Roman"/>
          <w:caps w:val="false"/>
          <w:smallCaps w:val="false"/>
          <w:sz w:val="20"/>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Registration Statement</w:t>
      </w:r>
      <w:r>
        <w:rPr>
          <w:rFonts w:ascii="Times New Roman" w:hAnsi="Times New Roman"/>
          <w:caps w:val="false"/>
          <w:smallCaps w:val="false"/>
          <w:sz w:val="20"/>
        </w:rPr>
        <w: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Selling Expenses</w:t>
      </w:r>
      <w:r>
        <w:rPr>
          <w:rFonts w:ascii="Times New Roman" w:hAnsi="Times New Roman"/>
          <w:caps w:val="false"/>
          <w:smallCaps w:val="false"/>
          <w:sz w:val="20"/>
        </w:rPr>
        <w:t>” means all underwriting discounts and selling commissions applicable to the sale of Registrable Securities and all similar fees and commissions relating to the Investors’ disposition of the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795" w:type="dxa"/>
        <w:jc w:val="left"/>
        <w:tblInd w:w="0" w:type="dxa"/>
        <w:tblLayout w:type="fixed"/>
        <w:tblCellMar>
          <w:top w:w="0" w:type="dxa"/>
          <w:left w:w="0" w:type="dxa"/>
          <w:bottom w:w="0" w:type="dxa"/>
          <w:right w:w="0" w:type="dxa"/>
        </w:tblCellMar>
      </w:tblPr>
      <w:tblGrid>
        <w:gridCol w:w="60"/>
        <w:gridCol w:w="170"/>
        <w:gridCol w:w="156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15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REGISTRATION.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Demand Registration</w:t>
      </w:r>
      <w:r>
        <w:rPr>
          <w:rFonts w:ascii="Times New Roman" w:hAnsi="Times New Roman"/>
          <w:caps w:val="false"/>
          <w:smallCaps w:val="false"/>
          <w:sz w:val="20"/>
        </w:rPr>
        <w:t>. If the Company receives a request from the Investors holding a majority of the Registrable Securities then outstanding that the Company prepare and file with the SEC an initial Registration Statement (the “</w:t>
      </w:r>
      <w:r>
        <w:rPr>
          <w:rFonts w:ascii="Times New Roman" w:hAnsi="Times New Roman"/>
          <w:b/>
          <w:caps w:val="false"/>
          <w:smallCaps w:val="false"/>
          <w:sz w:val="20"/>
        </w:rPr>
        <w:t>Initial Registration Statement</w:t>
      </w:r>
      <w:r>
        <w:rPr>
          <w:rFonts w:ascii="Times New Roman" w:hAnsi="Times New Roman"/>
          <w:caps w:val="false"/>
          <w:smallCaps w:val="false"/>
          <w:sz w:val="20"/>
        </w:rPr>
        <w:t>”) covering the resale of all Registrable Securities, then the Company shall, as promptly as reasonably practicable and in any event no later than 45 days after the date such request is given by the Investors (the “</w:t>
      </w:r>
      <w:r>
        <w:rPr>
          <w:rFonts w:ascii="Times New Roman" w:hAnsi="Times New Roman"/>
          <w:b/>
          <w:caps w:val="false"/>
          <w:smallCaps w:val="false"/>
          <w:sz w:val="20"/>
        </w:rPr>
        <w:t>Filing Deadline</w:t>
      </w:r>
      <w:r>
        <w:rPr>
          <w:rFonts w:ascii="Times New Roman" w:hAnsi="Times New Roman"/>
          <w:caps w:val="false"/>
          <w:smallCaps w:val="false"/>
          <w:sz w:val="20"/>
        </w:rPr>
        <w:t xml:space="preserve">”), prepare and file with the SEC the Initial Registration Statement. Before filing the Registration Statement, the Company shall furnish to the Investors a copy of the Registration Statement. The Investors and their counsel shall have at least three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 The Company shall (i) use commercially reasonable efforts to address in each such document prior to being so filed with the SEC such comments as are reasonably proposed by the Investors or their counsel, and (ii) not file any Registration Statement or related prospectus or any amendment or supplement thereto containing information regarding the Investor to which Investor reasonably objects, unless such information is required to comply with any applicable law or regulation. The Investors shall furnish all information reasonably requested by the Company and as shall be reasonably required in connection with any registration referred to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Effectiveness.</w:t>
      </w:r>
      <w:r>
        <w:rPr>
          <w:rFonts w:ascii="Times New Roman" w:hAnsi="Times New Roman"/>
          <w:caps w:val="false"/>
          <w:smallCaps w:val="false"/>
          <w:sz w:val="20"/>
        </w:rPr>
        <w:t> The Company shall use its commercially reasonable efforts to have the Initial Registration Statement and any amendment declared effective by the SEC at the earliest possible date but no later than the earlier of (i) the 75th calendar day following the initial filing date of the Initial Registration Statement if the SEC notifies the Company that it will “review” the Initial Registration Statement and (ii) the fifth Business Day after the date the Company is notified (orally or in writing, whichever is earlier) by the SEC that the Initial Registration Statement will not be “reviewed” or will not be subject to further review (the “</w:t>
      </w:r>
      <w:r>
        <w:rPr>
          <w:rFonts w:ascii="Times New Roman" w:hAnsi="Times New Roman"/>
          <w:b/>
          <w:caps w:val="false"/>
          <w:smallCaps w:val="false"/>
          <w:sz w:val="20"/>
        </w:rPr>
        <w:t>Effectiveness Deadline</w:t>
      </w:r>
      <w:r>
        <w:rPr>
          <w:rFonts w:ascii="Times New Roman" w:hAnsi="Times New Roman"/>
          <w:caps w:val="false"/>
          <w:smallCaps w:val="false"/>
          <w:sz w:val="20"/>
        </w:rPr>
        <w:t>”). The Company shall notify each Investor by e-mail as promptly as practicable, and in any event, within 24 hours, after the Registration Statement is declared effective or is supplemented and shall provide each Investor with copies of any related prospectus to be used in connection with the sale or other disposition of the securities covered thereby. The Company shall use commercially reasonable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hAnsi="Times New Roman"/>
          <w:b/>
          <w:caps w:val="false"/>
          <w:smallCaps w:val="false"/>
          <w:sz w:val="20"/>
        </w:rPr>
        <w:t>Registration Period</w:t>
      </w:r>
      <w:r>
        <w:rPr>
          <w:rFonts w:ascii="Times New Roman" w:hAnsi="Times New Roman"/>
          <w:caps w:val="false"/>
          <w:smallCaps w:val="false"/>
          <w:sz w:val="20"/>
        </w:rPr>
        <w:t xml:space="preserve">”); provided, that if, at any time after the date described in clause (ii), the Registrable Securities cease to be eligible for resale pursuant to Rule 144, then the Registration Period shall recommence, and the Company shall use commercially reasonable efforts to cause the applicable Registration Statement to be continuously effective and available in accordance with this </w:t>
      </w:r>
      <w:r>
        <w:rPr>
          <w:rFonts w:ascii="Times New Roman" w:hAnsi="Times New Roman"/>
          <w:caps w:val="false"/>
          <w:smallCaps w:val="false"/>
          <w:sz w:val="20"/>
          <w:u w:val="single"/>
        </w:rPr>
        <w:t>Section 2(b)</w:t>
      </w:r>
      <w:r>
        <w:rPr>
          <w:rFonts w:ascii="Times New Roman" w:hAnsi="Times New Roman"/>
          <w:caps w:val="false"/>
          <w:smallCaps w:val="false"/>
          <w:sz w:val="20"/>
        </w:rPr>
        <w:t xml:space="preserve"> until the Registrable Securities are once again so eligible or the event described in clause (i) has occurred.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Sufficient Number of Shares Registered</w:t>
      </w:r>
      <w:r>
        <w:rPr>
          <w:rFonts w:ascii="Times New Roman" w:hAnsi="Times New Roman"/>
          <w:caps w:val="false"/>
          <w:smallCaps w:val="false"/>
          <w:sz w:val="20"/>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hAnsi="Times New Roman"/>
          <w:b/>
          <w:caps w:val="false"/>
          <w:smallCaps w:val="false"/>
          <w:sz w:val="20"/>
        </w:rPr>
        <w:t>New Registration Statement</w:t>
      </w:r>
      <w:r>
        <w:rPr>
          <w:rFonts w:ascii="Times New Roman" w:hAnsi="Times New Roman"/>
          <w:caps w:val="false"/>
          <w:smallCaps w:val="false"/>
          <w:sz w:val="20"/>
        </w:rPr>
        <w:t>”), so as to cover all of such Registrable Securities as soon as reasonably practicable, but in any event not later than ten Business Days after the necessity therefor arises (the “</w:t>
      </w:r>
      <w:r>
        <w:rPr>
          <w:rFonts w:ascii="Times New Roman" w:hAnsi="Times New Roman"/>
          <w:b/>
          <w:caps w:val="false"/>
          <w:smallCaps w:val="false"/>
          <w:sz w:val="20"/>
        </w:rPr>
        <w:t>New Registration Filing Deadline</w:t>
      </w:r>
      <w:r>
        <w:rPr>
          <w:rFonts w:ascii="Times New Roman" w:hAnsi="Times New Roman"/>
          <w:caps w:val="false"/>
          <w:smallCaps w:val="false"/>
          <w:sz w:val="20"/>
        </w:rPr>
        <w:t>”). The Company shall use its commercially reasonable efforts to have such amendment and/or New Registration Statement become effective as soon as reasonably practicable following the filing thereof but no later than the earlier of (i) the 75th calendar day following the initial filing date of the New Registration Statement if the SEC notifies the Company that it will “review” the New Registration Statement and (ii)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hAnsi="Times New Roman"/>
          <w:b/>
          <w:caps w:val="false"/>
          <w:smallCaps w:val="false"/>
          <w:sz w:val="20"/>
        </w:rPr>
        <w:t>New Registration</w:t>
      </w:r>
      <w:r>
        <w:rPr>
          <w:rFonts w:ascii="Times New Roman" w:hAnsi="Times New Roman"/>
          <w:caps w:val="false"/>
          <w:smallCaps w:val="false"/>
          <w:sz w:val="20"/>
        </w:rPr>
        <w:t xml:space="preserve"> </w:t>
      </w:r>
      <w:r>
        <w:rPr>
          <w:rFonts w:ascii="Times New Roman" w:hAnsi="Times New Roman"/>
          <w:b/>
          <w:caps w:val="false"/>
          <w:smallCaps w:val="false"/>
          <w:sz w:val="20"/>
        </w:rPr>
        <w:t>Effectiveness Deadline</w:t>
      </w:r>
      <w:r>
        <w:rPr>
          <w:rFonts w:ascii="Times New Roman" w:hAnsi="Times New Roman"/>
          <w:caps w:val="false"/>
          <w:smallCaps w:val="false"/>
          <w:sz w:val="20"/>
        </w:rPr>
        <w:t xml:space="preserve">”). The provisions of </w:t>
      </w:r>
      <w:r>
        <w:rPr>
          <w:rFonts w:ascii="Times New Roman" w:hAnsi="Times New Roman"/>
          <w:caps w:val="false"/>
          <w:smallCaps w:val="false"/>
          <w:sz w:val="20"/>
          <w:u w:val="single"/>
        </w:rPr>
        <w:t>Sections 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shall apply to the New Registration Statement, except as modified hereby.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Allowable Delays</w:t>
      </w:r>
      <w:r>
        <w:rPr>
          <w:rFonts w:ascii="Times New Roman" w:hAnsi="Times New Roman"/>
          <w:caps w:val="false"/>
          <w:smallCaps w:val="false"/>
          <w:sz w:val="20"/>
        </w:rPr>
        <w:t>. On no more than two occasions and for not more than 45 consecutive days or for a total of not more than 75 days in any 12 month period, the Company may delay the filing or effectiveness of the Initial Registration Statement or any other Registration Statement, or suspend the use of any prospectus included in any Registration Statement, in the event that the Company determines in good faith that (A) such delay or suspension is necessary to delay the disclosure of material non-public information concerning the Company, the disclosure of which at the time is not, in the good faith opinion of the Company, in the best interests of the Company, (B) such delay or suspension is necessary to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(C) the filing or effectiveness of such Registration Statement, or use of such prospectus, would be materially detrimental to the Company (an “</w:t>
      </w:r>
      <w:r>
        <w:rPr>
          <w:rFonts w:ascii="Times New Roman" w:hAnsi="Times New Roman"/>
          <w:b/>
          <w:caps w:val="false"/>
          <w:smallCaps w:val="false"/>
          <w:sz w:val="20"/>
        </w:rPr>
        <w:t>Allowed Delay</w:t>
      </w:r>
      <w:r>
        <w:rPr>
          <w:rFonts w:ascii="Times New Roman" w:hAnsi="Times New Roman"/>
          <w:caps w:val="false"/>
          <w:smallCaps w:val="false"/>
          <w:sz w:val="20"/>
        </w:rPr>
        <w:t>”); provided, that the Company shall promptly (i) notify each Investor in writing of the commencement of an Allowed Delay, but shall not (without the prior written consent of an Investor) disclose to such Investor any material non-public information giving rise to an Allowed Delay, (ii) advise the Investors in writing to cease all sales under the Registration Statement until the end of the Allowed Delay and (iii) use commercially reasonable efforts to terminate an Allowed Delay as promptly as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Rule 415; Cutback</w:t>
      </w:r>
      <w:r>
        <w:rPr>
          <w:rFonts w:ascii="Times New Roman" w:hAnsi="Times New Roman"/>
          <w:caps w:val="false"/>
          <w:smallCaps w:val="false"/>
          <w:sz w:val="20"/>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commercially reasonable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In such event, the Investors shall have the right to select one legal counsel, at such Investor’s expense, to review and oversee any registration or matters pursuant to this </w:t>
      </w:r>
      <w:r>
        <w:rPr>
          <w:rFonts w:ascii="Times New Roman" w:hAnsi="Times New Roman"/>
          <w:caps w:val="false"/>
          <w:smallCaps w:val="false"/>
          <w:sz w:val="20"/>
          <w:u w:val="single"/>
        </w:rPr>
        <w:t>Section 2(e)</w:t>
      </w:r>
      <w:r>
        <w:rPr>
          <w:rFonts w:ascii="Times New Roman" w:hAnsi="Times New Roman"/>
          <w:caps w:val="false"/>
          <w:smallCaps w:val="false"/>
          <w:sz w:val="20"/>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commercially reasonable efforts and compliance with the terms of this </w:t>
      </w:r>
      <w:r>
        <w:rPr>
          <w:rFonts w:ascii="Times New Roman" w:hAnsi="Times New Roman"/>
          <w:caps w:val="false"/>
          <w:smallCaps w:val="false"/>
          <w:sz w:val="20"/>
          <w:u w:val="single"/>
        </w:rPr>
        <w:t>Section 2(e)</w:t>
      </w:r>
      <w:r>
        <w:rPr>
          <w:rFonts w:ascii="Times New Roman" w:hAnsi="Times New Roman"/>
          <w:caps w:val="false"/>
          <w:smallCaps w:val="false"/>
          <w:sz w:val="20"/>
        </w:rPr>
        <w:t>, the SEC refuses to alter its position, the Company shall (i) remove from such Registration Statement such portion of the Registrable Securities (the “</w:t>
      </w:r>
      <w:r>
        <w:rPr>
          <w:rFonts w:ascii="Times New Roman" w:hAnsi="Times New Roman"/>
          <w:b/>
          <w:caps w:val="false"/>
          <w:smallCaps w:val="false"/>
          <w:sz w:val="20"/>
        </w:rPr>
        <w:t>Cut Back Shares</w:t>
      </w:r>
      <w:r>
        <w:rPr>
          <w:rFonts w:ascii="Times New Roman" w:hAnsi="Times New Roman"/>
          <w:caps w:val="false"/>
          <w:smallCaps w:val="false"/>
          <w:sz w:val="20"/>
        </w:rPr>
        <w:t>”) and/or (ii)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caps w:val="false"/>
          <w:smallCaps w:val="false"/>
          <w:sz w:val="20"/>
        </w:rPr>
        <w:t>SEC Restrictions</w:t>
      </w:r>
      <w:r>
        <w:rPr>
          <w:rFonts w:ascii="Times New Roman" w:hAnsi="Times New Roman"/>
          <w:caps w:val="false"/>
          <w:smallCaps w:val="false"/>
          <w:sz w:val="20"/>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caps w:val="false"/>
          <w:smallCaps w:val="false"/>
          <w:sz w:val="20"/>
          <w:u w:val="single"/>
        </w:rPr>
        <w:t>Section 2(e)</w:t>
      </w:r>
      <w:r>
        <w:rPr>
          <w:rFonts w:ascii="Times New Roman" w:hAnsi="Times New Roman"/>
          <w:caps w:val="false"/>
          <w:smallCaps w:val="false"/>
          <w:sz w:val="20"/>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From and after such date as the Company is able to effect the registration of such Cut Back Shares in accordance with any SEC Restrictions applicable to such Cut Back Shares (such date, the “</w:t>
      </w:r>
      <w:r>
        <w:rPr>
          <w:rFonts w:ascii="Times New Roman" w:hAnsi="Times New Roman"/>
          <w:b/>
          <w:caps w:val="false"/>
          <w:smallCaps w:val="false"/>
          <w:sz w:val="20"/>
        </w:rPr>
        <w:t>Restriction Termination Date</w:t>
      </w:r>
      <w:r>
        <w:rPr>
          <w:rFonts w:ascii="Times New Roman" w:hAnsi="Times New Roman"/>
          <w:caps w:val="false"/>
          <w:smallCaps w:val="false"/>
          <w:sz w:val="20"/>
        </w:rPr>
        <w:t xml:space="preserve">”), all of the provisions of this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(including the Company’s obligations with respect to the filing of a Registration Statement and its obligations to use commercially reasonable efforts to have such Registration Statement declared effective within the time periods set forth herein) shall again be applicable to such Cut Back Shares; provided, however, that the date by which the Company is required to file the Registration Statement with respect to such Cut Back Shares shall be the tenth day following the Restriction Termination Date and the date by which the Company is required to have the Registration Statement effective with respect to such Cut Back Shares shall be the 55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immediately after the Restriction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Suspension and Termination of Registration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i/>
          <w:caps w:val="false"/>
          <w:smallCaps w:val="false"/>
          <w:sz w:val="20"/>
        </w:rPr>
        <w:t>Suspension for Rule 144 Eligibility</w:t>
      </w:r>
      <w:r>
        <w:rPr>
          <w:rFonts w:ascii="Times New Roman" w:hAnsi="Times New Roman"/>
          <w:caps w:val="false"/>
          <w:smallCaps w:val="false"/>
          <w:sz w:val="20"/>
        </w:rPr>
        <w:t xml:space="preserve">. The rights of the Investors under this Agreement, including to request registration of any Registrable Securities pursuant to the terms of this Agreement, shall be suspended, on a security-by-security basis, for so long as such Registrable Securities may be resold by the applicable Investor without restriction pursuant to Rule 144, including without any manner of sale or volume limitation, and without the requirement to be in compliance with the current public information requirement under Rule 144 or any other rule of similar effect. If any Registrable Securities as to which such rights have been suspended pursuant to this </w:t>
      </w:r>
      <w:r>
        <w:rPr>
          <w:rFonts w:ascii="Times New Roman" w:hAnsi="Times New Roman"/>
          <w:caps w:val="false"/>
          <w:smallCaps w:val="false"/>
          <w:sz w:val="20"/>
          <w:u w:val="single"/>
        </w:rPr>
        <w:t>Section 2(f)(i)</w:t>
      </w:r>
      <w:r>
        <w:rPr>
          <w:rFonts w:ascii="Times New Roman" w:hAnsi="Times New Roman"/>
          <w:caps w:val="false"/>
          <w:smallCaps w:val="false"/>
          <w:sz w:val="20"/>
        </w:rPr>
        <w:t xml:space="preserve"> cease, for any reason, to be so eligible for resale under Rule 144 without restriction as provided in the preceding sentence, such Registrable Securities shall automatically, and without further action by any party, cease to be subject to such suspension and shall again constitute Registrable Securities eligible for registration and the rights provided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i/>
          <w:caps w:val="false"/>
          <w:smallCaps w:val="false"/>
          <w:sz w:val="20"/>
        </w:rPr>
        <w:t>Termination upon Company Sale</w:t>
      </w:r>
      <w:r>
        <w:rPr>
          <w:rFonts w:ascii="Times New Roman" w:hAnsi="Times New Roman"/>
          <w:caps w:val="false"/>
          <w:smallCaps w:val="false"/>
          <w:sz w:val="20"/>
        </w:rPr>
        <w:t>. This Agreement, including the right of Investors to request registration of Registrable Securities in any registration pursuant to the terms of this Agreement, shall terminate upon the consummation of any Company Sale.</w:t>
      </w:r>
    </w:p>
    <w:p>
      <w:pPr>
        <w:pStyle w:val="TextBody"/>
        <w:bidi w:val="0"/>
        <w:spacing w:before="0" w:after="0"/>
        <w:ind w:left="0" w:right="0" w:hanging="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60"/>
        <w:gridCol w:w="170"/>
        <w:gridCol w:w="347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34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RELATED COMPANY OBLIGATIONS.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With respect to the Registration Statement and whenever any Registrable Securities are to be Registered pursuant to </w:t>
      </w:r>
      <w:r>
        <w:rPr>
          <w:rFonts w:ascii="Times New Roman" w:hAnsi="Times New Roman"/>
          <w:caps w:val="false"/>
          <w:smallCaps w:val="false"/>
          <w:sz w:val="20"/>
          <w:u w:val="single"/>
        </w:rPr>
        <w:t>Section 2</w:t>
      </w:r>
      <w:r>
        <w:rPr>
          <w:rFonts w:ascii="Times New Roman" w:hAnsi="Times New Roman"/>
          <w:caps w:val="false"/>
          <w:smallCaps w:val="false"/>
          <w:sz w:val="20"/>
        </w:rPr>
        <w:t>, including on the Initial Registration Statement or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Notifications</w:t>
      </w:r>
      <w:r>
        <w:rPr>
          <w:rFonts w:ascii="Times New Roman" w:hAnsi="Times New Roman"/>
          <w:caps w:val="false"/>
          <w:smallCaps w:val="false"/>
          <w:sz w:val="20"/>
        </w:rPr>
        <w:t>. The Company will notify the Investors promptly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Amendments.</w:t>
      </w:r>
      <w:r>
        <w:rPr>
          <w:rFonts w:ascii="Times New Roman" w:hAnsi="Times New Roman"/>
          <w:caps w:val="false"/>
          <w:smallCaps w:val="false"/>
          <w:sz w:val="20"/>
        </w:rPr>
        <w:t xml:space="preserve"> The Company will prepare and file with the SEC any amendments, post-effective amendments or supplements to the Initial Registration Statement, any New Registration Statement or any related prospectus, as applicable, (i) as may be necessary to keep such Registration Statement effective for the Registration Period and to comply with the provisions of the Securities Act and the Securities Exchange Act of 1934, as amended (the “</w:t>
      </w:r>
      <w:r>
        <w:rPr>
          <w:rFonts w:ascii="Times New Roman" w:hAnsi="Times New Roman"/>
          <w:b/>
          <w:caps w:val="false"/>
          <w:smallCaps w:val="false"/>
          <w:sz w:val="20"/>
        </w:rPr>
        <w:t>Exchange Act</w:t>
      </w:r>
      <w:r>
        <w:rPr>
          <w:rFonts w:ascii="Times New Roman" w:hAnsi="Times New Roman"/>
          <w:caps w:val="false"/>
          <w:smallCaps w:val="false"/>
          <w:sz w:val="20"/>
        </w:rPr>
        <w:t>”) with respect to the distribution of all of the Registrable Securities covered thereby, or (ii) that in the reasonable opinion of the Investors and the Company, as may be necessary or advisable in connection with any acquisition or sale of Registrable Securities by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Investor Review</w:t>
      </w:r>
      <w:r>
        <w:rPr>
          <w:rFonts w:ascii="Times New Roman" w:hAnsi="Times New Roman"/>
          <w:caps w:val="false"/>
          <w:smallCaps w:val="false"/>
          <w:sz w:val="20"/>
        </w:rPr>
        <w:t>.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Copies Available</w:t>
      </w:r>
      <w:r>
        <w:rPr>
          <w:rFonts w:ascii="Times New Roman" w:hAnsi="Times New Roman"/>
          <w:caps w:val="false"/>
          <w:smallCaps w:val="false"/>
          <w:sz w:val="20"/>
        </w:rPr>
        <w:t>.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the Investor to the extent such document is available on EDGAR.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Notification of Stop Orders; Material Changes</w:t>
      </w:r>
      <w:r>
        <w:rPr>
          <w:rFonts w:ascii="Times New Roman" w:hAnsi="Times New Roman"/>
          <w:caps w:val="false"/>
          <w:smallCaps w:val="false"/>
          <w:sz w:val="20"/>
        </w:rPr>
        <w:t>. The Company shall use commercially reasonable efforts to (1) prevent the issuance of any stop order or other suspension of effectiveness and (2)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 substance of specific reasons of any of the events set forth in clause (i) to (iii) of the immediately preceding sentence (each, a “</w:t>
      </w:r>
      <w:r>
        <w:rPr>
          <w:rFonts w:ascii="Times New Roman" w:hAnsi="Times New Roman"/>
          <w:b/>
          <w:caps w:val="false"/>
          <w:smallCaps w:val="false"/>
          <w:sz w:val="20"/>
        </w:rPr>
        <w:t>Suspension Event</w:t>
      </w:r>
      <w:r>
        <w:rPr>
          <w:rFonts w:ascii="Times New Roman" w:hAnsi="Times New Roman"/>
          <w:caps w:val="false"/>
          <w:smallCaps w:val="false"/>
          <w:sz w:val="20"/>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hAnsi="Times New Roman"/>
          <w:caps w:val="false"/>
          <w:smallCaps w:val="false"/>
          <w:sz w:val="20"/>
          <w:u w:val="single"/>
        </w:rPr>
        <w:t>Section 3(e)</w:t>
      </w:r>
      <w:r>
        <w:rPr>
          <w:rFonts w:ascii="Times New Roman" w:hAnsi="Times New Roman"/>
          <w:caps w:val="false"/>
          <w:smallCaps w:val="false"/>
          <w:sz w:val="20"/>
        </w:rPr>
        <w:t>,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Confirmation of Effectiveness</w:t>
      </w:r>
      <w:r>
        <w:rPr>
          <w:rFonts w:ascii="Times New Roman" w:hAnsi="Times New Roman"/>
          <w:caps w:val="false"/>
          <w:smallCaps w:val="false"/>
          <w:sz w:val="20"/>
        </w:rPr>
        <w:t>. If reasonably requested by an Investor at any time in respect of any Registration Statement, the Company shall deliver to such Investor a written confirmation from the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Listing</w:t>
      </w:r>
      <w:r>
        <w:rPr>
          <w:rFonts w:ascii="Times New Roman" w:hAnsi="Times New Roman"/>
          <w:caps w:val="false"/>
          <w:smallCaps w:val="false"/>
          <w:sz w:val="20"/>
        </w:rPr>
        <w:t>. The Company shall use commercially reasonable efforts to cause all Registrable Securities covered by a Registration Statement to be listed on the Nasdaq Global Select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Compliance</w:t>
      </w:r>
      <w:r>
        <w:rPr>
          <w:rFonts w:ascii="Times New Roman" w:hAnsi="Times New Roman"/>
          <w:caps w:val="false"/>
          <w:smallCaps w:val="false"/>
          <w:sz w:val="20"/>
        </w:rPr>
        <w:t>. The Company shall otherwise use commercially reasonable efforts to comply in all material respects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in a manner such that,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an earnings statement covering a period of at least 12 months, beginning after the effective date of each Registration Statement, which earnings statement shall satisfy the provisions of Section 11(a) of the Securities Act, including Rule 158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Blue-Sky</w:t>
      </w:r>
      <w:r>
        <w:rPr>
          <w:rFonts w:ascii="Times New Roman" w:hAnsi="Times New Roman"/>
          <w:caps w:val="false"/>
          <w:smallCaps w:val="false"/>
          <w:sz w:val="20"/>
        </w:rPr>
        <w:t xml:space="preserve">. The Company shall register or qualify or cooperate with each Investor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hAnsi="Times New Roman"/>
          <w:caps w:val="false"/>
          <w:smallCaps w:val="false"/>
          <w:sz w:val="20"/>
          <w:u w:val="single"/>
        </w:rPr>
        <w:t>Section 3(i)</w:t>
      </w:r>
      <w:r>
        <w:rPr>
          <w:rFonts w:ascii="Times New Roman" w:hAnsi="Times New Roman"/>
          <w:caps w:val="false"/>
          <w:smallCaps w:val="false"/>
          <w:sz w:val="20"/>
        </w:rPr>
        <w:t xml:space="preserve">, (ii) subject itself to general taxation in any jurisdiction where it would not otherwise be so subject but for this </w:t>
      </w:r>
      <w:r>
        <w:rPr>
          <w:rFonts w:ascii="Times New Roman" w:hAnsi="Times New Roman"/>
          <w:caps w:val="false"/>
          <w:smallCaps w:val="false"/>
          <w:sz w:val="20"/>
          <w:u w:val="single"/>
        </w:rPr>
        <w:t>Section 3(i)</w:t>
      </w:r>
      <w:r>
        <w:rPr>
          <w:rFonts w:ascii="Times New Roman" w:hAnsi="Times New Roman"/>
          <w:caps w:val="false"/>
          <w:smallCaps w:val="false"/>
          <w:sz w:val="20"/>
        </w:rPr>
        <w:t>, or (iii) file a general consent to service of process in any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(j)          </w:t>
      </w:r>
      <w:r>
        <w:rPr>
          <w:rFonts w:ascii="Times New Roman" w:hAnsi="Times New Roman"/>
          <w:caps w:val="false"/>
          <w:smallCaps w:val="false"/>
          <w:sz w:val="20"/>
          <w:u w:val="single"/>
        </w:rPr>
        <w:t>Rule 144</w:t>
      </w:r>
      <w:r>
        <w:rPr>
          <w:rFonts w:ascii="Times New Roman" w:hAnsi="Times New Roman"/>
          <w:caps w:val="false"/>
          <w:smallCaps w:val="false"/>
          <w:sz w:val="20"/>
        </w:rPr>
        <w:t>.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use commercially reasonable efforts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(k)          </w:t>
      </w:r>
      <w:r>
        <w:rPr>
          <w:rFonts w:ascii="Times New Roman" w:hAnsi="Times New Roman"/>
          <w:caps w:val="false"/>
          <w:smallCaps w:val="false"/>
          <w:sz w:val="20"/>
          <w:u w:val="single"/>
        </w:rPr>
        <w:t>Cooperation.</w:t>
      </w:r>
      <w:r>
        <w:rPr>
          <w:rFonts w:ascii="Times New Roman" w:hAnsi="Times New Roman"/>
          <w:caps w:val="false"/>
          <w:smallCaps w:val="false"/>
          <w:sz w:val="20"/>
        </w:rPr>
        <w:t>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stock certificates through the use of The Depository Trust Company’s Direct Registration System.</w:t>
      </w:r>
    </w:p>
    <w:p>
      <w:pPr>
        <w:pStyle w:val="TextBody"/>
        <w:bidi w:val="0"/>
        <w:spacing w:before="0" w:after="0"/>
        <w:ind w:left="0" w:right="0" w:hanging="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0"/>
        <w:gridCol w:w="170"/>
        <w:gridCol w:w="338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3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OBLIGATIONS OF THE INVESTORS.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Investor Information</w:t>
      </w:r>
      <w:r>
        <w:rPr>
          <w:rFonts w:ascii="Times New Roman" w:hAnsi="Times New Roman"/>
          <w:caps w:val="false"/>
          <w:smallCaps w:val="false"/>
          <w:sz w:val="20"/>
        </w:rPr>
        <w:t xml:space="preserve">. Each Investor shall provide a completed Investor Questionnaire in the form attached hereto as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in connection with the registration of the Registrable Securities. If the Company has not received such completed Investor Questionnaire from an Investor within five Business Days of the Company’s request, the Company may file the Registration Statement without including such Investor’s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Suspension of Sales</w:t>
      </w:r>
      <w:r>
        <w:rPr>
          <w:rFonts w:ascii="Times New Roman" w:hAnsi="Times New Roman"/>
          <w:caps w:val="false"/>
          <w:smallCaps w:val="false"/>
          <w:sz w:val="20"/>
        </w:rPr>
        <w:t xml:space="preserve">. Each Investor, severally and not jointly with any other Investor, agrees that, upon receipt of any notice from the Company of the existence of an Allowed Delay or a Suspension Event as set forth in </w:t>
      </w:r>
      <w:r>
        <w:rPr>
          <w:rFonts w:ascii="Times New Roman" w:hAnsi="Times New Roman"/>
          <w:caps w:val="false"/>
          <w:smallCaps w:val="false"/>
          <w:sz w:val="20"/>
          <w:u w:val="single"/>
        </w:rPr>
        <w:t>Section 3(e)</w:t>
      </w:r>
      <w:r>
        <w:rPr>
          <w:rFonts w:ascii="Times New Roman" w:hAnsi="Times New Roman"/>
          <w:caps w:val="false"/>
          <w:smallCaps w:val="false"/>
          <w:sz w:val="20"/>
        </w:rPr>
        <w:t>, the Investor will immediately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Investor Cooperation</w:t>
      </w:r>
      <w:r>
        <w:rPr>
          <w:rFonts w:ascii="Times New Roman" w:hAnsi="Times New Roman"/>
          <w:caps w:val="false"/>
          <w:smallCaps w:val="false"/>
          <w:sz w:val="20"/>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pStyle w:val="TextBody"/>
        <w:bidi w:val="0"/>
        <w:spacing w:before="0" w:after="0"/>
        <w:ind w:left="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0"/>
        <w:gridCol w:w="170"/>
        <w:gridCol w:w="293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29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EXPENSES OF REGISTRATION.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125" w:type="dxa"/>
        <w:jc w:val="left"/>
        <w:tblInd w:w="0" w:type="dxa"/>
        <w:tblLayout w:type="fixed"/>
        <w:tblCellMar>
          <w:top w:w="0" w:type="dxa"/>
          <w:left w:w="0" w:type="dxa"/>
          <w:bottom w:w="0" w:type="dxa"/>
          <w:right w:w="0" w:type="dxa"/>
        </w:tblCellMar>
      </w:tblPr>
      <w:tblGrid>
        <w:gridCol w:w="60"/>
        <w:gridCol w:w="170"/>
        <w:gridCol w:w="189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18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INDEMNIFICATION.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To the fullest extent permitted by law, the Company will, and hereby does, indemnify, hold harmless and defend the Investors, each Person, if any, who controls the Investors, the members, the directors, officers, partners, employees, members, managers, agents, representatives and advisors of the Investors and each Person, if any, who controls the Investors within the meaning of the Securities Act or the Exchange Act (each, an “</w:t>
      </w:r>
      <w:r>
        <w:rPr>
          <w:rFonts w:ascii="Times New Roman" w:hAnsi="Times New Roman"/>
          <w:b/>
          <w:caps w:val="false"/>
          <w:smallCaps w:val="false"/>
          <w:sz w:val="20"/>
        </w:rPr>
        <w:t>Indemnified Person</w:t>
      </w:r>
      <w:r>
        <w:rPr>
          <w:rFonts w:ascii="Times New Roman" w:hAnsi="Times New Roman"/>
          <w:caps w:val="false"/>
          <w:smallCaps w:val="false"/>
          <w:sz w:val="20"/>
        </w:rPr>
        <w:t>”),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 w:hAnsi="Times New Roman"/>
          <w:b/>
          <w:caps w:val="false"/>
          <w:smallCaps w:val="false"/>
          <w:sz w:val="20"/>
        </w:rPr>
        <w:t>Claims</w:t>
      </w:r>
      <w:r>
        <w:rPr>
          <w:rFonts w:ascii="Times New Roman" w:hAnsi="Times New Roman"/>
          <w:caps w:val="false"/>
          <w:smallCaps w:val="false"/>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hAnsi="Times New Roman"/>
          <w:b/>
          <w:caps w:val="false"/>
          <w:smallCaps w:val="false"/>
          <w:sz w:val="20"/>
        </w:rPr>
        <w:t>Indemnified Damages</w:t>
      </w:r>
      <w:r>
        <w:rPr>
          <w:rFonts w:ascii="Times New Roman" w:hAnsi="Times New Roman"/>
          <w:caps w:val="false"/>
          <w:smallCaps w:val="false"/>
          <w:sz w:val="20"/>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hAnsi="Times New Roman"/>
          <w:b/>
          <w:caps w:val="false"/>
          <w:smallCaps w:val="false"/>
          <w:sz w:val="20"/>
        </w:rPr>
        <w:t>Violations</w:t>
      </w:r>
      <w:r>
        <w:rPr>
          <w:rFonts w:ascii="Times New Roman" w:hAnsi="Times New Roman"/>
          <w:caps w:val="false"/>
          <w:smallCaps w:val="false"/>
          <w:sz w:val="20"/>
        </w:rPr>
        <w:t xml:space="preserve">”).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hAnsi="Times New Roman"/>
          <w:caps w:val="false"/>
          <w:smallCaps w:val="false"/>
          <w:sz w:val="20"/>
          <w:u w:val="single"/>
        </w:rPr>
        <w:t>Section 6(a)</w:t>
      </w:r>
      <w:r>
        <w:rPr>
          <w:rFonts w:ascii="Times New Roman" w:hAnsi="Times New Roman"/>
          <w:caps w:val="false"/>
          <w:smallCaps w:val="false"/>
          <w:sz w:val="20"/>
        </w:rPr>
        <w:t xml:space="preserve">: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or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hAnsi="Times New Roman"/>
          <w:caps w:val="false"/>
          <w:smallCaps w:val="false"/>
          <w:sz w:val="20"/>
          <w:u w:val="single"/>
        </w:rPr>
        <w:t>Section 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In connection with the Initial Registration Statement, any New Registration Statement or any prospectus, the Investors, severally and not jointly, agree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w:t>
      </w:r>
      <w:r>
        <w:rPr>
          <w:rFonts w:ascii="Times New Roman" w:hAnsi="Times New Roman"/>
          <w:b/>
          <w:caps w:val="false"/>
          <w:smallCaps w:val="false"/>
          <w:sz w:val="20"/>
        </w:rPr>
        <w:t>Indemnified Party</w:t>
      </w:r>
      <w:r>
        <w:rPr>
          <w:rFonts w:ascii="Times New Roman" w:hAnsi="Times New Roman"/>
          <w:caps w:val="false"/>
          <w:smallCaps w:val="false"/>
          <w:sz w:val="20"/>
        </w:rPr>
        <w:t xml:space="preserve">”), against any losses, claims, damages, liabilities and expenses (including reasonable attorneys’ fees) resulting from any Violation, in each case to the extent, and only to the extent, that such Violation occurs in reliance upon and in conformity with information about an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expenses paid by such Investor in connection with any claim relating to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w:t>
      </w:r>
      <w:r>
        <w:rPr>
          <w:rFonts w:ascii="Times New Roman" w:hAnsi="Times New Roman"/>
          <w:caps w:val="false"/>
          <w:smallCaps w:val="false"/>
          <w:sz w:val="20"/>
          <w:u w:val="single"/>
        </w:rPr>
        <w:t>Section 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Promptly after receipt by an Indemnified Person or Indemnified Party under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caps w:val="false"/>
          <w:smallCaps w:val="false"/>
          <w:sz w:val="20"/>
          <w:u w:val="single"/>
        </w:rPr>
        <w:t>Section 6</w:t>
      </w:r>
      <w:r>
        <w:rPr>
          <w:rFonts w:ascii="Times New Roman" w:hAnsi="Times New Roman"/>
          <w:caps w:val="false"/>
          <w:smallCaps w:val="false"/>
          <w:sz w:val="20"/>
        </w:rPr>
        <w:t>, except to the extent that the indemnifying party is prejudiced in its ability to defend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The indemnification required by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which person is later determined to not be entitled to such payment shall return such payment (including reimbursement of expenses) to the person making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spacing w:before="0" w:after="0"/>
        <w:ind w:left="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170"/>
        <w:gridCol w:w="159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w:t>
            </w:r>
          </w:p>
        </w:tc>
        <w:tc>
          <w:tcPr>
            <w:tcW w:w="15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CONTRIBUTION.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hAnsi="Times New Roman"/>
          <w:caps w:val="false"/>
          <w:smallCaps w:val="false"/>
          <w:sz w:val="20"/>
          <w:u w:val="single"/>
        </w:rPr>
        <w:t>Section 7</w:t>
      </w:r>
      <w:r>
        <w:rPr>
          <w:rFonts w:ascii="Times New Roman" w:hAnsi="Times New Roman"/>
          <w:caps w:val="false"/>
          <w:smallCaps w:val="false"/>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pStyle w:val="TextBody"/>
        <w:bidi w:val="0"/>
        <w:spacing w:before="0" w:after="0"/>
        <w:ind w:left="0" w:right="0" w:hanging="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60"/>
        <w:gridCol w:w="170"/>
        <w:gridCol w:w="401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w:t>
            </w:r>
          </w:p>
        </w:tc>
        <w:tc>
          <w:tcPr>
            <w:tcW w:w="40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ASSIGNMENT OF REGISTRATION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The Company shall not assign this Agreement or any rights or obligations hereunder without the prior written consent of the Investors holding a majority of the Registrable Securities then outstanding; provided, however, that, subject to </w:t>
      </w:r>
      <w:r>
        <w:rPr>
          <w:rFonts w:ascii="Times New Roman" w:hAnsi="Times New Roman"/>
          <w:caps w:val="false"/>
          <w:smallCaps w:val="false"/>
          <w:sz w:val="20"/>
          <w:u w:val="single"/>
        </w:rPr>
        <w:t>Section 2(f)</w:t>
      </w:r>
      <w:r>
        <w:rPr>
          <w:rFonts w:ascii="Times New Roman" w:hAnsi="Times New Roman"/>
          <w:caps w:val="false"/>
          <w:smallCaps w:val="false"/>
          <w:sz w:val="20"/>
        </w:rPr>
        <w: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Investors holding a majority of the Registrable Securities then outstanding shall not be required for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An Investor may transfer or assign its rights hereunder, in whole or from time to time in part, to one or more Persons that is an Affiliate of such Investor in connection with the transfer of not fewer than 10,000 Registrable Securities by such Investor to such Person, provided that such Investor complies with all laws applicable thereto, and the provisions of the Purchase Agreement, and provides written notice of assignment to the Company prior to effecting such assignment, and such Person agrees in writing to be bound by all of the provisions contained herein in form reasonably satisfactory to the Company, not to be unreasonably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provisions of this Agreement shall be binding upon and inure to the benefit of the Investor and its successors and permitted assigns.</w:t>
      </w:r>
    </w:p>
    <w:p>
      <w:pPr>
        <w:pStyle w:val="TextBody"/>
        <w:bidi w:val="0"/>
        <w:spacing w:before="0" w:after="0"/>
        <w:ind w:left="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170"/>
        <w:gridCol w:w="288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w:t>
            </w:r>
          </w:p>
        </w:tc>
        <w:tc>
          <w:tcPr>
            <w:tcW w:w="28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AMENDMENTS AND WAIVERS.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provisions of this Agreement, including the provisions of this sentence, may be amended, modified or supplemented, or waived only by a written instrument executed by (i) the Company and (ii) the holders of a majority of the then outstanding Registrable Securities, provided that any party may give a waiver as to itself and provided further that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095" w:type="dxa"/>
        <w:jc w:val="left"/>
        <w:tblInd w:w="0" w:type="dxa"/>
        <w:tblLayout w:type="fixed"/>
        <w:tblCellMar>
          <w:top w:w="0" w:type="dxa"/>
          <w:left w:w="0" w:type="dxa"/>
          <w:bottom w:w="0" w:type="dxa"/>
          <w:right w:w="0" w:type="dxa"/>
        </w:tblCellMar>
      </w:tblPr>
      <w:tblGrid>
        <w:gridCol w:w="60"/>
        <w:gridCol w:w="275"/>
        <w:gridCol w:w="1760"/>
      </w:tblGrid>
      <w:tr>
        <w:trPr/>
        <w:tc>
          <w:tcPr>
            <w:tcW w:w="6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w:t>
            </w:r>
          </w:p>
        </w:tc>
        <w:tc>
          <w:tcPr>
            <w:tcW w:w="17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MISCELLANEOUS.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Notices</w:t>
      </w:r>
      <w:r>
        <w:rPr>
          <w:rFonts w:ascii="Times New Roman" w:hAnsi="Times New Roman"/>
          <w:caps w:val="false"/>
          <w:smallCaps w:val="false"/>
          <w:sz w:val="20"/>
        </w:rPr>
        <w:t>. Any notices or other communications required or permitted to be given hereunder shall be in writing and shall be deemed to be given (i) when delivered if personally delivered to the party for whom it is intended, (ii) when delivered, if sent by electronic mail during normal business hours of the recipient, and if not sent during normal business hours, then on the recipient’s next business day, (iii) three days after having been sent by certified or registered mail, return-receipt requested and postage prepaid, or (iv) one business day after deposit with a nationally recognized overnight courier, freight prepaid, specifying next business day delivery, with written verification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If to the Company, addressed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HealthStream, Inc.</w:t>
        <w:br/>
        <w:t>500 11th Avenue North, Suite 850</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Nashville, Tennessee 37203</w:t>
        <w:br/>
        <w:t>Attention: Sneha Oakley, Vice President, General Counsel</w:t>
        <w:br/>
        <w:t>Email: sneha.oakley@healthstream.com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600" w:right="0" w:hanging="0"/>
        <w:jc w:val="both"/>
        <w:rPr>
          <w:rFonts w:ascii="Times New Roman" w:hAnsi="Times New Roman"/>
          <w:caps w:val="false"/>
          <w:smallCaps w:val="false"/>
          <w:sz w:val="20"/>
        </w:rPr>
      </w:pPr>
      <w:r>
        <w:rPr>
          <w:rFonts w:ascii="Times New Roman" w:hAnsi="Times New Roman"/>
          <w:caps w:val="false"/>
          <w:smallCaps w:val="false"/>
          <w:sz w:val="20"/>
        </w:rPr>
        <w:t>with a copy (which shall not constitute notice):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Bass, Berry &amp; Sims PLC</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21 Platform Way South, Suite 3500</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Nashville, Tennessee 37203</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Attention: J. Page Davidson</w:t>
      </w:r>
    </w:p>
    <w:p>
      <w:pPr>
        <w:pStyle w:val="TextBody"/>
        <w:bidi w:val="0"/>
        <w:spacing w:before="0" w:after="0"/>
        <w:ind w:left="4320" w:right="0" w:firstLine="720"/>
        <w:jc w:val="left"/>
        <w:rPr>
          <w:caps w:val="false"/>
          <w:smallCaps w:val="false"/>
        </w:rPr>
      </w:pPr>
      <w:r>
        <w:rPr>
          <w:caps w:val="false"/>
          <w:smallCaps w:val="false"/>
        </w:rPr>
        <w:t>   </w:t>
      </w:r>
      <w:r>
        <w:rPr>
          <w:rFonts w:ascii="Times New Roman" w:hAnsi="Times New Roman"/>
          <w:caps w:val="false"/>
          <w:smallCaps w:val="false"/>
          <w:sz w:val="20"/>
        </w:rPr>
        <w:t>Kevin H. Douglas</w:t>
        <w:br/>
        <w:t>Email:       pdavidson@bassberry.com</w:t>
      </w:r>
    </w:p>
    <w:p>
      <w:pPr>
        <w:pStyle w:val="TextBody"/>
        <w:bidi w:val="0"/>
        <w:spacing w:before="0" w:after="0"/>
        <w:ind w:left="4320" w:right="0" w:firstLine="720"/>
        <w:jc w:val="left"/>
        <w:rPr>
          <w:caps w:val="false"/>
          <w:smallCaps w:val="false"/>
        </w:rPr>
      </w:pPr>
      <w:r>
        <w:rPr>
          <w:caps w:val="false"/>
          <w:smallCaps w:val="false"/>
        </w:rPr>
        <w:t>   </w:t>
      </w:r>
      <w:r>
        <w:rPr>
          <w:rFonts w:ascii="Times New Roman" w:hAnsi="Times New Roman"/>
          <w:caps w:val="false"/>
          <w:smallCaps w:val="false"/>
          <w:sz w:val="20"/>
        </w:rPr>
        <w:t>kdouglas@bassberry.com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If to any Investor, at its e-mail address or address set forth on its signature page to the Purchase Agreement or to such e-mail address, or address as subsequently modified by written notice given in accordance with this </w:t>
      </w:r>
      <w:r>
        <w:rPr>
          <w:rFonts w:ascii="Times New Roman" w:hAnsi="Times New Roman"/>
          <w:caps w:val="false"/>
          <w:smallCaps w:val="false"/>
          <w:sz w:val="20"/>
          <w:u w:val="single"/>
        </w:rPr>
        <w:t>Section 10(a)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Person may change the address to which notices and communications to it are to be addressed by notification as provided for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Consent to Electronic Notice</w:t>
      </w:r>
      <w:r>
        <w:rPr>
          <w:rFonts w:ascii="Times New Roman" w:hAnsi="Times New Roman"/>
          <w:caps w:val="false"/>
          <w:smallCaps w:val="false"/>
          <w:sz w:val="20"/>
        </w:rPr>
        <w:t>. Each Investor consents to the delivery of any shareholder notice pursuant to the Tennessee Business Corporation Act (the “</w:t>
      </w:r>
      <w:r>
        <w:rPr>
          <w:rFonts w:ascii="Times New Roman" w:hAnsi="Times New Roman"/>
          <w:b/>
          <w:caps w:val="false"/>
          <w:smallCaps w:val="false"/>
          <w:sz w:val="20"/>
        </w:rPr>
        <w:t>TBCA</w:t>
      </w:r>
      <w:r>
        <w:rPr>
          <w:rFonts w:ascii="Times New Roman" w:hAnsi="Times New Roman"/>
          <w:caps w:val="false"/>
          <w:smallCaps w:val="false"/>
          <w:sz w:val="20"/>
        </w:rPr>
        <w:t xml:space="preserve">”), as amended or superseded from time to time, by electronic mail pursuant to § 48-11-202 of the TBCA (or any successor thereto) at the e-mail address set forth below the Investor’s name on the signature page or </w:t>
      </w:r>
      <w:r>
        <w:rPr>
          <w:rFonts w:ascii="Times New Roman" w:hAnsi="Times New Roman"/>
          <w:caps w:val="false"/>
          <w:smallCaps w:val="false"/>
          <w:sz w:val="20"/>
          <w:u w:val="single"/>
        </w:rPr>
        <w:t>Exhibit B</w:t>
      </w:r>
      <w:r>
        <w:rPr>
          <w:rFonts w:ascii="Times New Roman" w:hAnsi="Times New Roman"/>
          <w:caps w:val="false"/>
          <w:smallCaps w:val="false"/>
          <w:sz w:val="20"/>
        </w:rPr>
        <w:t>,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Waiver.</w:t>
      </w:r>
      <w:r>
        <w:rPr>
          <w:rFonts w:ascii="Times New Roman" w:hAnsi="Times New Roman"/>
          <w:caps w:val="false"/>
          <w:smallCaps w:val="false"/>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Governing Law</w:t>
      </w:r>
      <w:r>
        <w:rPr>
          <w:rFonts w:ascii="Times New Roman" w:hAnsi="Times New Roman"/>
          <w:caps w:val="false"/>
          <w:smallCaps w:val="false"/>
          <w:sz w:val="20"/>
        </w:rPr>
        <w:t xml:space="preserve">. The provisions of </w:t>
      </w:r>
      <w:r>
        <w:rPr>
          <w:rFonts w:ascii="Times New Roman" w:hAnsi="Times New Roman"/>
          <w:caps w:val="false"/>
          <w:smallCaps w:val="false"/>
          <w:sz w:val="20"/>
          <w:u w:val="single"/>
        </w:rPr>
        <w:t>Section 9.5</w:t>
      </w:r>
      <w:r>
        <w:rPr>
          <w:rFonts w:ascii="Times New Roman" w:hAnsi="Times New Roman"/>
          <w:caps w:val="false"/>
          <w:smallCaps w:val="false"/>
          <w:sz w:val="20"/>
        </w:rPr>
        <w:t xml:space="preserve"> of the Purchase Agreement are incorporated by reference herein </w:t>
      </w:r>
      <w:r>
        <w:rPr>
          <w:rFonts w:ascii="Times New Roman" w:hAnsi="Times New Roman"/>
          <w:i/>
          <w:caps w:val="false"/>
          <w:smallCaps w:val="false"/>
          <w:sz w:val="20"/>
        </w:rPr>
        <w:t>mutatis mutandis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Headings</w:t>
      </w:r>
      <w:r>
        <w:rPr>
          <w:rFonts w:ascii="Times New Roman" w:hAnsi="Times New Roman"/>
          <w:caps w:val="false"/>
          <w:smallCaps w:val="false"/>
          <w:sz w:val="20"/>
        </w:rPr>
        <w:t>. The titles, subtitles and headings in this Agreement are for convenience of reference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Further Assurances</w:t>
      </w:r>
      <w:r>
        <w:rPr>
          <w:rFonts w:ascii="Times New Roman" w:hAnsi="Times New Roman"/>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Contract Interpretation</w:t>
      </w:r>
      <w:r>
        <w:rPr>
          <w:rFonts w:ascii="Times New Roman" w:hAnsi="Times New Roman"/>
          <w:caps w:val="false"/>
          <w:smallCaps w:val="false"/>
          <w:sz w:val="20"/>
        </w:rPr>
        <w:t>.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No Third Party Beneficiaries</w:t>
      </w:r>
      <w:r>
        <w:rPr>
          <w:rFonts w:ascii="Times New Roman" w:hAnsi="Times New Roman"/>
          <w:caps w:val="false"/>
          <w:smallCaps w:val="false"/>
          <w:sz w:val="20"/>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(j)          </w:t>
      </w:r>
      <w:r>
        <w:rPr>
          <w:rFonts w:ascii="Times New Roman" w:hAnsi="Times New Roman"/>
          <w:caps w:val="false"/>
          <w:smallCaps w:val="false"/>
          <w:sz w:val="20"/>
          <w:u w:val="single"/>
        </w:rPr>
        <w:t>Severability</w:t>
      </w:r>
      <w:r>
        <w:rPr>
          <w:rFonts w:ascii="Times New Roman" w:hAnsi="Times New Roman"/>
          <w:caps w:val="false"/>
          <w:smallCaps w:val="false"/>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(k)          </w:t>
      </w:r>
      <w:r>
        <w:rPr>
          <w:rFonts w:ascii="Times New Roman" w:hAnsi="Times New Roman"/>
          <w:caps w:val="false"/>
          <w:smallCaps w:val="false"/>
          <w:sz w:val="20"/>
          <w:u w:val="single"/>
        </w:rPr>
        <w:t>Non-Recourse</w:t>
      </w:r>
      <w:r>
        <w:rPr>
          <w:rFonts w:ascii="Times New Roman" w:hAnsi="Times New Roman"/>
          <w:caps w:val="false"/>
          <w:smallCaps w:val="false"/>
          <w:sz w:val="20"/>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(l)          </w:t>
      </w:r>
      <w:r>
        <w:rPr>
          <w:rFonts w:ascii="Times New Roman" w:hAnsi="Times New Roman"/>
          <w:caps w:val="false"/>
          <w:smallCaps w:val="false"/>
          <w:sz w:val="20"/>
          <w:u w:val="single"/>
        </w:rPr>
        <w:t>Specific Performance.</w:t>
      </w:r>
      <w:r>
        <w:rPr>
          <w:rFonts w:ascii="Times New Roman" w:hAnsi="Times New Roman"/>
          <w:caps w:val="false"/>
          <w:smallCaps w:val="false"/>
          <w:sz w:val="20"/>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(m)          </w:t>
      </w:r>
      <w:r>
        <w:rPr>
          <w:rFonts w:ascii="Times New Roman" w:hAnsi="Times New Roman"/>
          <w:caps w:val="false"/>
          <w:smallCaps w:val="false"/>
          <w:sz w:val="20"/>
          <w:u w:val="single"/>
        </w:rPr>
        <w:t>Cumulative Remedies</w:t>
      </w:r>
      <w:r>
        <w:rPr>
          <w:rFonts w:ascii="Times New Roman" w:hAnsi="Times New Roman"/>
          <w:caps w:val="false"/>
          <w:smallCaps w:val="false"/>
          <w:sz w:val="20"/>
        </w:rPr>
        <w:t>. The remedies provided herein are cumulative and not exclusive of any remedies provided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          </w:t>
      </w:r>
      <w:r>
        <w:rPr>
          <w:rFonts w:ascii="Times New Roman" w:hAnsi="Times New Roman"/>
          <w:caps w:val="false"/>
          <w:smallCaps w:val="false"/>
          <w:sz w:val="20"/>
          <w:u w:val="single"/>
        </w:rPr>
        <w:t>Confidentiality</w:t>
      </w:r>
      <w:r>
        <w:rPr>
          <w:rFonts w:ascii="Times New Roman" w:hAnsi="Times New Roman"/>
          <w:caps w:val="false"/>
          <w:smallCaps w:val="false"/>
          <w:sz w:val="20"/>
        </w:rPr>
        <w:t>. Each Investor shall keep confidential, and shall not disclose, divulge, or use for any purpose any confidential information obtained from the Company pursuant to the terms of this Agreement (including notice of the Company’s intention to file a registration statement) (collectively, “</w:t>
      </w:r>
      <w:r>
        <w:rPr>
          <w:rFonts w:ascii="Times New Roman" w:hAnsi="Times New Roman"/>
          <w:b/>
          <w:caps w:val="false"/>
          <w:smallCaps w:val="false"/>
          <w:sz w:val="20"/>
        </w:rPr>
        <w:t>Confidential Information</w:t>
      </w:r>
      <w:r>
        <w:rPr>
          <w:rFonts w:ascii="Times New Roman" w:hAnsi="Times New Roman"/>
          <w:caps w:val="false"/>
          <w:smallCaps w:val="false"/>
          <w:sz w:val="20"/>
        </w:rPr>
        <w:t xml:space="preserve">”), unless such Confidential Information (i) is known or becomes known to the public in general (other than as a result of a breach of this </w:t>
      </w:r>
      <w:r>
        <w:rPr>
          <w:rFonts w:ascii="Times New Roman" w:hAnsi="Times New Roman"/>
          <w:caps w:val="false"/>
          <w:smallCaps w:val="false"/>
          <w:sz w:val="20"/>
          <w:u w:val="single"/>
        </w:rPr>
        <w:t>Section 10(n)</w:t>
      </w:r>
      <w:r>
        <w:rPr>
          <w:rFonts w:ascii="Times New Roman" w:hAnsi="Times New Roman"/>
          <w:caps w:val="false"/>
          <w:smallCaps w:val="false"/>
          <w:sz w:val="20"/>
        </w:rPr>
        <w:t xml:space="preserve"> by such Investor), (ii) is or has been independently developed by any Investor without use of the Company’s confidential information, or (iii) is or has been made known or disclosed to any Investor by a third party on a non-confidential basis without a breach of any obligation of confidentiality such third party may have to the Company; provided, however, that any Investor may disclose Confidential Information (x) to its attorneys, accountants, consultants, and other professionals to the extent necessary to obtain their services in connection with monitoring its investment in the Company; or (y) as may otherwise be required by law, regulation, rule, court order or subpoena, provided that Investor promptly notifies the Company of such disclosure and takes reasonable steps to minimize the extent of any such required disclosure. The provisions of this </w:t>
      </w:r>
      <w:r>
        <w:rPr>
          <w:rFonts w:ascii="Times New Roman" w:hAnsi="Times New Roman"/>
          <w:caps w:val="false"/>
          <w:smallCaps w:val="false"/>
          <w:sz w:val="20"/>
          <w:u w:val="single"/>
        </w:rPr>
        <w:t>Section 10(n)</w:t>
      </w:r>
      <w:r>
        <w:rPr>
          <w:rFonts w:ascii="Times New Roman" w:hAnsi="Times New Roman"/>
          <w:caps w:val="false"/>
          <w:smallCaps w:val="false"/>
          <w:sz w:val="20"/>
        </w:rPr>
        <w:t xml:space="preserve"> will survive any termination or expiration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[Signature Page Follows]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have caused this Registration Rights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 w:name="signature-table3"/>
      <w:bookmarkStart w:id="15" w:name="signature-table3"/>
      <w:bookmarkEnd w:id="15"/>
    </w:p>
    <w:tbl>
      <w:tblPr>
        <w:tblW w:w="10205" w:type="dxa"/>
        <w:jc w:val="left"/>
        <w:tblInd w:w="0" w:type="dxa"/>
        <w:tblLayout w:type="fixed"/>
        <w:tblCellMar>
          <w:top w:w="0" w:type="dxa"/>
          <w:left w:w="0" w:type="dxa"/>
          <w:bottom w:w="0" w:type="dxa"/>
          <w:right w:w="0" w:type="dxa"/>
        </w:tblCellMar>
      </w:tblPr>
      <w:tblGrid>
        <w:gridCol w:w="6212"/>
        <w:gridCol w:w="318"/>
        <w:gridCol w:w="3675"/>
      </w:tblGrid>
      <w:tr>
        <w:trPr/>
        <w:tc>
          <w:tcPr>
            <w:tcW w:w="6212" w:type="dxa"/>
            <w:tcBorders/>
            <w:vAlign w:val="center"/>
          </w:tcPr>
          <w:p>
            <w:pPr>
              <w:pStyle w:val="TableContents"/>
              <w:bidi w:val="0"/>
              <w:spacing w:before="0" w:after="0"/>
              <w:ind w:left="0" w:right="0" w:hanging="0"/>
              <w:jc w:val="left"/>
              <w:rPr/>
            </w:pPr>
            <w:r>
              <w:rPr/>
              <w:t> </w:t>
            </w:r>
          </w:p>
        </w:tc>
        <w:tc>
          <w:tcPr>
            <w:tcW w:w="3993"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COMPANY: </w:t>
            </w:r>
          </w:p>
        </w:tc>
      </w:tr>
      <w:tr>
        <w:trPr/>
        <w:tc>
          <w:tcPr>
            <w:tcW w:w="6212" w:type="dxa"/>
            <w:tcBorders/>
            <w:vAlign w:val="center"/>
          </w:tcPr>
          <w:p>
            <w:pPr>
              <w:pStyle w:val="TableContents"/>
              <w:bidi w:val="0"/>
              <w:spacing w:before="0" w:after="0"/>
              <w:ind w:left="0" w:right="0" w:hanging="0"/>
              <w:jc w:val="left"/>
              <w:rPr/>
            </w:pPr>
            <w:r>
              <w:rPr/>
              <w:t> </w:t>
            </w:r>
          </w:p>
        </w:tc>
        <w:tc>
          <w:tcPr>
            <w:tcW w:w="3993" w:type="dxa"/>
            <w:gridSpan w:val="2"/>
            <w:tcBorders/>
            <w:vAlign w:val="center"/>
          </w:tcPr>
          <w:p>
            <w:pPr>
              <w:pStyle w:val="TableContents"/>
              <w:bidi w:val="0"/>
              <w:spacing w:before="0" w:after="0"/>
              <w:ind w:left="0" w:right="0" w:hanging="0"/>
              <w:jc w:val="left"/>
              <w:rPr/>
            </w:pPr>
            <w:r>
              <w:rPr/>
              <w:t> </w:t>
            </w:r>
          </w:p>
        </w:tc>
      </w:tr>
      <w:tr>
        <w:trPr/>
        <w:tc>
          <w:tcPr>
            <w:tcW w:w="6212" w:type="dxa"/>
            <w:tcBorders/>
            <w:vAlign w:val="center"/>
          </w:tcPr>
          <w:p>
            <w:pPr>
              <w:pStyle w:val="TableContents"/>
              <w:bidi w:val="0"/>
              <w:spacing w:before="0" w:after="0"/>
              <w:ind w:left="0" w:right="0" w:hanging="0"/>
              <w:jc w:val="left"/>
              <w:rPr/>
            </w:pPr>
            <w:r>
              <w:rPr/>
              <w:t> </w:t>
            </w:r>
          </w:p>
        </w:tc>
        <w:tc>
          <w:tcPr>
            <w:tcW w:w="3993" w:type="dxa"/>
            <w:gridSpan w:val="2"/>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HEALTHSTREAM, INC.</w:t>
            </w:r>
          </w:p>
        </w:tc>
      </w:tr>
      <w:tr>
        <w:trPr/>
        <w:tc>
          <w:tcPr>
            <w:tcW w:w="6212" w:type="dxa"/>
            <w:tcBorders/>
            <w:vAlign w:val="center"/>
          </w:tcPr>
          <w:p>
            <w:pPr>
              <w:pStyle w:val="TableContents"/>
              <w:bidi w:val="0"/>
              <w:spacing w:before="0" w:after="0"/>
              <w:ind w:left="0" w:right="0" w:hanging="0"/>
              <w:jc w:val="left"/>
              <w:rPr/>
            </w:pPr>
            <w:r>
              <w:rPr/>
              <w:t> </w:t>
            </w:r>
          </w:p>
        </w:tc>
        <w:tc>
          <w:tcPr>
            <w:tcW w:w="3993" w:type="dxa"/>
            <w:gridSpan w:val="2"/>
            <w:tcBorders/>
            <w:vAlign w:val="center"/>
          </w:tcPr>
          <w:p>
            <w:pPr>
              <w:pStyle w:val="TableContents"/>
              <w:bidi w:val="0"/>
              <w:spacing w:before="0" w:after="0"/>
              <w:ind w:left="0" w:right="0" w:hanging="0"/>
              <w:jc w:val="left"/>
              <w:rPr/>
            </w:pPr>
            <w:r>
              <w:rPr/>
              <w:t> </w:t>
            </w:r>
          </w:p>
        </w:tc>
      </w:tr>
      <w:tr>
        <w:trPr/>
        <w:tc>
          <w:tcPr>
            <w:tcW w:w="6212"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3675" w:type="dxa"/>
            <w:tcBorders/>
            <w:vAlign w:val="center"/>
          </w:tcPr>
          <w:p>
            <w:pPr>
              <w:pStyle w:val="TableContents"/>
              <w:bidi w:val="0"/>
              <w:spacing w:before="0" w:after="0"/>
              <w:ind w:left="0" w:right="0" w:hanging="0"/>
              <w:jc w:val="left"/>
              <w:rPr/>
            </w:pPr>
            <w:r>
              <w:rPr/>
              <w:t> </w:t>
            </w:r>
          </w:p>
        </w:tc>
      </w:tr>
      <w:tr>
        <w:trPr/>
        <w:tc>
          <w:tcPr>
            <w:tcW w:w="6212" w:type="dxa"/>
            <w:tcBorders/>
            <w:vAlign w:val="center"/>
          </w:tcPr>
          <w:p>
            <w:pPr>
              <w:pStyle w:val="TableContents"/>
              <w:bidi w:val="0"/>
              <w:spacing w:before="0" w:after="0"/>
              <w:ind w:left="0" w:right="0" w:hanging="0"/>
              <w:jc w:val="left"/>
              <w:rPr/>
            </w:pPr>
            <w:r>
              <w:rPr/>
              <w:t> </w:t>
            </w:r>
          </w:p>
        </w:tc>
        <w:tc>
          <w:tcPr>
            <w:tcW w:w="31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675"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Michael M. Collier</w:t>
            </w:r>
          </w:p>
        </w:tc>
      </w:tr>
      <w:tr>
        <w:trPr/>
        <w:tc>
          <w:tcPr>
            <w:tcW w:w="6212"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36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Michael M. Collier</w:t>
            </w:r>
          </w:p>
        </w:tc>
      </w:tr>
      <w:tr>
        <w:trPr/>
        <w:tc>
          <w:tcPr>
            <w:tcW w:w="6212"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36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Chief Operating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[Signature Page to Registration Rights Agreement]</w:t>
      </w:r>
      <w:r>
        <w:rPr>
          <w:rFonts w:ascii="Times New Roman" w:hAnsi="Times New Roman"/>
          <w:caps w:val="false"/>
          <w:smallCaps w:val="false"/>
          <w:sz w:val="20"/>
        </w:rPr>
        <w:t xml:space="preserve"> </w:t>
      </w:r>
    </w:p>
    <w:p>
      <w:pPr>
        <w:pStyle w:val="TextBody"/>
        <w:bidi w:val="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have caused this Registration Rights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 w:name="signature-table4"/>
      <w:bookmarkStart w:id="17" w:name="signature-table4"/>
      <w:bookmarkEnd w:id="17"/>
    </w:p>
    <w:tbl>
      <w:tblPr>
        <w:tblW w:w="10205" w:type="dxa"/>
        <w:jc w:val="left"/>
        <w:tblInd w:w="0" w:type="dxa"/>
        <w:tblLayout w:type="fixed"/>
        <w:tblCellMar>
          <w:top w:w="0" w:type="dxa"/>
          <w:left w:w="0" w:type="dxa"/>
          <w:bottom w:w="0" w:type="dxa"/>
          <w:right w:w="0" w:type="dxa"/>
        </w:tblCellMar>
      </w:tblPr>
      <w:tblGrid>
        <w:gridCol w:w="5502"/>
        <w:gridCol w:w="534"/>
        <w:gridCol w:w="4169"/>
      </w:tblGrid>
      <w:tr>
        <w:trPr/>
        <w:tc>
          <w:tcPr>
            <w:tcW w:w="5502" w:type="dxa"/>
            <w:tcBorders/>
            <w:vAlign w:val="center"/>
          </w:tcPr>
          <w:p>
            <w:pPr>
              <w:pStyle w:val="TableContents"/>
              <w:bidi w:val="0"/>
              <w:spacing w:before="0" w:after="0"/>
              <w:ind w:left="0" w:right="0" w:hanging="0"/>
              <w:jc w:val="left"/>
              <w:rPr/>
            </w:pPr>
            <w:r>
              <w:rPr/>
              <w:t> </w:t>
            </w:r>
          </w:p>
        </w:tc>
        <w:tc>
          <w:tcPr>
            <w:tcW w:w="4703"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INVESTOR: </w:t>
            </w:r>
          </w:p>
        </w:tc>
      </w:tr>
      <w:tr>
        <w:trPr/>
        <w:tc>
          <w:tcPr>
            <w:tcW w:w="5502" w:type="dxa"/>
            <w:tcBorders/>
            <w:vAlign w:val="center"/>
          </w:tcPr>
          <w:p>
            <w:pPr>
              <w:pStyle w:val="TableContents"/>
              <w:bidi w:val="0"/>
              <w:spacing w:before="0" w:after="0"/>
              <w:ind w:left="0" w:right="0" w:hanging="0"/>
              <w:jc w:val="left"/>
              <w:rPr/>
            </w:pPr>
            <w:r>
              <w:rPr/>
              <w:t> </w:t>
            </w:r>
          </w:p>
        </w:tc>
        <w:tc>
          <w:tcPr>
            <w:tcW w:w="4703" w:type="dxa"/>
            <w:gridSpan w:val="2"/>
            <w:tcBorders/>
            <w:vAlign w:val="center"/>
          </w:tcPr>
          <w:p>
            <w:pPr>
              <w:pStyle w:val="TableContents"/>
              <w:bidi w:val="0"/>
              <w:spacing w:before="0" w:after="0"/>
              <w:ind w:left="0" w:right="0" w:hanging="0"/>
              <w:jc w:val="left"/>
              <w:rPr/>
            </w:pPr>
            <w:r>
              <w:rPr/>
              <w:t> </w:t>
            </w:r>
          </w:p>
        </w:tc>
      </w:tr>
      <w:tr>
        <w:trPr/>
        <w:tc>
          <w:tcPr>
            <w:tcW w:w="5502" w:type="dxa"/>
            <w:tcBorders/>
            <w:vAlign w:val="center"/>
          </w:tcPr>
          <w:p>
            <w:pPr>
              <w:pStyle w:val="TableContents"/>
              <w:bidi w:val="0"/>
              <w:spacing w:before="0" w:after="0"/>
              <w:ind w:left="0" w:right="0" w:hanging="0"/>
              <w:jc w:val="left"/>
              <w:rPr/>
            </w:pPr>
            <w:r>
              <w:rPr/>
              <w:t> </w:t>
            </w:r>
          </w:p>
        </w:tc>
        <w:tc>
          <w:tcPr>
            <w:tcW w:w="4703" w:type="dxa"/>
            <w:gridSpan w:val="2"/>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WJRJJ VENTURES, LLC</w:t>
            </w:r>
          </w:p>
        </w:tc>
      </w:tr>
      <w:tr>
        <w:trPr/>
        <w:tc>
          <w:tcPr>
            <w:tcW w:w="5502" w:type="dxa"/>
            <w:tcBorders/>
            <w:vAlign w:val="center"/>
          </w:tcPr>
          <w:p>
            <w:pPr>
              <w:pStyle w:val="TableContents"/>
              <w:bidi w:val="0"/>
              <w:spacing w:before="0" w:after="0"/>
              <w:ind w:left="0" w:right="0" w:hanging="0"/>
              <w:jc w:val="left"/>
              <w:rPr/>
            </w:pPr>
            <w:r>
              <w:rPr/>
              <w:t> </w:t>
            </w:r>
          </w:p>
        </w:tc>
        <w:tc>
          <w:tcPr>
            <w:tcW w:w="4703" w:type="dxa"/>
            <w:gridSpan w:val="2"/>
            <w:tcBorders/>
            <w:vAlign w:val="center"/>
          </w:tcPr>
          <w:p>
            <w:pPr>
              <w:pStyle w:val="TableContents"/>
              <w:bidi w:val="0"/>
              <w:spacing w:before="0" w:after="0"/>
              <w:ind w:left="0" w:right="0" w:hanging="0"/>
              <w:jc w:val="left"/>
              <w:rPr/>
            </w:pPr>
            <w:r>
              <w:rPr/>
              <w:t> </w:t>
            </w:r>
          </w:p>
        </w:tc>
      </w:tr>
      <w:tr>
        <w:trPr/>
        <w:tc>
          <w:tcPr>
            <w:tcW w:w="5502"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left"/>
              <w:rPr/>
            </w:pPr>
            <w:r>
              <w:rPr/>
              <w:t> </w:t>
            </w:r>
          </w:p>
        </w:tc>
        <w:tc>
          <w:tcPr>
            <w:tcW w:w="4169" w:type="dxa"/>
            <w:tcBorders/>
            <w:vAlign w:val="center"/>
          </w:tcPr>
          <w:p>
            <w:pPr>
              <w:pStyle w:val="TableContents"/>
              <w:bidi w:val="0"/>
              <w:spacing w:before="0" w:after="0"/>
              <w:ind w:left="0" w:right="0" w:hanging="0"/>
              <w:jc w:val="left"/>
              <w:rPr/>
            </w:pPr>
            <w:r>
              <w:rPr/>
              <w:t> </w:t>
            </w:r>
          </w:p>
        </w:tc>
      </w:tr>
      <w:tr>
        <w:trPr/>
        <w:tc>
          <w:tcPr>
            <w:tcW w:w="5502" w:type="dxa"/>
            <w:tcBorders/>
            <w:vAlign w:val="center"/>
          </w:tcPr>
          <w:p>
            <w:pPr>
              <w:pStyle w:val="TableContents"/>
              <w:bidi w:val="0"/>
              <w:spacing w:before="0" w:after="0"/>
              <w:ind w:left="0" w:right="0" w:hanging="0"/>
              <w:jc w:val="left"/>
              <w:rPr/>
            </w:pPr>
            <w:r>
              <w:rPr/>
              <w:t> </w:t>
            </w:r>
          </w:p>
        </w:tc>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169"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/Willis Johnson</w:t>
            </w:r>
          </w:p>
        </w:tc>
      </w:tr>
      <w:tr>
        <w:trPr/>
        <w:tc>
          <w:tcPr>
            <w:tcW w:w="5502"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left"/>
              <w:rPr/>
            </w:pPr>
            <w:r>
              <w:rPr/>
              <w:t> </w:t>
            </w:r>
          </w:p>
        </w:tc>
        <w:tc>
          <w:tcPr>
            <w:tcW w:w="4169" w:type="dxa"/>
            <w:tcBorders/>
            <w:vAlign w:val="center"/>
          </w:tcPr>
          <w:p>
            <w:pPr>
              <w:pStyle w:val="TableContents"/>
              <w:bidi w:val="0"/>
              <w:spacing w:before="0" w:after="0"/>
              <w:ind w:left="0" w:right="0" w:hanging="0"/>
              <w:jc w:val="left"/>
              <w:rPr/>
            </w:pPr>
            <w:r>
              <w:rPr/>
              <w:t> </w:t>
            </w:r>
          </w:p>
        </w:tc>
      </w:tr>
      <w:tr>
        <w:trPr/>
        <w:tc>
          <w:tcPr>
            <w:tcW w:w="5502"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w:t>
            </w:r>
          </w:p>
        </w:tc>
        <w:tc>
          <w:tcPr>
            <w:tcW w:w="41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Willis Johnson</w:t>
            </w:r>
          </w:p>
        </w:tc>
      </w:tr>
      <w:tr>
        <w:trPr/>
        <w:tc>
          <w:tcPr>
            <w:tcW w:w="5502"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left"/>
              <w:rPr/>
            </w:pPr>
            <w:r>
              <w:rPr/>
              <w:t> </w:t>
            </w:r>
          </w:p>
        </w:tc>
        <w:tc>
          <w:tcPr>
            <w:tcW w:w="4169" w:type="dxa"/>
            <w:tcBorders/>
            <w:vAlign w:val="center"/>
          </w:tcPr>
          <w:p>
            <w:pPr>
              <w:pStyle w:val="TableContents"/>
              <w:bidi w:val="0"/>
              <w:spacing w:before="0" w:after="0"/>
              <w:ind w:left="0" w:right="0" w:hanging="0"/>
              <w:jc w:val="left"/>
              <w:rPr/>
            </w:pPr>
            <w:r>
              <w:rPr/>
              <w:t> </w:t>
            </w:r>
          </w:p>
        </w:tc>
      </w:tr>
      <w:tr>
        <w:trPr/>
        <w:tc>
          <w:tcPr>
            <w:tcW w:w="5502"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w:t>
            </w:r>
          </w:p>
        </w:tc>
        <w:tc>
          <w:tcPr>
            <w:tcW w:w="41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i/>
          <w:caps w:val="false"/>
          <w:smallCaps w:val="false"/>
          <w:sz w:val="20"/>
        </w:rPr>
        <w:t>[Signature Page to Registration Rights Agreement]</w:t>
      </w:r>
      <w:r>
        <w:rPr>
          <w:rFonts w:ascii="Times New Roman" w:hAnsi="Times New Roman"/>
          <w:caps w:val="false"/>
          <w:smallCaps w:val="false"/>
          <w:sz w:val="20"/>
        </w:rPr>
        <w:t xml:space="preserve"> </w:t>
      </w:r>
    </w:p>
    <w:p>
      <w:pPr>
        <w:pStyle w:val="TextBody"/>
        <w:bidi w:val="0"/>
        <w:spacing w:before="0" w:after="0"/>
        <w:ind w:left="432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PLAN OF DISTRIBUTION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[Omitted.]</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Investor Questionnaire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18" w:name="ex_1016299.htm"/>
      <w:bookmarkStart w:id="19" w:name="ksex_1016299"/>
      <w:bookmarkEnd w:id="18"/>
      <w:bookmarkEnd w:id="19"/>
      <w:r>
        <w:rPr>
          <w:rFonts w:ascii="Times New Roman;Times;serif" w:hAnsi="Times New Roman;Times;serif"/>
          <w:b/>
          <w:sz w:val="20"/>
        </w:rPr>
        <w:t>Exhibit 99.1</w:t>
      </w:r>
      <w:r>
        <w:br w:type="page"/>
      </w:r>
    </w:p>
    <w:tbl>
      <w:tblPr>
        <w:tblW w:w="4977" w:type="dxa"/>
        <w:jc w:val="left"/>
        <w:tblInd w:w="0" w:type="dxa"/>
        <w:tblLayout w:type="fixed"/>
        <w:tblCellMar>
          <w:top w:w="28" w:type="dxa"/>
          <w:left w:w="28" w:type="dxa"/>
          <w:bottom w:w="28" w:type="dxa"/>
          <w:right w:w="28" w:type="dxa"/>
        </w:tblCellMar>
      </w:tblPr>
      <w:tblGrid>
        <w:gridCol w:w="1681"/>
        <w:gridCol w:w="3296"/>
      </w:tblGrid>
      <w:tr>
        <w:trPr/>
        <w:tc>
          <w:tcPr>
            <w:tcW w:w="168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PRESS RELEASE</w:t>
            </w:r>
          </w:p>
        </w:tc>
        <w:tc>
          <w:tcPr>
            <w:tcW w:w="3296" w:type="dxa"/>
            <w:tcBorders/>
            <w:vAlign w:val="center"/>
          </w:tcPr>
          <w:p>
            <w:pPr>
              <w:pStyle w:val="TableContents"/>
              <w:bidi w:val="0"/>
              <w:spacing w:before="0" w:after="0"/>
              <w:ind w:left="0" w:right="0" w:hanging="0"/>
              <w:jc w:val="right"/>
              <w:rPr/>
            </w:pPr>
            <w:r>
              <w:rPr/>
              <w:drawing>
                <wp:inline distT="0" distB="0" distL="0" distR="0">
                  <wp:extent cx="200977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33337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2015"/>
        <w:gridCol w:w="2750"/>
      </w:tblGrid>
      <w:tr>
        <w:trPr/>
        <w:tc>
          <w:tcPr>
            <w:tcW w:w="201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For Immediate Release: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Contact: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Mollie Condra, Ph.D.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Head, Investor Relations &amp;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Communications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HealthStream, Inc.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(615) 301-3237</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mollie.condra@healthstream.com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HealthStream Completes $40 Million Private Placement of </w:t>
      </w:r>
      <w:r>
        <w:rPr>
          <w:rFonts w:ascii="Times New Roman" w:hAnsi="Times New Roman"/>
          <w:caps w:val="false"/>
          <w:smallCaps w:val="false"/>
          <w:sz w:val="32"/>
        </w:rPr>
        <w:t xml:space="preserve"> </w:t>
        <w:br/>
      </w:r>
      <w:r>
        <w:rPr>
          <w:rFonts w:ascii="Times New Roman" w:hAnsi="Times New Roman"/>
          <w:b/>
          <w:caps w:val="false"/>
          <w:smallCaps w:val="false"/>
          <w:sz w:val="32"/>
        </w:rPr>
        <w:t>Its Common Stock</w:t>
      </w:r>
      <w:r>
        <w:rPr>
          <w:rFonts w:ascii="Times New Roman" w:hAnsi="Times New Roman"/>
          <w:caps w:val="false"/>
          <w:smallCaps w:val="false"/>
          <w:sz w:val="3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NASHVILLE, Tenn., Sept. 15, 2026</w:t>
      </w:r>
      <w:r>
        <w:rPr>
          <w:rFonts w:ascii="Times New Roman" w:hAnsi="Times New Roman"/>
          <w:caps w:val="false"/>
          <w:smallCaps w:val="false"/>
          <w:sz w:val="20"/>
        </w:rPr>
        <w:t xml:space="preserve"> – HealthStream, Inc. (Nasdaq: HSTM) (the “Company”), a leading healthcare technology platform company for clinical workforce solutions, today announced the completion of a private placement transaction through which WJRJJ Ventures, LLC (“WJRJJ”) acquired a total of 1.5 million shares of the Company’s common stock. In this transaction, the Company issued 1,355,932 shares of common stock to WJRJJ for approximately $40 million in cash at a purchase price of $29.50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WJRJJ acquired 144,068 shares of existing HealthStream common stock in this transaction directly from Robert A. Frist, Jr., the Company’s Chief Executive Officer, for approximately $4.25 million in cash, also for a purchase price of $29.50 per share. Mr. Frist remains the Company’s largest shareholder and beneficially owns approximately 16.4% of the Company’s issued and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Use of proceeds. </w:t>
      </w:r>
      <w:r>
        <w:rPr>
          <w:rFonts w:ascii="Times New Roman" w:hAnsi="Times New Roman"/>
          <w:caps w:val="false"/>
          <w:smallCaps w:val="false"/>
          <w:sz w:val="20"/>
        </w:rPr>
        <w:t>HealthStream intends to use the net proceeds it received from this transaction for general corporate purposes, including continued investment in its solutions, working capital, potential acquisitions, and other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Investor background. </w:t>
      </w:r>
      <w:r>
        <w:rPr>
          <w:rFonts w:ascii="Times New Roman" w:hAnsi="Times New Roman"/>
          <w:caps w:val="false"/>
          <w:smallCaps w:val="false"/>
          <w:sz w:val="20"/>
        </w:rPr>
        <w:t>WJRJJ is owned by Willis Johnson, a Nashville-area entrepreneur who founded and serves as Chairman of Copart, Inc. (Nasdaq: CPRT), a multi-billion-dollar online vehicle salvage and auction company. In addition to his role at Copart, Mr. Johnson was the initial investor in Empath Nursing, Inc. (“Empath”), which was founded by its Chief Executive Officer, Dr. Peter Lindquist, DNP, in August 2025. Empath provides clinical workforce development and clinical operations solutions to healthcare provider organizations. Recognizing the complementary nature of Empath’s mission and its potential for growth, HealthStream made a minority investment in Empath in January 2026 and currently holds an approximately five percent ownership interest in Empath. HealthStream and Empath also have a business agreement under which they share in the economic benefits generated from Empath’s use of HealthStream’s hStream® technology platform and related solutions to help find, assess, develop, engage, and retain the nurses Empath offers in connection with its staffing and operational services. Through his work with Empath, Mr. Johnson became familiar with HealthStream and, recognizing the growth potential he sees in the Company, expressed a desire to acquire shares of HealthStream.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We are pleased to welcome Mr. Johnson as a significant shareholder of HealthStream,” said Robert A. Frist, Jr., Chief Executive Officer, HealthStream. “This investment reflects confidence in our team, our strategy, and the opportunity ahead of us as a business, and it further strengthens our position to continue investing in our long-term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I am drawn to founder-led companies where the person who built the business remains deeply invested in where it is headed next,” said Mr. Johnson. “I came to know Bobby Frist and the HealthStream team through my work with Empath, and the more I learned about HealthStream’s technology and the role it plays in Empath’s growth, the more confident I became in the Company’s long-term potential. I am excited to invest in and support HealthStream’s work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77" w:type="dxa"/>
        <w:jc w:val="left"/>
        <w:tblInd w:w="0" w:type="dxa"/>
        <w:tblLayout w:type="fixed"/>
        <w:tblCellMar>
          <w:top w:w="28" w:type="dxa"/>
          <w:left w:w="28" w:type="dxa"/>
          <w:bottom w:w="28" w:type="dxa"/>
          <w:right w:w="28" w:type="dxa"/>
        </w:tblCellMar>
      </w:tblPr>
      <w:tblGrid>
        <w:gridCol w:w="1681"/>
        <w:gridCol w:w="3296"/>
      </w:tblGrid>
      <w:tr>
        <w:trPr/>
        <w:tc>
          <w:tcPr>
            <w:tcW w:w="168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PRESS RELEASE</w:t>
            </w:r>
          </w:p>
        </w:tc>
        <w:tc>
          <w:tcPr>
            <w:tcW w:w="3296" w:type="dxa"/>
            <w:tcBorders/>
            <w:vAlign w:val="center"/>
          </w:tcPr>
          <w:p>
            <w:pPr>
              <w:pStyle w:val="TableContents"/>
              <w:bidi w:val="0"/>
              <w:spacing w:before="0" w:after="0"/>
              <w:ind w:left="0" w:right="0" w:hanging="0"/>
              <w:jc w:val="right"/>
              <w:rPr/>
            </w:pPr>
            <w:r>
              <w:rPr/>
              <w:drawing>
                <wp:inline distT="0" distB="0" distL="0" distR="0">
                  <wp:extent cx="2009775"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9775" cy="3333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Transaction terms. </w:t>
      </w:r>
      <w:r>
        <w:rPr>
          <w:rFonts w:ascii="Times New Roman" w:hAnsi="Times New Roman"/>
          <w:caps w:val="false"/>
          <w:smallCaps w:val="false"/>
          <w:sz w:val="20"/>
        </w:rPr>
        <w:t>The issuance of shares to WJRJJ was not registered under the Securities Act of 1933, as amended (the “Securities Act”), and was offered and sold in reliance on exemptions from registration, including under Section 4(a)(2) of the Securities Act. In connection with the transaction, HealthStream has also entered into a registration rights agreement providing registration rights to WJRJJ covering the resale of the shares purchased from the Company and from Mr. Frist. The transaction closed on 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This press release does not constitute an offer to sell or a solicitation of an offer to buy any securities, nor shall there be any sale of these securities in any state or jurisdiction in which such offer, solicitation, or sale would be unlawful.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HealthStream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HealthStream (Nasdaq: HSTM) is the healthcare industry’s largest ecosystem of platform-delivered clinical workforce solutions that empowers healthcare professionals to do what they do best: deliver excellence in patient care. For more information, visit http://www.healthstream.com.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This press release includes certain forward-looking statements (statements other than solely with respect to historical fact) that involve risks and uncertainties regarding HealthStream. These statements are based upon management</w:t>
      </w:r>
      <w:r>
        <w:rPr>
          <w:rFonts w:ascii="Times New Roman" w:hAnsi="Times New Roman"/>
          <w:caps w:val="false"/>
          <w:smallCaps w:val="false"/>
          <w:sz w:val="20"/>
        </w:rPr>
        <w:t>’</w:t>
      </w:r>
      <w:r>
        <w:rPr>
          <w:rFonts w:ascii="Times New Roman" w:hAnsi="Times New Roman"/>
          <w:i/>
          <w:caps w:val="false"/>
          <w:smallCaps w:val="false"/>
          <w:sz w:val="20"/>
        </w:rPr>
        <w:t xml:space="preserve">s beliefs, as well as assumptions made by and data currently available to management. This information has been provided in reliance on the </w:t>
      </w:r>
      <w:r>
        <w:rPr>
          <w:rFonts w:ascii="Times New Roman" w:hAnsi="Times New Roman"/>
          <w:caps w:val="false"/>
          <w:smallCaps w:val="false"/>
          <w:sz w:val="20"/>
        </w:rPr>
        <w:t>“</w:t>
      </w:r>
      <w:r>
        <w:rPr>
          <w:rFonts w:ascii="Times New Roman" w:hAnsi="Times New Roman"/>
          <w:i/>
          <w:caps w:val="false"/>
          <w:smallCaps w:val="false"/>
          <w:sz w:val="20"/>
        </w:rPr>
        <w:t>safe harbor</w:t>
      </w:r>
      <w:r>
        <w:rPr>
          <w:rFonts w:ascii="Times New Roman" w:hAnsi="Times New Roman"/>
          <w:caps w:val="false"/>
          <w:smallCaps w:val="false"/>
          <w:sz w:val="20"/>
        </w:rPr>
        <w:t xml:space="preserve">” </w:t>
      </w:r>
      <w:r>
        <w:rPr>
          <w:rFonts w:ascii="Times New Roman" w:hAnsi="Times New Roman"/>
          <w:i/>
          <w:caps w:val="false"/>
          <w:smallCaps w:val="false"/>
          <w:sz w:val="20"/>
        </w:rPr>
        <w:t>provisions of the Private Securities Litigation Reform Act of 1995. HealthStream cautions that forward-looking statements involve known and unknown risks, uncertainties, and other factors that may cause actual results, performance, or achievements to be materially different from future results, performance, or achievements expressed or implied by such forward-looking statements, including as the result of risks referenced in HealthStream</w:t>
      </w:r>
      <w:r>
        <w:rPr>
          <w:rFonts w:ascii="Times New Roman" w:hAnsi="Times New Roman"/>
          <w:caps w:val="false"/>
          <w:smallCaps w:val="false"/>
          <w:sz w:val="20"/>
        </w:rPr>
        <w:t>’</w:t>
      </w:r>
      <w:r>
        <w:rPr>
          <w:rFonts w:ascii="Times New Roman" w:hAnsi="Times New Roman"/>
          <w:i/>
          <w:caps w:val="false"/>
          <w:smallCaps w:val="false"/>
          <w:sz w:val="20"/>
        </w:rPr>
        <w:t>s Annual Report on Form 10-K for the year ended December 31, 2025, filed on February 27, 2026, and in HealthStream</w:t>
      </w:r>
      <w:r>
        <w:rPr>
          <w:rFonts w:ascii="Times New Roman" w:hAnsi="Times New Roman"/>
          <w:caps w:val="false"/>
          <w:smallCaps w:val="false"/>
          <w:sz w:val="20"/>
        </w:rPr>
        <w:t>’</w:t>
      </w:r>
      <w:r>
        <w:rPr>
          <w:rFonts w:ascii="Times New Roman" w:hAnsi="Times New Roman"/>
          <w:i/>
          <w:caps w:val="false"/>
          <w:smallCaps w:val="false"/>
          <w:sz w:val="20"/>
        </w:rPr>
        <w:t>s other filings with the Securities and Exchange Commission from time to time. HealthStream undertakes no obligation to update or revise any such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right"/>
        <w:rPr>
          <w:rFonts w:ascii="Times New Roman" w:hAnsi="Times New Roman"/>
          <w:caps w:val="false"/>
          <w:smallCaps w:val="false"/>
          <w:sz w:val="20"/>
        </w:rPr>
      </w:pPr>
      <w:r>
        <w:rPr>
          <w:rFonts w:ascii="Times New Roman" w:hAnsi="Times New Roman"/>
          <w:caps w:val="false"/>
          <w:smallCaps w:val="false"/>
          <w:sz w:val="2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28673</Words>
  <Characters>155152</Characters>
  <CharactersWithSpaces>184876</CharactersWithSpaces>
  <Paragraphs>1067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