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-215265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49"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82" w:lineRule="exact"/>
        <w:rPr>
          <w:sz w:val="24"/>
          <w:szCs w:val="24"/>
          <w:color w:val="auto"/>
        </w:rPr>
      </w:pPr>
    </w:p>
    <w:tbl>
      <w:tblPr>
        <w:tblLayout w:type="fixed"/>
        <w:tblInd w:w="1620" w:type="dxa"/>
        <w:tblCellMar>
          <w:top w:w="0" w:type="dxa"/>
          <w:left w:w="0" w:type="dxa"/>
          <w:bottom w:w="0" w:type="dxa"/>
          <w:right w:w="0" w:type="dxa"/>
        </w:tblCellMar>
      </w:tblPr>
      <w:tr>
        <w:trPr>
          <w:trHeight w:val="231"/>
        </w:trPr>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 xml:space="preserve">For the quarterly period ended </w:t>
            </w:r>
            <w:r>
              <w:rPr>
                <w:rFonts w:ascii="Arial" w:cs="Arial" w:eastAsia="Arial" w:hAnsi="Arial"/>
                <w:sz w:val="18"/>
                <w:szCs w:val="18"/>
                <w:color w:val="auto"/>
                <w:w w:val="87"/>
              </w:rPr>
              <w:t>September 30, 2018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1"/>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gridSpan w:val="3"/>
          </w:tcPr>
          <w:p>
            <w:pPr>
              <w:jc w:val="center"/>
              <w:ind w:right="20"/>
              <w:spacing w:after="0" w:line="207" w:lineRule="exact"/>
              <w:rPr>
                <w:sz w:val="20"/>
                <w:szCs w:val="20"/>
                <w:color w:val="auto"/>
              </w:rPr>
            </w:pPr>
            <w:r>
              <w:rPr>
                <w:rFonts w:ascii="Arial" w:cs="Arial" w:eastAsia="Arial" w:hAnsi="Arial"/>
                <w:sz w:val="18"/>
                <w:szCs w:val="18"/>
                <w:b w:val="1"/>
                <w:bCs w:val="1"/>
                <w:color w:val="auto"/>
                <w:w w:val="87"/>
              </w:rPr>
              <w:t>Commission File No.: 000</w:t>
            </w:r>
            <w:r>
              <w:rPr>
                <w:rFonts w:ascii="MS PGothic" w:cs="MS PGothic" w:eastAsia="MS PGothic" w:hAnsi="MS PGothic"/>
                <w:sz w:val="18"/>
                <w:szCs w:val="18"/>
                <w:b w:val="1"/>
                <w:bCs w:val="1"/>
                <w:color w:val="auto"/>
                <w:w w:val="87"/>
              </w:rPr>
              <w:t>‑</w:t>
            </w:r>
            <w:r>
              <w:rPr>
                <w:rFonts w:ascii="Arial" w:cs="Arial" w:eastAsia="Arial" w:hAnsi="Arial"/>
                <w:sz w:val="18"/>
                <w:szCs w:val="18"/>
                <w:b w:val="1"/>
                <w:bCs w:val="1"/>
                <w:color w:val="auto"/>
                <w:w w:val="87"/>
              </w:rPr>
              <w:t>27701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52"/>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gridSpan w:val="3"/>
          </w:tcPr>
          <w:p>
            <w:pPr>
              <w:jc w:val="center"/>
              <w:ind w:right="40"/>
              <w:spacing w:after="0"/>
              <w:rPr>
                <w:sz w:val="20"/>
                <w:szCs w:val="20"/>
                <w:color w:val="auto"/>
              </w:rPr>
            </w:pPr>
            <w:r>
              <w:rPr>
                <w:rFonts w:ascii="Arial" w:cs="Arial" w:eastAsia="Arial" w:hAnsi="Arial"/>
                <w:sz w:val="43"/>
                <w:szCs w:val="43"/>
                <w:b w:val="1"/>
                <w:bCs w:val="1"/>
                <w:color w:val="auto"/>
                <w:w w:val="91"/>
              </w:rPr>
              <w:t>HealthStream, Inc.</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1"/>
        </w:trPr>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(Exact name of registrant as specified in its charter)</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3"/>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Tennessee</w:t>
            </w:r>
          </w:p>
        </w:tc>
        <w:tc>
          <w:tcPr>
            <w:tcW w:w="460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line="207" w:lineRule="exact"/>
              <w:rPr>
                <w:sz w:val="20"/>
                <w:szCs w:val="20"/>
                <w:color w:val="auto"/>
              </w:rPr>
            </w:pPr>
            <w:r>
              <w:rPr>
                <w:rFonts w:ascii="Arial" w:cs="Arial" w:eastAsia="Arial" w:hAnsi="Arial"/>
                <w:sz w:val="18"/>
                <w:szCs w:val="18"/>
                <w:b w:val="1"/>
                <w:bCs w:val="1"/>
                <w:color w:val="auto"/>
                <w:w w:val="89"/>
              </w:rPr>
              <w:t>62</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1443555</w:t>
            </w:r>
          </w:p>
        </w:tc>
        <w:tc>
          <w:tcPr>
            <w:tcW w:w="120" w:type="dxa"/>
            <w:vAlign w:val="bottom"/>
          </w:tcPr>
          <w:p>
            <w:pPr>
              <w:spacing w:after="0"/>
              <w:rPr>
                <w:sz w:val="24"/>
                <w:szCs w:val="24"/>
                <w:color w:val="auto"/>
              </w:rPr>
            </w:pPr>
          </w:p>
        </w:tc>
      </w:tr>
      <w:tr>
        <w:trPr>
          <w:trHeight w:val="145"/>
        </w:trPr>
        <w:tc>
          <w:tcPr>
            <w:tcW w:w="6220" w:type="dxa"/>
            <w:vAlign w:val="bottom"/>
            <w:gridSpan w:val="7"/>
          </w:tcPr>
          <w:p>
            <w:pPr>
              <w:jc w:val="center"/>
              <w:ind w:right="3740"/>
              <w:spacing w:after="0" w:line="145" w:lineRule="exact"/>
              <w:rPr>
                <w:sz w:val="20"/>
                <w:szCs w:val="20"/>
                <w:color w:val="auto"/>
              </w:rPr>
            </w:pPr>
            <w:r>
              <w:rPr>
                <w:rFonts w:ascii="Arial" w:cs="Arial" w:eastAsia="Arial" w:hAnsi="Arial"/>
                <w:sz w:val="14"/>
                <w:szCs w:val="14"/>
                <w:b w:val="1"/>
                <w:bCs w:val="1"/>
                <w:color w:val="auto"/>
                <w:w w:val="89"/>
              </w:rPr>
              <w:t>(State or other jurisdiction of</w:t>
            </w:r>
          </w:p>
        </w:tc>
        <w:tc>
          <w:tcPr>
            <w:tcW w:w="1280" w:type="dxa"/>
            <w:vAlign w:val="bottom"/>
            <w:gridSpan w:val="5"/>
          </w:tcPr>
          <w:p>
            <w:pPr>
              <w:jc w:val="center"/>
              <w:ind w:left="123"/>
              <w:spacing w:after="0" w:line="145" w:lineRule="exact"/>
              <w:rPr>
                <w:sz w:val="20"/>
                <w:szCs w:val="20"/>
                <w:color w:val="auto"/>
              </w:rPr>
            </w:pPr>
            <w:r>
              <w:rPr>
                <w:rFonts w:ascii="Arial" w:cs="Arial" w:eastAsia="Arial" w:hAnsi="Arial"/>
                <w:sz w:val="14"/>
                <w:szCs w:val="14"/>
                <w:b w:val="1"/>
                <w:bCs w:val="1"/>
                <w:color w:val="auto"/>
                <w:w w:val="93"/>
              </w:rPr>
              <w:t>(I.R.S. Employer</w:t>
            </w:r>
          </w:p>
        </w:tc>
      </w:tr>
      <w:tr>
        <w:trPr>
          <w:trHeight w:val="185"/>
        </w:trPr>
        <w:tc>
          <w:tcPr>
            <w:tcW w:w="6220" w:type="dxa"/>
            <w:vAlign w:val="bottom"/>
            <w:gridSpan w:val="7"/>
          </w:tcPr>
          <w:p>
            <w:pPr>
              <w:jc w:val="center"/>
              <w:ind w:right="3740"/>
              <w:spacing w:after="0"/>
              <w:rPr>
                <w:sz w:val="20"/>
                <w:szCs w:val="20"/>
                <w:color w:val="auto"/>
              </w:rPr>
            </w:pPr>
            <w:r>
              <w:rPr>
                <w:rFonts w:ascii="Arial" w:cs="Arial" w:eastAsia="Arial" w:hAnsi="Arial"/>
                <w:sz w:val="14"/>
                <w:szCs w:val="14"/>
                <w:b w:val="1"/>
                <w:bCs w:val="1"/>
                <w:color w:val="auto"/>
                <w:w w:val="90"/>
              </w:rPr>
              <w:t>incorporation or organization)</w:t>
            </w:r>
          </w:p>
        </w:tc>
        <w:tc>
          <w:tcPr>
            <w:tcW w:w="1280" w:type="dxa"/>
            <w:vAlign w:val="bottom"/>
            <w:gridSpan w:val="5"/>
          </w:tcPr>
          <w:p>
            <w:pPr>
              <w:jc w:val="center"/>
              <w:ind w:left="103"/>
              <w:spacing w:after="0"/>
              <w:rPr>
                <w:sz w:val="20"/>
                <w:szCs w:val="20"/>
                <w:color w:val="auto"/>
              </w:rPr>
            </w:pPr>
            <w:r>
              <w:rPr>
                <w:rFonts w:ascii="Arial" w:cs="Arial" w:eastAsia="Arial" w:hAnsi="Arial"/>
                <w:sz w:val="14"/>
                <w:szCs w:val="14"/>
                <w:b w:val="1"/>
                <w:bCs w:val="1"/>
                <w:color w:val="auto"/>
                <w:w w:val="92"/>
              </w:rPr>
              <w:t>Identification No.)</w:t>
            </w:r>
          </w:p>
        </w:tc>
      </w:tr>
      <w:tr>
        <w:trPr>
          <w:trHeight w:val="328"/>
        </w:trPr>
        <w:tc>
          <w:tcPr>
            <w:tcW w:w="6220" w:type="dxa"/>
            <w:vAlign w:val="bottom"/>
            <w:gridSpan w:val="7"/>
          </w:tcPr>
          <w:p>
            <w:pPr>
              <w:jc w:val="center"/>
              <w:ind w:right="3740"/>
              <w:spacing w:after="0"/>
              <w:rPr>
                <w:sz w:val="20"/>
                <w:szCs w:val="20"/>
                <w:color w:val="auto"/>
              </w:rPr>
            </w:pPr>
            <w:r>
              <w:rPr>
                <w:rFonts w:ascii="Arial" w:cs="Arial" w:eastAsia="Arial" w:hAnsi="Arial"/>
                <w:sz w:val="18"/>
                <w:szCs w:val="18"/>
                <w:b w:val="1"/>
                <w:bCs w:val="1"/>
                <w:color w:val="auto"/>
                <w:w w:val="86"/>
              </w:rPr>
              <w:t>209 10th Avenue South, Suite 450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480" w:type="dxa"/>
            <w:vAlign w:val="bottom"/>
          </w:tcPr>
          <w:p>
            <w:pPr>
              <w:spacing w:after="0"/>
              <w:rPr>
                <w:sz w:val="16"/>
                <w:szCs w:val="16"/>
                <w:color w:val="auto"/>
              </w:rPr>
            </w:pPr>
          </w:p>
        </w:tc>
        <w:tc>
          <w:tcPr>
            <w:tcW w:w="5740" w:type="dxa"/>
            <w:vAlign w:val="bottom"/>
            <w:gridSpan w:val="6"/>
          </w:tcPr>
          <w:p>
            <w:pPr>
              <w:jc w:val="center"/>
              <w:ind w:right="4220"/>
              <w:spacing w:after="0" w:line="192" w:lineRule="exact"/>
              <w:rPr>
                <w:sz w:val="20"/>
                <w:szCs w:val="20"/>
                <w:color w:val="auto"/>
              </w:rPr>
            </w:pPr>
            <w:r>
              <w:rPr>
                <w:rFonts w:ascii="Arial" w:cs="Arial" w:eastAsia="Arial" w:hAnsi="Arial"/>
                <w:sz w:val="18"/>
                <w:szCs w:val="18"/>
                <w:b w:val="1"/>
                <w:bCs w:val="1"/>
                <w:color w:val="auto"/>
                <w:w w:val="83"/>
              </w:rPr>
              <w:t>Nashville, Tennessee</w:t>
            </w:r>
          </w:p>
        </w:tc>
        <w:tc>
          <w:tcPr>
            <w:tcW w:w="1160" w:type="dxa"/>
            <w:vAlign w:val="bottom"/>
            <w:gridSpan w:val="4"/>
          </w:tcPr>
          <w:p>
            <w:pPr>
              <w:jc w:val="right"/>
              <w:ind w:right="200"/>
              <w:spacing w:after="0" w:line="192" w:lineRule="exact"/>
              <w:rPr>
                <w:sz w:val="20"/>
                <w:szCs w:val="20"/>
                <w:color w:val="auto"/>
              </w:rPr>
            </w:pPr>
            <w:r>
              <w:rPr>
                <w:rFonts w:ascii="Arial" w:cs="Arial" w:eastAsia="Arial" w:hAnsi="Arial"/>
                <w:sz w:val="18"/>
                <w:szCs w:val="18"/>
                <w:b w:val="1"/>
                <w:bCs w:val="1"/>
                <w:color w:val="auto"/>
              </w:rPr>
              <w:t>37203</w:t>
            </w:r>
          </w:p>
        </w:tc>
        <w:tc>
          <w:tcPr>
            <w:tcW w:w="12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83"/>
        </w:trPr>
        <w:tc>
          <w:tcPr>
            <w:tcW w:w="6220" w:type="dxa"/>
            <w:vAlign w:val="bottom"/>
            <w:gridSpan w:val="7"/>
          </w:tcPr>
          <w:p>
            <w:pPr>
              <w:jc w:val="center"/>
              <w:ind w:right="374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300" w:type="dxa"/>
            <w:vAlign w:val="bottom"/>
          </w:tcPr>
          <w:p>
            <w:pPr>
              <w:spacing w:after="0"/>
              <w:rPr>
                <w:sz w:val="15"/>
                <w:szCs w:val="15"/>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(Zip Code)</w:t>
            </w:r>
          </w:p>
        </w:tc>
      </w:tr>
      <w:tr>
        <w:trPr>
          <w:trHeight w:val="386"/>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8"/>
                <w:szCs w:val="18"/>
                <w:b w:val="1"/>
                <w:bCs w:val="1"/>
                <w:color w:val="auto"/>
                <w:w w:val="91"/>
              </w:rPr>
              <w:t>(615) 301</w:t>
            </w:r>
            <w:r>
              <w:rPr>
                <w:rFonts w:ascii="MS PGothic" w:cs="MS PGothic" w:eastAsia="MS PGothic" w:hAnsi="MS PGothic"/>
                <w:sz w:val="18"/>
                <w:szCs w:val="18"/>
                <w:b w:val="1"/>
                <w:bCs w:val="1"/>
                <w:color w:val="auto"/>
                <w:w w:val="91"/>
              </w:rPr>
              <w:t>‑</w:t>
            </w:r>
            <w:r>
              <w:rPr>
                <w:rFonts w:ascii="Arial" w:cs="Arial" w:eastAsia="Arial" w:hAnsi="Arial"/>
                <w:sz w:val="18"/>
                <w:szCs w:val="18"/>
                <w:b w:val="1"/>
                <w:bCs w:val="1"/>
                <w:color w:val="auto"/>
                <w:w w:val="91"/>
              </w:rPr>
              <w:t>3100</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44"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spacing w:after="0" w:line="23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7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4"/>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7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0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147" w:lineRule="exact"/>
        <w:rPr>
          <w:sz w:val="24"/>
          <w:szCs w:val="24"/>
          <w:color w:val="auto"/>
        </w:rPr>
      </w:pPr>
    </w:p>
    <w:p>
      <w:pPr>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2" w:lineRule="exact"/>
        <w:rPr>
          <w:sz w:val="24"/>
          <w:szCs w:val="24"/>
          <w:color w:val="auto"/>
        </w:rPr>
      </w:pPr>
    </w:p>
    <w:p>
      <w:pPr>
        <w:ind w:right="2480"/>
        <w:spacing w:after="0" w:line="32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26, 2018, there were 32,325,409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247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128905</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906780</wp:posOffset>
            </wp:positionV>
            <wp:extent cx="729043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 w:name="page2"/>
    <w:bookmarkEnd w:id="1"/>
    <w:p>
      <w:pPr>
        <w:jc w:val="center"/>
        <w:ind w:right="20"/>
        <w:spacing w:after="0" w:line="207" w:lineRule="exact"/>
        <w:rPr>
          <w:sz w:val="20"/>
          <w:szCs w:val="20"/>
          <w:color w:val="auto"/>
        </w:rPr>
      </w:pPr>
      <w:r>
        <w:rPr>
          <w:rFonts w:ascii="Arial" w:cs="Arial" w:eastAsia="Arial" w:hAnsi="Arial"/>
          <w:sz w:val="18"/>
          <w:szCs w:val="18"/>
          <w:b w:val="1"/>
          <w:bCs w:val="1"/>
          <w:color w:val="auto"/>
        </w:rPr>
        <w:t>Index to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HEALTHSTREAM,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Page</w:t>
            </w:r>
          </w:p>
        </w:tc>
      </w:tr>
      <w:tr>
        <w:trPr>
          <w:trHeight w:val="170"/>
        </w:trPr>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4"/>
                <w:szCs w:val="14"/>
                <w:color w:val="auto"/>
              </w:rPr>
            </w:pPr>
          </w:p>
        </w:tc>
      </w:tr>
      <w:tr>
        <w:trPr>
          <w:trHeight w:val="288"/>
        </w:trPr>
        <w:tc>
          <w:tcPr>
            <w:tcW w:w="1060" w:type="dxa"/>
            <w:vAlign w:val="bottom"/>
          </w:tcPr>
          <w:p>
            <w:pPr>
              <w:spacing w:after="0"/>
              <w:rPr>
                <w:sz w:val="20"/>
                <w:szCs w:val="20"/>
                <w:color w:val="auto"/>
              </w:rPr>
            </w:pPr>
            <w:r>
              <w:rPr>
                <w:rFonts w:ascii="Arial" w:cs="Arial" w:eastAsia="Arial" w:hAnsi="Arial"/>
                <w:sz w:val="18"/>
                <w:szCs w:val="18"/>
                <w:color w:val="auto"/>
              </w:rPr>
              <w:t>Part I.</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Information</w:t>
              </w:r>
            </w:hyperlink>
          </w:p>
        </w:tc>
        <w:tc>
          <w:tcPr>
            <w:tcW w:w="7940" w:type="dxa"/>
            <w:vAlign w:val="bottom"/>
            <w:gridSpan w:val="10"/>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10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15"/>
        </w:trPr>
        <w:tc>
          <w:tcPr>
            <w:tcW w:w="1060" w:type="dxa"/>
            <w:vAlign w:val="bottom"/>
          </w:tcPr>
          <w:p>
            <w:pPr>
              <w:spacing w:after="0"/>
              <w:rPr>
                <w:sz w:val="24"/>
                <w:szCs w:val="24"/>
                <w:color w:val="auto"/>
              </w:rPr>
            </w:pPr>
          </w:p>
        </w:tc>
        <w:tc>
          <w:tcPr>
            <w:tcW w:w="7000" w:type="dxa"/>
            <w:vAlign w:val="bottom"/>
            <w:tcBorders>
              <w:bottom w:val="single" w:sz="8" w:color="0000EE"/>
            </w:tcBorders>
            <w:gridSpan w:val="11"/>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 (Unaudited) – September 30, 2018 and December 31, 2017</w:t>
              </w:r>
            </w:hyperlink>
          </w:p>
        </w:tc>
        <w:tc>
          <w:tcPr>
            <w:tcW w:w="2460" w:type="dxa"/>
            <w:vAlign w:val="bottom"/>
            <w:gridSpan w:val="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15"/>
        </w:trPr>
        <w:tc>
          <w:tcPr>
            <w:tcW w:w="1060" w:type="dxa"/>
            <w:vAlign w:val="bottom"/>
          </w:tcPr>
          <w:p>
            <w:pPr>
              <w:spacing w:after="0"/>
              <w:rPr>
                <w:sz w:val="24"/>
                <w:szCs w:val="24"/>
                <w:color w:val="auto"/>
              </w:rPr>
            </w:pPr>
          </w:p>
        </w:tc>
        <w:tc>
          <w:tcPr>
            <w:tcW w:w="86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Income (Unaudited) – Three and Nine Months Ended September 30, 2018 and 2017</w:t>
              </w:r>
            </w:hyperlink>
          </w:p>
        </w:tc>
        <w:tc>
          <w:tcPr>
            <w:tcW w:w="82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315"/>
        </w:trPr>
        <w:tc>
          <w:tcPr>
            <w:tcW w:w="1060" w:type="dxa"/>
            <w:vAlign w:val="bottom"/>
          </w:tcPr>
          <w:p>
            <w:pPr>
              <w:spacing w:after="0"/>
              <w:rPr>
                <w:sz w:val="24"/>
                <w:szCs w:val="24"/>
                <w:color w:val="auto"/>
              </w:rPr>
            </w:pPr>
          </w:p>
        </w:tc>
        <w:tc>
          <w:tcPr>
            <w:tcW w:w="93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(Unaudited) – Three and Nine Months Ended September 30, 2018</w:t>
              </w:r>
            </w:hyperlink>
          </w:p>
        </w:tc>
        <w:tc>
          <w:tcPr>
            <w:tcW w:w="1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194"/>
        </w:trPr>
        <w:tc>
          <w:tcPr>
            <w:tcW w:w="1060" w:type="dxa"/>
            <w:vAlign w:val="bottom"/>
          </w:tcPr>
          <w:p>
            <w:pPr>
              <w:spacing w:after="0"/>
              <w:rPr>
                <w:sz w:val="16"/>
                <w:szCs w:val="16"/>
                <w:color w:val="auto"/>
              </w:rPr>
            </w:pPr>
          </w:p>
        </w:tc>
        <w:tc>
          <w:tcPr>
            <w:tcW w:w="640" w:type="dxa"/>
            <w:vAlign w:val="bottom"/>
            <w:tcBorders>
              <w:bottom w:val="single" w:sz="8" w:color="0000EE"/>
            </w:tcBorders>
            <w:gridSpan w:val="2"/>
          </w:tcPr>
          <w:p>
            <w:pPr>
              <w:spacing w:after="0" w:line="195" w:lineRule="exact"/>
              <w:rPr>
                <w:rFonts w:ascii="Arial" w:cs="Arial" w:eastAsia="Arial" w:hAnsi="Arial"/>
                <w:sz w:val="18"/>
                <w:szCs w:val="18"/>
                <w:color w:val="0000EE"/>
                <w:w w:val="82"/>
              </w:rPr>
            </w:pPr>
            <w:hyperlink w:anchor="page5">
              <w:r>
                <w:rPr>
                  <w:rFonts w:ascii="Arial" w:cs="Arial" w:eastAsia="Arial" w:hAnsi="Arial"/>
                  <w:sz w:val="18"/>
                  <w:szCs w:val="18"/>
                  <w:color w:val="0000EE"/>
                  <w:w w:val="82"/>
                </w:rPr>
                <w:t>and 2017</w:t>
              </w:r>
            </w:hyperlink>
          </w:p>
        </w:tc>
        <w:tc>
          <w:tcPr>
            <w:tcW w:w="8820" w:type="dxa"/>
            <w:vAlign w:val="bottom"/>
            <w:gridSpan w:val="14"/>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15"/>
        </w:trPr>
        <w:tc>
          <w:tcPr>
            <w:tcW w:w="1060" w:type="dxa"/>
            <w:vAlign w:val="bottom"/>
          </w:tcPr>
          <w:p>
            <w:pPr>
              <w:spacing w:after="0"/>
              <w:rPr>
                <w:sz w:val="24"/>
                <w:szCs w:val="24"/>
                <w:color w:val="auto"/>
              </w:rPr>
            </w:pPr>
          </w:p>
        </w:tc>
        <w:tc>
          <w:tcPr>
            <w:tcW w:w="806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 of Shareholders' Equity (Unaudited) – Nine Months Ended September 30, 2018</w:t>
              </w:r>
            </w:hyperlink>
          </w:p>
        </w:tc>
        <w:tc>
          <w:tcPr>
            <w:tcW w:w="1400" w:type="dxa"/>
            <w:vAlign w:val="bottom"/>
            <w:gridSpan w:val="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315"/>
        </w:trPr>
        <w:tc>
          <w:tcPr>
            <w:tcW w:w="1060" w:type="dxa"/>
            <w:vAlign w:val="bottom"/>
          </w:tcPr>
          <w:p>
            <w:pPr>
              <w:spacing w:after="0"/>
              <w:rPr>
                <w:sz w:val="24"/>
                <w:szCs w:val="24"/>
                <w:color w:val="auto"/>
              </w:rPr>
            </w:pPr>
          </w:p>
        </w:tc>
        <w:tc>
          <w:tcPr>
            <w:tcW w:w="94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 – Nine Months Ended September 30, 2018 and 2017</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315"/>
        </w:trPr>
        <w:tc>
          <w:tcPr>
            <w:tcW w:w="1060" w:type="dxa"/>
            <w:vAlign w:val="bottom"/>
          </w:tcPr>
          <w:p>
            <w:pPr>
              <w:spacing w:after="0"/>
              <w:rPr>
                <w:sz w:val="24"/>
                <w:szCs w:val="24"/>
                <w:color w:val="auto"/>
              </w:rPr>
            </w:pPr>
          </w:p>
        </w:tc>
        <w:tc>
          <w:tcPr>
            <w:tcW w:w="8180" w:type="dxa"/>
            <w:vAlign w:val="bottom"/>
            <w:tcBorders>
              <w:top w:val="single" w:sz="8" w:color="0000EE"/>
            </w:tcBorders>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28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10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41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Quantitative and Qualitative Disclosures about Market Risk</w:t>
              </w:r>
            </w:hyperlink>
          </w:p>
        </w:tc>
        <w:tc>
          <w:tcPr>
            <w:tcW w:w="2060" w:type="dxa"/>
            <w:vAlign w:val="bottom"/>
            <w:tcBorders>
              <w:top w:val="single" w:sz="8" w:color="0000EE"/>
            </w:tcBorders>
            <w:gridSpan w:val="2"/>
          </w:tcPr>
          <w:p>
            <w:pPr>
              <w:spacing w:after="0"/>
              <w:rPr>
                <w:sz w:val="24"/>
                <w:szCs w:val="24"/>
                <w:color w:val="auto"/>
              </w:rPr>
            </w:pPr>
          </w:p>
        </w:tc>
        <w:tc>
          <w:tcPr>
            <w:tcW w:w="3240" w:type="dxa"/>
            <w:vAlign w:val="bottom"/>
            <w:gridSpan w:val="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46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Part II.</w:t>
            </w:r>
          </w:p>
        </w:tc>
        <w:tc>
          <w:tcPr>
            <w:tcW w:w="1700" w:type="dxa"/>
            <w:vAlign w:val="bottom"/>
            <w:tcBorders>
              <w:top w:val="single" w:sz="8" w:color="0000EE"/>
            </w:tcBorders>
            <w:gridSpan w:val="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7760" w:type="dxa"/>
            <w:vAlign w:val="bottom"/>
            <w:gridSpan w:val="9"/>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315"/>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Exhibits</w:t>
              </w:r>
            </w:hyperlink>
          </w:p>
        </w:tc>
        <w:tc>
          <w:tcPr>
            <w:tcW w:w="680" w:type="dxa"/>
            <w:vAlign w:val="bottom"/>
            <w:tcBorders>
              <w:top w:val="single" w:sz="8" w:color="0000EE"/>
            </w:tcBorders>
            <w:gridSpan w:val="3"/>
          </w:tcPr>
          <w:p>
            <w:pPr>
              <w:spacing w:after="0"/>
              <w:rPr>
                <w:sz w:val="24"/>
                <w:szCs w:val="24"/>
                <w:color w:val="auto"/>
              </w:rPr>
            </w:pPr>
          </w:p>
        </w:tc>
        <w:tc>
          <w:tcPr>
            <w:tcW w:w="8200" w:type="dxa"/>
            <w:vAlign w:val="bottom"/>
            <w:gridSpan w:val="1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315"/>
        </w:trPr>
        <w:tc>
          <w:tcPr>
            <w:tcW w:w="1060" w:type="dxa"/>
            <w:vAlign w:val="bottom"/>
          </w:tcPr>
          <w:p>
            <w:pPr>
              <w:spacing w:after="0"/>
              <w:rPr>
                <w:sz w:val="24"/>
                <w:szCs w:val="24"/>
                <w:color w:val="auto"/>
              </w:rPr>
            </w:pPr>
          </w:p>
        </w:tc>
        <w:tc>
          <w:tcPr>
            <w:tcW w:w="946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1713"/>
        </w:trPr>
        <w:tc>
          <w:tcPr>
            <w:tcW w:w="106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0"/>
        </w:trPr>
        <w:tc>
          <w:tcPr>
            <w:tcW w:w="680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07"/>
        </w:trPr>
        <w:tc>
          <w:tcPr>
            <w:tcW w:w="6800" w:type="dxa"/>
            <w:vAlign w:val="bottom"/>
            <w:shd w:val="clear" w:color="auto" w:fill="CFF0FC"/>
          </w:tcPr>
          <w:p>
            <w:pPr>
              <w:ind w:left="3540"/>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6800" w:type="dxa"/>
            <w:vAlign w:val="bottom"/>
          </w:tcPr>
          <w:p>
            <w:pPr>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130,283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84,768</w:t>
            </w:r>
          </w:p>
        </w:tc>
        <w:tc>
          <w:tcPr>
            <w:tcW w:w="100" w:type="dxa"/>
            <w:vAlign w:val="bottom"/>
            <w:shd w:val="clear" w:color="auto" w:fill="CFF0FC"/>
          </w:tcPr>
          <w:p>
            <w:pPr>
              <w:spacing w:after="0"/>
              <w:rPr>
                <w:sz w:val="18"/>
                <w:szCs w:val="18"/>
                <w:color w:val="auto"/>
              </w:rPr>
            </w:pPr>
          </w:p>
        </w:tc>
      </w:tr>
      <w:tr>
        <w:trPr>
          <w:trHeight w:val="211"/>
        </w:trPr>
        <w:tc>
          <w:tcPr>
            <w:tcW w:w="6800" w:type="dxa"/>
            <w:vAlign w:val="bottom"/>
          </w:tcPr>
          <w:p>
            <w:pPr>
              <w:ind w:left="260"/>
              <w:spacing w:after="0"/>
              <w:rPr>
                <w:sz w:val="20"/>
                <w:szCs w:val="20"/>
                <w:color w:val="auto"/>
              </w:rPr>
            </w:pPr>
            <w:r>
              <w:rPr>
                <w:rFonts w:ascii="Arial" w:cs="Arial" w:eastAsia="Arial" w:hAnsi="Arial"/>
                <w:sz w:val="16"/>
                <w:szCs w:val="16"/>
                <w:color w:val="auto"/>
              </w:rPr>
              <w:t>Marketable securities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44,025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46,350</w:t>
            </w:r>
          </w:p>
        </w:tc>
        <w:tc>
          <w:tcPr>
            <w:tcW w:w="100" w:type="dxa"/>
            <w:vAlign w:val="bottom"/>
          </w:tcPr>
          <w:p>
            <w:pPr>
              <w:spacing w:after="0"/>
              <w:rPr>
                <w:sz w:val="18"/>
                <w:szCs w:val="18"/>
                <w:color w:val="auto"/>
              </w:rPr>
            </w:pPr>
          </w:p>
        </w:tc>
      </w:tr>
      <w:tr>
        <w:trPr>
          <w:trHeight w:val="207"/>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 of allowance for doubtful accounts of $1,112 and</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6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$1,979 at September 30, 2018 and December 31, 2017, respectively</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28,835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36,691</w:t>
            </w:r>
          </w:p>
        </w:tc>
        <w:tc>
          <w:tcPr>
            <w:tcW w:w="100" w:type="dxa"/>
            <w:vAlign w:val="bottom"/>
            <w:shd w:val="clear" w:color="auto" w:fill="CFF0FC"/>
          </w:tcPr>
          <w:p>
            <w:pPr>
              <w:spacing w:after="0"/>
              <w:rPr>
                <w:sz w:val="18"/>
                <w:szCs w:val="18"/>
                <w:color w:val="auto"/>
              </w:rPr>
            </w:pPr>
          </w:p>
        </w:tc>
      </w:tr>
      <w:tr>
        <w:trPr>
          <w:trHeight w:val="211"/>
        </w:trPr>
        <w:tc>
          <w:tcPr>
            <w:tcW w:w="6800" w:type="dxa"/>
            <w:vAlign w:val="bottom"/>
          </w:tcPr>
          <w:p>
            <w:pPr>
              <w:ind w:left="260"/>
              <w:spacing w:after="0"/>
              <w:rPr>
                <w:sz w:val="20"/>
                <w:szCs w:val="20"/>
                <w:color w:val="auto"/>
              </w:rPr>
            </w:pPr>
            <w:r>
              <w:rPr>
                <w:rFonts w:ascii="Arial" w:cs="Arial" w:eastAsia="Arial" w:hAnsi="Arial"/>
                <w:sz w:val="16"/>
                <w:szCs w:val="16"/>
                <w:color w:val="auto"/>
              </w:rPr>
              <w:t>Accounts receivable - unbilled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2,597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18"/>
                <w:szCs w:val="18"/>
                <w:color w:val="auto"/>
              </w:rPr>
            </w:pPr>
          </w:p>
        </w:tc>
      </w:tr>
      <w:tr>
        <w:trPr>
          <w:trHeight w:val="217"/>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royalties, net of amortization</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16,137</w:t>
            </w:r>
          </w:p>
        </w:tc>
        <w:tc>
          <w:tcPr>
            <w:tcW w:w="100" w:type="dxa"/>
            <w:vAlign w:val="bottom"/>
            <w:shd w:val="clear" w:color="auto" w:fill="CFF0FC"/>
          </w:tcPr>
          <w:p>
            <w:pPr>
              <w:spacing w:after="0"/>
              <w:rPr>
                <w:sz w:val="18"/>
                <w:szCs w:val="18"/>
                <w:color w:val="auto"/>
              </w:rPr>
            </w:pPr>
          </w:p>
        </w:tc>
      </w:tr>
      <w:tr>
        <w:trPr>
          <w:trHeight w:val="211"/>
        </w:trPr>
        <w:tc>
          <w:tcPr>
            <w:tcW w:w="6800" w:type="dxa"/>
            <w:vAlign w:val="bottom"/>
          </w:tcPr>
          <w:p>
            <w:pPr>
              <w:ind w:left="260"/>
              <w:spacing w:after="0"/>
              <w:rPr>
                <w:sz w:val="20"/>
                <w:szCs w:val="20"/>
                <w:color w:val="auto"/>
              </w:rPr>
            </w:pPr>
            <w:r>
              <w:rPr>
                <w:rFonts w:ascii="Arial" w:cs="Arial" w:eastAsia="Arial" w:hAnsi="Arial"/>
                <w:sz w:val="16"/>
                <w:szCs w:val="16"/>
                <w:color w:val="auto"/>
              </w:rPr>
              <w:t>Other prepaid expenses and other current assets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8,330</w:t>
            </w:r>
          </w:p>
        </w:tc>
        <w:tc>
          <w:tcPr>
            <w:tcW w:w="100" w:type="dxa"/>
            <w:vAlign w:val="bottom"/>
          </w:tcPr>
          <w:p>
            <w:pPr>
              <w:spacing w:after="0"/>
              <w:rPr>
                <w:sz w:val="18"/>
                <w:szCs w:val="18"/>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assets of discontinued operations</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6,125</w:t>
            </w:r>
          </w:p>
        </w:tc>
        <w:tc>
          <w:tcPr>
            <w:tcW w:w="100" w:type="dxa"/>
            <w:vAlign w:val="bottom"/>
            <w:shd w:val="clear" w:color="auto" w:fill="CFF0FC"/>
          </w:tcPr>
          <w:p>
            <w:pPr>
              <w:spacing w:after="0"/>
              <w:rPr>
                <w:sz w:val="20"/>
                <w:szCs w:val="20"/>
                <w:color w:val="auto"/>
              </w:rPr>
            </w:pPr>
          </w:p>
        </w:tc>
      </w:tr>
      <w:tr>
        <w:trPr>
          <w:trHeight w:val="205"/>
        </w:trPr>
        <w:tc>
          <w:tcPr>
            <w:tcW w:w="68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230,659</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199,728</w:t>
            </w:r>
          </w:p>
        </w:tc>
        <w:tc>
          <w:tcPr>
            <w:tcW w:w="100" w:type="dxa"/>
            <w:vAlign w:val="bottom"/>
          </w:tcPr>
          <w:p>
            <w:pPr>
              <w:spacing w:after="0"/>
              <w:rPr>
                <w:sz w:val="17"/>
                <w:szCs w:val="17"/>
                <w:color w:val="auto"/>
              </w:rPr>
            </w:pPr>
          </w:p>
        </w:tc>
      </w:tr>
      <w:tr>
        <w:trPr>
          <w:trHeight w:val="217"/>
        </w:trPr>
        <w:tc>
          <w:tcPr>
            <w:tcW w:w="68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4"/>
        </w:trPr>
        <w:tc>
          <w:tcPr>
            <w:tcW w:w="680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 of $28,497 and</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6800" w:type="dxa"/>
            <w:vAlign w:val="bottom"/>
          </w:tcPr>
          <w:p>
            <w:pPr>
              <w:ind w:left="120"/>
              <w:spacing w:after="0"/>
              <w:rPr>
                <w:sz w:val="20"/>
                <w:szCs w:val="20"/>
                <w:color w:val="auto"/>
              </w:rPr>
            </w:pPr>
            <w:r>
              <w:rPr>
                <w:rFonts w:ascii="Arial" w:cs="Arial" w:eastAsia="Arial" w:hAnsi="Arial"/>
                <w:sz w:val="16"/>
                <w:szCs w:val="16"/>
                <w:color w:val="auto"/>
              </w:rPr>
              <w:t>$24,392 at September 30, 2018 and December 31, 2017, respectively</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8,092</w:t>
            </w:r>
          </w:p>
        </w:tc>
        <w:tc>
          <w:tcPr>
            <w:tcW w:w="100" w:type="dxa"/>
            <w:vAlign w:val="bottom"/>
          </w:tcPr>
          <w:p>
            <w:pPr>
              <w:spacing w:after="0"/>
              <w:rPr>
                <w:sz w:val="18"/>
                <w:szCs w:val="18"/>
                <w:color w:val="auto"/>
              </w:rPr>
            </w:pPr>
          </w:p>
        </w:tc>
      </w:tr>
      <w:tr>
        <w:trPr>
          <w:trHeight w:val="207"/>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Capitalized software development, net of accumulated amortization of $44,316 and</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6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$37,174 at September 30, 2018 and December 31, 2017, respectively</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16,014</w:t>
            </w:r>
          </w:p>
        </w:tc>
        <w:tc>
          <w:tcPr>
            <w:tcW w:w="100" w:type="dxa"/>
            <w:vAlign w:val="bottom"/>
            <w:shd w:val="clear" w:color="auto" w:fill="CFF0FC"/>
          </w:tcPr>
          <w:p>
            <w:pPr>
              <w:spacing w:after="0"/>
              <w:rPr>
                <w:sz w:val="18"/>
                <w:szCs w:val="18"/>
                <w:color w:val="auto"/>
              </w:rPr>
            </w:pPr>
          </w:p>
        </w:tc>
      </w:tr>
      <w:tr>
        <w:trPr>
          <w:trHeight w:val="211"/>
        </w:trPr>
        <w:tc>
          <w:tcPr>
            <w:tcW w:w="6800" w:type="dxa"/>
            <w:vAlign w:val="bottom"/>
          </w:tcPr>
          <w:p>
            <w:pPr>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86,144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86,144</w:t>
            </w:r>
          </w:p>
        </w:tc>
        <w:tc>
          <w:tcPr>
            <w:tcW w:w="100" w:type="dxa"/>
            <w:vAlign w:val="bottom"/>
          </w:tcPr>
          <w:p>
            <w:pPr>
              <w:spacing w:after="0"/>
              <w:rPr>
                <w:sz w:val="18"/>
                <w:szCs w:val="18"/>
                <w:color w:val="auto"/>
              </w:rPr>
            </w:pPr>
          </w:p>
        </w:tc>
      </w:tr>
      <w:tr>
        <w:trPr>
          <w:trHeight w:val="207"/>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Customer-related intangibles, net of accumulated amortization of $21,692 and</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6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$17,033 at September 30, 2018 and December 31, 2017, respectively</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55,022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59,681</w:t>
            </w:r>
          </w:p>
        </w:tc>
        <w:tc>
          <w:tcPr>
            <w:tcW w:w="100" w:type="dxa"/>
            <w:vAlign w:val="bottom"/>
            <w:shd w:val="clear" w:color="auto" w:fill="CFF0FC"/>
          </w:tcPr>
          <w:p>
            <w:pPr>
              <w:spacing w:after="0"/>
              <w:rPr>
                <w:sz w:val="18"/>
                <w:szCs w:val="18"/>
                <w:color w:val="auto"/>
              </w:rPr>
            </w:pPr>
          </w:p>
        </w:tc>
      </w:tr>
      <w:tr>
        <w:trPr>
          <w:trHeight w:val="204"/>
        </w:trPr>
        <w:tc>
          <w:tcPr>
            <w:tcW w:w="6800" w:type="dxa"/>
            <w:vAlign w:val="bottom"/>
          </w:tcPr>
          <w:p>
            <w:pPr>
              <w:spacing w:after="0"/>
              <w:rPr>
                <w:sz w:val="20"/>
                <w:szCs w:val="20"/>
                <w:color w:val="auto"/>
              </w:rPr>
            </w:pPr>
            <w:r>
              <w:rPr>
                <w:rFonts w:ascii="Arial" w:cs="Arial" w:eastAsia="Arial" w:hAnsi="Arial"/>
                <w:sz w:val="16"/>
                <w:szCs w:val="16"/>
                <w:color w:val="auto"/>
              </w:rPr>
              <w:t>Other intangible assets, net of accumulated amortization of $9,896 and</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6800" w:type="dxa"/>
            <w:vAlign w:val="bottom"/>
          </w:tcPr>
          <w:p>
            <w:pPr>
              <w:ind w:left="120"/>
              <w:spacing w:after="0"/>
              <w:rPr>
                <w:sz w:val="20"/>
                <w:szCs w:val="20"/>
                <w:color w:val="auto"/>
              </w:rPr>
            </w:pPr>
            <w:r>
              <w:rPr>
                <w:rFonts w:ascii="Arial" w:cs="Arial" w:eastAsia="Arial" w:hAnsi="Arial"/>
                <w:sz w:val="16"/>
                <w:szCs w:val="16"/>
                <w:color w:val="auto"/>
              </w:rPr>
              <w:t>$7,708 at September 30, 2018 and December 31, 2017, respectively</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8,816</w:t>
            </w:r>
          </w:p>
        </w:tc>
        <w:tc>
          <w:tcPr>
            <w:tcW w:w="100" w:type="dxa"/>
            <w:vAlign w:val="bottom"/>
          </w:tcPr>
          <w:p>
            <w:pPr>
              <w:spacing w:after="0"/>
              <w:rPr>
                <w:sz w:val="18"/>
                <w:szCs w:val="18"/>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FF0FC"/>
          </w:tcPr>
          <w:p>
            <w:pPr>
              <w:spacing w:after="0"/>
              <w:rPr>
                <w:sz w:val="20"/>
                <w:szCs w:val="20"/>
                <w:color w:val="auto"/>
              </w:rPr>
            </w:pPr>
          </w:p>
        </w:tc>
      </w:tr>
      <w:tr>
        <w:trPr>
          <w:trHeight w:val="227"/>
        </w:trPr>
        <w:tc>
          <w:tcPr>
            <w:tcW w:w="6800" w:type="dxa"/>
            <w:vAlign w:val="bottom"/>
          </w:tcPr>
          <w:p>
            <w:pPr>
              <w:spacing w:after="0"/>
              <w:rPr>
                <w:sz w:val="20"/>
                <w:szCs w:val="20"/>
                <w:color w:val="auto"/>
              </w:rPr>
            </w:pPr>
            <w:r>
              <w:rPr>
                <w:rFonts w:ascii="Arial" w:cs="Arial" w:eastAsia="Arial" w:hAnsi="Arial"/>
                <w:sz w:val="16"/>
                <w:szCs w:val="16"/>
                <w:color w:val="auto"/>
              </w:rPr>
              <w:t>Deferred commissions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13,474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4"/>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Non-marketable equity investments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3,772</w:t>
            </w:r>
          </w:p>
        </w:tc>
        <w:tc>
          <w:tcPr>
            <w:tcW w:w="100" w:type="dxa"/>
            <w:vAlign w:val="bottom"/>
            <w:shd w:val="clear" w:color="auto" w:fill="CFF0FC"/>
          </w:tcPr>
          <w:p>
            <w:pPr>
              <w:spacing w:after="0"/>
              <w:rPr>
                <w:sz w:val="18"/>
                <w:szCs w:val="18"/>
                <w:color w:val="auto"/>
              </w:rPr>
            </w:pPr>
          </w:p>
        </w:tc>
      </w:tr>
      <w:tr>
        <w:trPr>
          <w:trHeight w:val="211"/>
        </w:trPr>
        <w:tc>
          <w:tcPr>
            <w:tcW w:w="6800" w:type="dxa"/>
            <w:vAlign w:val="bottom"/>
          </w:tcPr>
          <w:p>
            <w:pPr>
              <w:spacing w:after="0"/>
              <w:rPr>
                <w:sz w:val="20"/>
                <w:szCs w:val="20"/>
                <w:color w:val="auto"/>
              </w:rPr>
            </w:pPr>
            <w:r>
              <w:rPr>
                <w:rFonts w:ascii="Arial" w:cs="Arial" w:eastAsia="Arial" w:hAnsi="Arial"/>
                <w:sz w:val="16"/>
                <w:szCs w:val="16"/>
                <w:color w:val="auto"/>
              </w:rPr>
              <w:t>Other assets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Long-term assets of discontinued operations</w:t>
            </w:r>
          </w:p>
        </w:tc>
        <w:tc>
          <w:tcPr>
            <w:tcW w:w="10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28,073</w:t>
            </w:r>
          </w:p>
        </w:tc>
        <w:tc>
          <w:tcPr>
            <w:tcW w:w="100" w:type="dxa"/>
            <w:vAlign w:val="bottom"/>
            <w:shd w:val="clear" w:color="auto" w:fill="CFF0FC"/>
          </w:tcPr>
          <w:p>
            <w:pPr>
              <w:spacing w:after="0"/>
              <w:rPr>
                <w:sz w:val="20"/>
                <w:szCs w:val="20"/>
                <w:color w:val="auto"/>
              </w:rPr>
            </w:pPr>
          </w:p>
        </w:tc>
      </w:tr>
      <w:tr>
        <w:trPr>
          <w:trHeight w:val="245"/>
        </w:trPr>
        <w:tc>
          <w:tcPr>
            <w:tcW w:w="68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421,500</w:t>
            </w:r>
          </w:p>
        </w:tc>
        <w:tc>
          <w:tcPr>
            <w:tcW w:w="30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411,119</w:t>
            </w:r>
          </w:p>
        </w:tc>
        <w:tc>
          <w:tcPr>
            <w:tcW w:w="100" w:type="dxa"/>
            <w:vAlign w:val="bottom"/>
          </w:tcPr>
          <w:p>
            <w:pPr>
              <w:spacing w:after="0"/>
              <w:rPr>
                <w:sz w:val="21"/>
                <w:szCs w:val="21"/>
                <w:color w:val="auto"/>
              </w:rPr>
            </w:pPr>
          </w:p>
        </w:tc>
      </w:tr>
      <w:tr>
        <w:trPr>
          <w:trHeight w:val="197"/>
        </w:trPr>
        <w:tc>
          <w:tcPr>
            <w:tcW w:w="68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6800" w:type="dxa"/>
            <w:vAlign w:val="bottom"/>
          </w:tcPr>
          <w:p>
            <w:pPr>
              <w:ind w:left="2100"/>
              <w:spacing w:after="0"/>
              <w:rPr>
                <w:sz w:val="20"/>
                <w:szCs w:val="20"/>
                <w:color w:val="auto"/>
              </w:rPr>
            </w:pPr>
            <w:r>
              <w:rPr>
                <w:rFonts w:ascii="Arial" w:cs="Arial" w:eastAsia="Arial" w:hAnsi="Arial"/>
                <w:sz w:val="16"/>
                <w:szCs w:val="16"/>
                <w:b w:val="1"/>
                <w:bCs w:val="1"/>
                <w:color w:val="auto"/>
              </w:rPr>
              <w:t>LIABILITIES AND SHAREHOLDERS’ EQUITY</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680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20,135</w:t>
            </w:r>
          </w:p>
        </w:tc>
        <w:tc>
          <w:tcPr>
            <w:tcW w:w="3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16,507</w:t>
            </w:r>
          </w:p>
        </w:tc>
        <w:tc>
          <w:tcPr>
            <w:tcW w:w="100" w:type="dxa"/>
            <w:vAlign w:val="bottom"/>
          </w:tcPr>
          <w:p>
            <w:pPr>
              <w:spacing w:after="0"/>
              <w:rPr>
                <w:sz w:val="18"/>
                <w:szCs w:val="18"/>
                <w:color w:val="auto"/>
              </w:rPr>
            </w:pPr>
          </w:p>
        </w:tc>
      </w:tr>
      <w:tr>
        <w:trPr>
          <w:trHeight w:val="217"/>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royalties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15,223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12,849</w:t>
            </w:r>
          </w:p>
        </w:tc>
        <w:tc>
          <w:tcPr>
            <w:tcW w:w="100" w:type="dxa"/>
            <w:vAlign w:val="bottom"/>
            <w:shd w:val="clear" w:color="auto" w:fill="CFF0FC"/>
          </w:tcPr>
          <w:p>
            <w:pPr>
              <w:spacing w:after="0"/>
              <w:rPr>
                <w:sz w:val="18"/>
                <w:szCs w:val="18"/>
                <w:color w:val="auto"/>
              </w:rPr>
            </w:pPr>
          </w:p>
        </w:tc>
      </w:tr>
      <w:tr>
        <w:trPr>
          <w:trHeight w:val="211"/>
        </w:trPr>
        <w:tc>
          <w:tcPr>
            <w:tcW w:w="680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62,151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64,938</w:t>
            </w:r>
          </w:p>
        </w:tc>
        <w:tc>
          <w:tcPr>
            <w:tcW w:w="100" w:type="dxa"/>
            <w:vAlign w:val="bottom"/>
          </w:tcPr>
          <w:p>
            <w:pPr>
              <w:spacing w:after="0"/>
              <w:rPr>
                <w:sz w:val="18"/>
                <w:szCs w:val="18"/>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liabilities of discontinued operations</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6,772</w:t>
            </w:r>
          </w:p>
        </w:tc>
        <w:tc>
          <w:tcPr>
            <w:tcW w:w="100" w:type="dxa"/>
            <w:vAlign w:val="bottom"/>
            <w:shd w:val="clear" w:color="auto" w:fill="CFF0FC"/>
          </w:tcPr>
          <w:p>
            <w:pPr>
              <w:spacing w:after="0"/>
              <w:rPr>
                <w:sz w:val="20"/>
                <w:szCs w:val="20"/>
                <w:color w:val="auto"/>
              </w:rPr>
            </w:pPr>
          </w:p>
        </w:tc>
      </w:tr>
      <w:tr>
        <w:trPr>
          <w:trHeight w:val="205"/>
        </w:trPr>
        <w:tc>
          <w:tcPr>
            <w:tcW w:w="68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0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97,509</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101,066</w:t>
            </w:r>
          </w:p>
        </w:tc>
        <w:tc>
          <w:tcPr>
            <w:tcW w:w="100" w:type="dxa"/>
            <w:vAlign w:val="bottom"/>
          </w:tcPr>
          <w:p>
            <w:pPr>
              <w:spacing w:after="0"/>
              <w:rPr>
                <w:sz w:val="17"/>
                <w:szCs w:val="17"/>
                <w:color w:val="auto"/>
              </w:rPr>
            </w:pPr>
          </w:p>
        </w:tc>
      </w:tr>
      <w:tr>
        <w:trPr>
          <w:trHeight w:val="217"/>
        </w:trPr>
        <w:tc>
          <w:tcPr>
            <w:tcW w:w="68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7"/>
        </w:trPr>
        <w:tc>
          <w:tcPr>
            <w:tcW w:w="68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5,082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4"/>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 noncurrent</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6,287</w:t>
            </w:r>
          </w:p>
        </w:tc>
        <w:tc>
          <w:tcPr>
            <w:tcW w:w="100" w:type="dxa"/>
            <w:vAlign w:val="bottom"/>
            <w:shd w:val="clear" w:color="auto" w:fill="CFF0FC"/>
          </w:tcPr>
          <w:p>
            <w:pPr>
              <w:spacing w:after="0"/>
              <w:rPr>
                <w:sz w:val="18"/>
                <w:szCs w:val="18"/>
                <w:color w:val="auto"/>
              </w:rPr>
            </w:pPr>
          </w:p>
        </w:tc>
      </w:tr>
      <w:tr>
        <w:trPr>
          <w:trHeight w:val="211"/>
        </w:trPr>
        <w:tc>
          <w:tcPr>
            <w:tcW w:w="6800" w:type="dxa"/>
            <w:vAlign w:val="bottom"/>
          </w:tcPr>
          <w:p>
            <w:pPr>
              <w:spacing w:after="0"/>
              <w:rPr>
                <w:sz w:val="20"/>
                <w:szCs w:val="20"/>
                <w:color w:val="auto"/>
              </w:rPr>
            </w:pPr>
            <w:r>
              <w:rPr>
                <w:rFonts w:ascii="Arial" w:cs="Arial" w:eastAsia="Arial" w:hAnsi="Arial"/>
                <w:sz w:val="16"/>
                <w:szCs w:val="16"/>
                <w:color w:val="auto"/>
              </w:rPr>
              <w:t>Other long term liabilities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18"/>
                <w:szCs w:val="18"/>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Long-term liabilities of discontinued operations</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w:t>
            </w:r>
          </w:p>
        </w:tc>
        <w:tc>
          <w:tcPr>
            <w:tcW w:w="100" w:type="dxa"/>
            <w:vAlign w:val="bottom"/>
            <w:shd w:val="clear" w:color="auto" w:fill="CFF0FC"/>
          </w:tcPr>
          <w:p>
            <w:pPr>
              <w:spacing w:after="0"/>
              <w:rPr>
                <w:sz w:val="20"/>
                <w:szCs w:val="20"/>
                <w:color w:val="auto"/>
              </w:rPr>
            </w:pPr>
          </w:p>
        </w:tc>
      </w:tr>
      <w:tr>
        <w:trPr>
          <w:trHeight w:val="218"/>
        </w:trPr>
        <w:tc>
          <w:tcPr>
            <w:tcW w:w="68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68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6800" w:type="dxa"/>
            <w:vAlign w:val="bottom"/>
          </w:tcPr>
          <w:p>
            <w:pPr>
              <w:spacing w:after="0"/>
              <w:rPr>
                <w:sz w:val="20"/>
                <w:szCs w:val="20"/>
                <w:color w:val="auto"/>
              </w:rPr>
            </w:pPr>
            <w:r>
              <w:rPr>
                <w:rFonts w:ascii="Arial" w:cs="Arial" w:eastAsia="Arial" w:hAnsi="Arial"/>
                <w:sz w:val="16"/>
                <w:szCs w:val="16"/>
                <w:color w:val="auto"/>
              </w:rPr>
              <w:t>Shareholders’ equity:</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no par value, 75,000 shares authorized; 32,325 and 31,908 shares</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6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issued and outstanding at September 30, 2018 and December 31, 2017, respectively</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286,128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282,666</w:t>
            </w:r>
          </w:p>
        </w:tc>
        <w:tc>
          <w:tcPr>
            <w:tcW w:w="100" w:type="dxa"/>
            <w:vAlign w:val="bottom"/>
            <w:shd w:val="clear" w:color="auto" w:fill="CFF0FC"/>
          </w:tcPr>
          <w:p>
            <w:pPr>
              <w:spacing w:after="0"/>
              <w:rPr>
                <w:sz w:val="18"/>
                <w:szCs w:val="18"/>
                <w:color w:val="auto"/>
              </w:rPr>
            </w:pPr>
          </w:p>
        </w:tc>
      </w:tr>
      <w:tr>
        <w:trPr>
          <w:trHeight w:val="211"/>
        </w:trPr>
        <w:tc>
          <w:tcPr>
            <w:tcW w:w="68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29,583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17,542</w:t>
            </w:r>
          </w:p>
        </w:tc>
        <w:tc>
          <w:tcPr>
            <w:tcW w:w="100" w:type="dxa"/>
            <w:vAlign w:val="bottom"/>
          </w:tcPr>
          <w:p>
            <w:pPr>
              <w:spacing w:after="0"/>
              <w:rPr>
                <w:sz w:val="18"/>
                <w:szCs w:val="18"/>
                <w:color w:val="auto"/>
              </w:rPr>
            </w:pPr>
          </w:p>
        </w:tc>
      </w:tr>
      <w:tr>
        <w:trPr>
          <w:trHeight w:val="217"/>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r>
      <w:tr>
        <w:trPr>
          <w:trHeight w:val="205"/>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shareholders’ equity</w:t>
            </w:r>
          </w:p>
        </w:tc>
        <w:tc>
          <w:tcPr>
            <w:tcW w:w="106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315,694</w:t>
            </w:r>
          </w:p>
        </w:tc>
        <w:tc>
          <w:tcPr>
            <w:tcW w:w="30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300,170</w:t>
            </w:r>
          </w:p>
        </w:tc>
        <w:tc>
          <w:tcPr>
            <w:tcW w:w="100" w:type="dxa"/>
            <w:vAlign w:val="bottom"/>
            <w:tcBorders>
              <w:bottom w:val="single" w:sz="8" w:color="CFF0FC"/>
            </w:tcBorders>
          </w:tcPr>
          <w:p>
            <w:pPr>
              <w:spacing w:after="0"/>
              <w:rPr>
                <w:sz w:val="17"/>
                <w:szCs w:val="17"/>
                <w:color w:val="auto"/>
              </w:rPr>
            </w:pPr>
          </w:p>
        </w:tc>
      </w:tr>
      <w:tr>
        <w:trPr>
          <w:trHeight w:val="207"/>
        </w:trPr>
        <w:tc>
          <w:tcPr>
            <w:tcW w:w="6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421,500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411,119</w:t>
            </w:r>
          </w:p>
        </w:tc>
        <w:tc>
          <w:tcPr>
            <w:tcW w:w="100" w:type="dxa"/>
            <w:vAlign w:val="bottom"/>
            <w:shd w:val="clear" w:color="auto" w:fill="CFF0FC"/>
          </w:tcPr>
          <w:p>
            <w:pPr>
              <w:spacing w:after="0"/>
              <w:rPr>
                <w:sz w:val="18"/>
                <w:szCs w:val="18"/>
                <w:color w:val="auto"/>
              </w:rPr>
            </w:pPr>
          </w:p>
        </w:tc>
      </w:tr>
      <w:tr>
        <w:trPr>
          <w:trHeight w:val="20"/>
        </w:trPr>
        <w:tc>
          <w:tcPr>
            <w:tcW w:w="68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unaudited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40" w:type="dxa"/>
            <w:vAlign w:val="bottom"/>
            <w:gridSpan w:val="6"/>
          </w:tcPr>
          <w:p>
            <w:pPr>
              <w:ind w:lef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92"/>
              <w:spacing w:after="0" w:line="131"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gridSpan w:val="2"/>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280"/>
              <w:spacing w:after="0" w:line="131"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2"/>
              <w:spacing w:after="0" w:line="131"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54,743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revenues (excluding depreciation and amortization)</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70,586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Other general and administrative expenses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8,997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55,264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(loss) income, net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from continuing operations before income tax provision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w w:val="93"/>
              </w:rPr>
              <w:t>Income (loss) from discontinued operations before income tax provision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discontinued operations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5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per share - basic</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 diluted:</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60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5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32,244</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558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32,415</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32,217</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32,308</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Dividends declared per share</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60" w:type="dxa"/>
            <w:vAlign w:val="bottom"/>
            <w:gridSpan w:val="5"/>
          </w:tcPr>
          <w:p>
            <w:pPr>
              <w:ind w:lef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8"/>
              <w:spacing w:after="0" w:line="131" w:lineRule="exact"/>
              <w:rPr>
                <w:sz w:val="20"/>
                <w:szCs w:val="20"/>
                <w:color w:val="auto"/>
              </w:rPr>
            </w:pPr>
            <w:r>
              <w:rPr>
                <w:rFonts w:ascii="Arial" w:cs="Arial" w:eastAsia="Arial" w:hAnsi="Arial"/>
                <w:sz w:val="14"/>
                <w:szCs w:val="14"/>
                <w:b w:val="1"/>
                <w:bCs w:val="1"/>
                <w:color w:val="auto"/>
                <w:w w:val="96"/>
              </w:rPr>
              <w:t>September 30,</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97"/>
              <w:spacing w:after="0" w:line="131"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7"/>
              <w:spacing w:after="0" w:line="131"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2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Unrealized gain on marketable securities</w:t>
            </w:r>
          </w:p>
        </w:tc>
        <w:tc>
          <w:tcPr>
            <w:tcW w:w="1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w:t>
            </w:r>
          </w:p>
        </w:tc>
        <w:tc>
          <w:tcPr>
            <w:tcW w:w="1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5300" w:type="dxa"/>
            <w:vAlign w:val="bottom"/>
          </w:tcPr>
          <w:p>
            <w:pPr>
              <w:spacing w:after="0"/>
              <w:rPr>
                <w:sz w:val="12"/>
                <w:szCs w:val="12"/>
                <w:color w:val="auto"/>
              </w:rPr>
            </w:pPr>
          </w:p>
        </w:tc>
        <w:tc>
          <w:tcPr>
            <w:tcW w:w="248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4"/>
        </w:trPr>
        <w:tc>
          <w:tcPr>
            <w:tcW w:w="5300" w:type="dxa"/>
            <w:vAlign w:val="bottom"/>
          </w:tcPr>
          <w:p>
            <w:pPr>
              <w:spacing w:after="0"/>
              <w:rPr>
                <w:sz w:val="13"/>
                <w:szCs w:val="13"/>
                <w:color w:val="auto"/>
              </w:rPr>
            </w:pPr>
          </w:p>
        </w:tc>
        <w:tc>
          <w:tcPr>
            <w:tcW w:w="1240" w:type="dxa"/>
            <w:vAlign w:val="bottom"/>
            <w:tcBorders>
              <w:top w:val="single" w:sz="8" w:color="auto"/>
            </w:tcBorders>
            <w:gridSpan w:val="2"/>
          </w:tcPr>
          <w:p>
            <w:pPr>
              <w:ind w:left="280"/>
              <w:spacing w:after="0" w:line="154"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93"/>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6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1"/>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282,666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on common stock ($1.00 per share)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(32,518)</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27"/>
        </w:trPr>
        <w:tc>
          <w:tcPr>
            <w:tcW w:w="53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under stock plans, net of shares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withheld for employee taxes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0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286,128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r>
        <w:rPr>
          <w:rFonts w:ascii="Arial" w:cs="Arial" w:eastAsia="Arial" w:hAnsi="Arial"/>
          <w:sz w:val="14"/>
          <w:szCs w:val="14"/>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ind w:right="78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29,427</w:t>
            </w:r>
          </w:p>
        </w:tc>
        <w:tc>
          <w:tcPr>
            <w:tcW w:w="300" w:type="dxa"/>
            <w:vAlign w:val="bottom"/>
          </w:tcPr>
          <w:p>
            <w:pPr>
              <w:spacing w:after="0"/>
              <w:rPr>
                <w:sz w:val="19"/>
                <w:szCs w:val="19"/>
                <w:color w:val="auto"/>
              </w:rPr>
            </w:pP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(19,107)</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18,097</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1,306</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doubtful accounts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loss on non-marketable equity investments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Change in fair value of cost method investments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1,271</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and unbilled receivables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Prepaid royalties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1,030</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prepaid expenses and other current assets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(682)</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(927)</w:t>
            </w:r>
          </w:p>
        </w:tc>
        <w:tc>
          <w:tcPr>
            <w:tcW w:w="9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(10,811)</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Accrued royalties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2,373</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Net cash provided by continuing operating activities</w:t>
            </w:r>
          </w:p>
        </w:tc>
        <w:tc>
          <w:tcPr>
            <w:tcW w:w="1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29,804</w:t>
            </w: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cash (used in) provided by discontinued operating activities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(1,003)</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28,801</w:t>
            </w: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INVESTING ACTIVITIES: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discontinued operations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57,827</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59,452</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Purchases of marketable securities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(57,085)</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(79,290)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Payments to acquire cost method investments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(833)</w:t>
            </w:r>
          </w:p>
        </w:tc>
        <w:tc>
          <w:tcPr>
            <w:tcW w:w="9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(8,042)</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(4,342)</w:t>
            </w:r>
          </w:p>
        </w:tc>
        <w:tc>
          <w:tcPr>
            <w:tcW w:w="9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cash provided by (used in) continuing investing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46,977</w:t>
            </w:r>
          </w:p>
        </w:tc>
        <w:tc>
          <w:tcPr>
            <w:tcW w:w="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(22,532)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Net cash used in discontinued investing activities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9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46,862</w:t>
            </w:r>
          </w:p>
        </w:tc>
        <w:tc>
          <w:tcPr>
            <w:tcW w:w="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(24,749)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2,582</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(335)</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Payment of earn-outs related to prior acquisitions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9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Payment of cash dividends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(32,357)</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Net cash used in continuing financing activities</w:t>
            </w:r>
          </w:p>
        </w:tc>
        <w:tc>
          <w:tcPr>
            <w:tcW w:w="1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(30,148)</w:t>
            </w: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cash used in discontinued financing activities</w:t>
            </w: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(30,148)</w:t>
            </w:r>
          </w:p>
        </w:tc>
        <w:tc>
          <w:tcPr>
            <w:tcW w:w="3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45,515</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84,768</w:t>
            </w:r>
          </w:p>
        </w:tc>
        <w:tc>
          <w:tcPr>
            <w:tcW w:w="3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Pr>
          <w:p>
            <w:pPr>
              <w:spacing w:after="0"/>
              <w:rPr>
                <w:sz w:val="19"/>
                <w:szCs w:val="19"/>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130,283</w:t>
            </w:r>
          </w:p>
        </w:tc>
        <w:tc>
          <w:tcPr>
            <w:tcW w:w="300" w:type="dxa"/>
            <w:vAlign w:val="bottom"/>
          </w:tcPr>
          <w:p>
            <w:pPr>
              <w:spacing w:after="0"/>
              <w:rPr>
                <w:sz w:val="19"/>
                <w:szCs w:val="19"/>
                <w:color w:val="auto"/>
              </w:rPr>
            </w:pPr>
          </w:p>
        </w:tc>
        <w:tc>
          <w:tcPr>
            <w:tcW w:w="98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8"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nine months ended September 30, 2018 are not necessarily indicative of the results that may be expected for the year ending December 31, 2018.</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12, 2018, the Company divested its Patient Experience (“PX”) business to Press Ganey Associates, Inc. (“Press Ganey”). The sale of the PX business resulted in the divestiture of the Company’s patient experience solutions business segment. The Company has classified the results of its previously owned PX business as discontinued operations in its condensed consolidated statements of income and cash flows for all periods presented. Additionally, the related assets and liabilities are reported as assets and liabilities of discontinued operations in the Company’s condensed consolidated balance sheet as of December 31, 2017. See Note 8 for additional information.</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condensed consolidated balance sheet at December 31, 2017 was derived from the audited consolidated financial statements at that date and adjusted for discontinued operations as noted above but does not include all of the information and footnotes required by US GAAP for a complete set of financial statements. For further information, refer to the consolidated financial statements and footnotes thereto for the year ended December 31, 2017 (included in the Company's Annual Report on Form 10-K, filed with the Securities and Exchange Commission on February 26, 2018).</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(referred to as Accounting Standards Codification (“ASC”) Topic 606, or “ASC 606”)</w:t>
      </w:r>
      <w:r>
        <w:rPr>
          <w:rFonts w:ascii="Arial" w:cs="Arial" w:eastAsia="Arial" w:hAnsi="Arial"/>
          <w:sz w:val="17"/>
          <w:szCs w:val="17"/>
          <w:i w:val="1"/>
          <w:iCs w:val="1"/>
          <w:color w:val="auto"/>
        </w:rPr>
        <w:t xml:space="preserve">. </w:t>
      </w:r>
      <w:r>
        <w:rPr>
          <w:rFonts w:ascii="Arial" w:cs="Arial" w:eastAsia="Arial" w:hAnsi="Arial"/>
          <w:sz w:val="17"/>
          <w:szCs w:val="17"/>
          <w:color w:val="auto"/>
        </w:rPr>
        <w:t>This guidance supersedes the revenue recognition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ASC Topic 605, </w:t>
      </w:r>
      <w:r>
        <w:rPr>
          <w:rFonts w:ascii="Arial" w:cs="Arial" w:eastAsia="Arial" w:hAnsi="Arial"/>
          <w:sz w:val="17"/>
          <w:szCs w:val="17"/>
          <w:i w:val="1"/>
          <w:iCs w:val="1"/>
          <w:color w:val="auto"/>
        </w:rPr>
        <w:t>Revenue Recognition (“ASC 605”)</w:t>
      </w:r>
      <w:r>
        <w:rPr>
          <w:rFonts w:ascii="Arial" w:cs="Arial" w:eastAsia="Arial" w:hAnsi="Arial"/>
          <w:sz w:val="17"/>
          <w:szCs w:val="17"/>
          <w:color w:val="auto"/>
        </w:rPr>
        <w:t xml:space="preserve">, and most industry-specific revenue recognition guidance throughout the Industry Topics of the ASC. The updated guidance states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7"/>
          <w:szCs w:val="17"/>
          <w:i w:val="1"/>
          <w:iCs w:val="1"/>
          <w:color w:val="auto"/>
        </w:rPr>
        <w:t>Other Assets and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Costs – Contracts with Customers</w:t>
      </w:r>
      <w:r>
        <w:rPr>
          <w:rFonts w:ascii="Arial" w:cs="Arial" w:eastAsia="Arial" w:hAnsi="Arial"/>
          <w:sz w:val="17"/>
          <w:szCs w:val="17"/>
          <w:color w:val="auto"/>
        </w:rPr>
        <w:t>, which requires deferral of incremental costs of obtaining a contract with a customer. Collectively, ASC 606 and Subtopic 340-40 are referred to as the “new standard.”</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the new standard effective January 1, 2018 utilizing the modified retrospective approach. Adoption of the new standard resulted in changes to the Company’s accounting policies for revenue recognition, trade and other receivables, and deferred commissions. See Note 3 for additional information regarding the new standard and its impact on the Company’s balance sheet and statements of income.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w:t>
      </w:r>
      <w:r>
        <w:rPr>
          <w:rFonts w:ascii="Arial" w:cs="Arial" w:eastAsia="Arial" w:hAnsi="Arial"/>
          <w:sz w:val="17"/>
          <w:szCs w:val="17"/>
          <w:color w:val="auto"/>
        </w:rPr>
        <w:t>, which addresses certain aspects of the recognition, measurement, presentation, and disclosure of financial instruments. The guidance, among other things, requires equity investments (except those accounted for under the equity method of accounting or those that result in consolidation of the investee) to be measured at fair value with changes in fair value recognized in net income. The Company adopted ASU 2016-01 effective January 1, 2018 on a prospective basis. See Note 11 for additional information regarding ASU 2016-01 and its impact on the Company’s balance sheet and statements of income.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(“ASC 842”),</w:t>
      </w:r>
      <w:r>
        <w:rPr>
          <w:rFonts w:ascii="Arial" w:cs="Arial" w:eastAsia="Arial" w:hAnsi="Arial"/>
          <w:sz w:val="16"/>
          <w:szCs w:val="16"/>
          <w:color w:val="auto"/>
        </w:rPr>
        <w:t xml:space="preserve"> which requires lessees to recognize assets and liabilities for most leases. The recognition, measurement, and presentation of expenses and cash flows arising from a lease by a lessee is not expected to significantly change under such guidance. The standard will be effective for the first interim period within annual reporting periods beginning after December 15, 2018, such that this standard will be effective January 1, 2019 for the Company. The Company is in the process of implementing the standard in preparation for the January 1, 2019 adoption date, and has identified that the standard is expected to result in changes to current accounting policies, processes, and internal controls, with the most significant impact being to the balance sheet as a result of recognizing right of use assets and liabilities for real estate leases; however, the Company has not yet completed its assessment of the financial impact of the Company’s adoption of this accounting standard on its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 (continued)</w:t>
      </w:r>
    </w:p>
    <w:p>
      <w:pPr>
        <w:spacing w:after="0" w:line="118"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 xml:space="preserve">In June 2016, the FASB issued ASU 2016-03, </w:t>
      </w:r>
      <w:r>
        <w:rPr>
          <w:rFonts w:ascii="Arial" w:cs="Arial" w:eastAsia="Arial" w:hAnsi="Arial"/>
          <w:sz w:val="18"/>
          <w:szCs w:val="18"/>
          <w:i w:val="1"/>
          <w:iCs w:val="1"/>
          <w:color w:val="auto"/>
        </w:rPr>
        <w:t>Financial Instruments—Credit Losses (“ASC 326”): Measurement of Credit Losses on Financial Instruments</w:t>
      </w:r>
      <w:r>
        <w:rPr>
          <w:rFonts w:ascii="Arial" w:cs="Arial" w:eastAsia="Arial" w:hAnsi="Arial"/>
          <w:sz w:val="18"/>
          <w:szCs w:val="18"/>
          <w:color w:val="auto"/>
        </w:rPr>
        <w:t>, which amends guidance on reporting credit losses for assets held at amortized cost basis and available for sale debt securities. For assets held at amortized cost basis, ASC 326 eliminates the probable initial recognition threshold in current GAAP and, instead, requires an entity to reflect its current estimate of all expected credit losses. The standard will be effective for the first interim period within annual reporting periods beginning after December 15, 2019. The Company will adopt this ASU on January 1, 2020 and is currently evaluating the impact that adoption of this ASU will have on the Company’s consolidated financial position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606, Revenue from Contracts with Customers</w:t>
      </w:r>
    </w:p>
    <w:p>
      <w:pPr>
        <w:spacing w:after="0" w:line="1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January 1, 2018, the Company adopted the new standard using the modified retrospective approach applied to contracts not completed as of January 1, 2018. As such, results for reporting periods beginning after January 1, 2018 are presented under ASC 606, while prior period amounts continue to be reported in accordance with ASC 605.</w:t>
      </w:r>
    </w:p>
    <w:p>
      <w:pPr>
        <w:spacing w:after="0" w:line="7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cumulative effect of the changes made to the Company’s consolidated January 1, 2018 balance sheet in connection with the adoption of ASC 606 was as follows (in thousands):</w:t>
      </w:r>
    </w:p>
    <w:tbl>
      <w:tblPr>
        <w:tblLayout w:type="fixed"/>
        <w:tblInd w:w="0" w:type="dxa"/>
        <w:tblCellMar>
          <w:top w:w="0" w:type="dxa"/>
          <w:left w:w="0" w:type="dxa"/>
          <w:bottom w:w="0" w:type="dxa"/>
          <w:right w:w="0" w:type="dxa"/>
        </w:tblCellMar>
      </w:tblPr>
      <w:tr>
        <w:trPr>
          <w:trHeight w:val="141"/>
        </w:trPr>
        <w:tc>
          <w:tcPr>
            <w:tcW w:w="63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120" w:type="dxa"/>
            <w:vAlign w:val="bottom"/>
          </w:tcPr>
          <w:p>
            <w:pPr>
              <w:spacing w:after="0"/>
              <w:rPr>
                <w:sz w:val="12"/>
                <w:szCs w:val="12"/>
                <w:color w:val="auto"/>
              </w:rPr>
            </w:pPr>
          </w:p>
        </w:tc>
        <w:tc>
          <w:tcPr>
            <w:tcW w:w="1360" w:type="dxa"/>
            <w:vAlign w:val="bottom"/>
          </w:tcPr>
          <w:p>
            <w:pPr>
              <w:jc w:val="right"/>
              <w:ind w:right="333"/>
              <w:spacing w:after="0" w:line="141" w:lineRule="exact"/>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620"/>
              <w:spacing w:after="0" w:line="141" w:lineRule="exact"/>
              <w:rPr>
                <w:sz w:val="20"/>
                <w:szCs w:val="20"/>
                <w:color w:val="auto"/>
              </w:rPr>
            </w:pPr>
            <w:r>
              <w:rPr>
                <w:rFonts w:ascii="Arial" w:cs="Arial" w:eastAsia="Arial" w:hAnsi="Arial"/>
                <w:sz w:val="14"/>
                <w:szCs w:val="14"/>
                <w:b w:val="1"/>
                <w:bCs w:val="1"/>
                <w:color w:val="auto"/>
              </w:rPr>
              <w:t>ASC 606</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0"/>
        </w:trPr>
        <w:tc>
          <w:tcPr>
            <w:tcW w:w="638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93"/>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Adjustments</w:t>
            </w:r>
          </w:p>
        </w:tc>
        <w:tc>
          <w:tcPr>
            <w:tcW w:w="2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January 1, 2018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line="181" w:lineRule="exact"/>
              <w:rPr>
                <w:sz w:val="20"/>
                <w:szCs w:val="20"/>
                <w:color w:val="auto"/>
              </w:rPr>
            </w:pPr>
            <w:r>
              <w:rPr>
                <w:rFonts w:ascii="Arial" w:cs="Arial" w:eastAsia="Arial" w:hAnsi="Arial"/>
                <w:sz w:val="18"/>
                <w:szCs w:val="18"/>
                <w:color w:val="auto"/>
                <w:w w:val="81"/>
              </w:rPr>
              <w:t>Assets</w:t>
            </w:r>
          </w:p>
        </w:tc>
        <w:tc>
          <w:tcPr>
            <w:tcW w:w="5740" w:type="dxa"/>
            <w:vAlign w:val="bottom"/>
            <w:tcBorders>
              <w:top w:val="single" w:sz="8" w:color="auto"/>
              <w:bottom w:val="single" w:sz="8" w:color="CFF0FC"/>
            </w:tcBorders>
            <w:gridSpan w:val="3"/>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4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5"/>
          </w:tcPr>
          <w:p>
            <w:pPr>
              <w:spacing w:after="0"/>
              <w:rPr>
                <w:sz w:val="20"/>
                <w:szCs w:val="20"/>
                <w:color w:val="auto"/>
              </w:rPr>
            </w:pPr>
            <w:r>
              <w:rPr>
                <w:rFonts w:ascii="Arial" w:cs="Arial" w:eastAsia="Arial" w:hAnsi="Arial"/>
                <w:sz w:val="18"/>
                <w:szCs w:val="18"/>
                <w:color w:val="auto"/>
              </w:rPr>
              <w:t>Unbilled receivables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1,327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Prepaid royalties, net</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5"/>
          </w:tcPr>
          <w:p>
            <w:pPr>
              <w:spacing w:after="0"/>
              <w:rPr>
                <w:sz w:val="20"/>
                <w:szCs w:val="20"/>
                <w:color w:val="auto"/>
              </w:rPr>
            </w:pPr>
            <w:r>
              <w:rPr>
                <w:rFonts w:ascii="Arial" w:cs="Arial" w:eastAsia="Arial" w:hAnsi="Arial"/>
                <w:sz w:val="18"/>
                <w:szCs w:val="18"/>
                <w:color w:val="auto"/>
              </w:rPr>
              <w:t>Other prepaid expenses and other current assets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Current assets of discontinued operations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5"/>
          </w:tcPr>
          <w:p>
            <w:pPr>
              <w:spacing w:after="0"/>
              <w:rPr>
                <w:sz w:val="20"/>
                <w:szCs w:val="20"/>
                <w:color w:val="auto"/>
              </w:rPr>
            </w:pPr>
            <w:r>
              <w:rPr>
                <w:rFonts w:ascii="Arial" w:cs="Arial" w:eastAsia="Arial" w:hAnsi="Arial"/>
                <w:sz w:val="18"/>
                <w:szCs w:val="18"/>
                <w:color w:val="auto"/>
              </w:rPr>
              <w:t>Deferred commissions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12,552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5"/>
          </w:tcPr>
          <w:p>
            <w:pPr>
              <w:spacing w:after="0"/>
              <w:rPr>
                <w:sz w:val="20"/>
                <w:szCs w:val="20"/>
                <w:color w:val="auto"/>
              </w:rPr>
            </w:pPr>
            <w:r>
              <w:rPr>
                <w:rFonts w:ascii="Arial" w:cs="Arial" w:eastAsia="Arial" w:hAnsi="Arial"/>
                <w:sz w:val="18"/>
                <w:szCs w:val="18"/>
                <w:color w:val="auto"/>
              </w:rPr>
              <w:t>Non-current assets of discontinued operations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28,073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360" w:type="dxa"/>
            <w:vAlign w:val="bottom"/>
            <w:gridSpan w:val="5"/>
          </w:tcPr>
          <w:p>
            <w:pPr>
              <w:spacing w:after="0" w:line="188" w:lineRule="exact"/>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63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(4,488)</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5"/>
          </w:tcPr>
          <w:p>
            <w:pPr>
              <w:spacing w:after="0"/>
              <w:rPr>
                <w:sz w:val="20"/>
                <w:szCs w:val="20"/>
                <w:color w:val="auto"/>
              </w:rPr>
            </w:pPr>
            <w:r>
              <w:rPr>
                <w:rFonts w:ascii="Arial" w:cs="Arial" w:eastAsia="Arial" w:hAnsi="Arial"/>
                <w:sz w:val="18"/>
                <w:szCs w:val="18"/>
                <w:color w:val="auto"/>
              </w:rPr>
              <w:t>Current liabilities of discontinued operations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(1,374)</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5"/>
          </w:tcPr>
          <w:p>
            <w:pPr>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(2,848)</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360" w:type="dxa"/>
            <w:vAlign w:val="bottom"/>
            <w:gridSpan w:val="5"/>
          </w:tcPr>
          <w:p>
            <w:pPr>
              <w:spacing w:after="0" w:line="188" w:lineRule="exact"/>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63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The impact of adopting ASC 606 on the Company’s condensed consolidated balance sheet as of September 30, 2018 and statements of income for the three and nine months ended September 30, 2018 was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September 30, 2018</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As</w:t>
            </w:r>
          </w:p>
        </w:tc>
        <w:tc>
          <w:tcPr>
            <w:tcW w:w="100" w:type="dxa"/>
            <w:vAlign w:val="bottom"/>
          </w:tcPr>
          <w:p>
            <w:pPr>
              <w:spacing w:after="0"/>
              <w:rPr>
                <w:sz w:val="11"/>
                <w:szCs w:val="11"/>
                <w:color w:val="auto"/>
              </w:rPr>
            </w:pPr>
          </w:p>
        </w:tc>
        <w:tc>
          <w:tcPr>
            <w:tcW w:w="1220" w:type="dxa"/>
            <w:vAlign w:val="bottom"/>
          </w:tcPr>
          <w:p>
            <w:pPr>
              <w:jc w:val="center"/>
              <w:ind w:right="17"/>
              <w:spacing w:after="0" w:line="131" w:lineRule="exact"/>
              <w:rPr>
                <w:sz w:val="20"/>
                <w:szCs w:val="20"/>
                <w:color w:val="auto"/>
              </w:rPr>
            </w:pPr>
            <w:r>
              <w:rPr>
                <w:rFonts w:ascii="Arial" w:cs="Arial" w:eastAsia="Arial" w:hAnsi="Arial"/>
                <w:sz w:val="14"/>
                <w:szCs w:val="14"/>
                <w:b w:val="1"/>
                <w:bCs w:val="1"/>
                <w:color w:val="auto"/>
                <w:w w:val="90"/>
              </w:rPr>
              <w:t>Balances without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Effect of 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5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7"/>
              <w:spacing w:after="0" w:line="147" w:lineRule="exact"/>
              <w:rPr>
                <w:sz w:val="20"/>
                <w:szCs w:val="20"/>
                <w:color w:val="auto"/>
              </w:rPr>
            </w:pPr>
            <w:r>
              <w:rPr>
                <w:rFonts w:ascii="Arial" w:cs="Arial" w:eastAsia="Arial" w:hAnsi="Arial"/>
                <w:sz w:val="14"/>
                <w:szCs w:val="14"/>
                <w:b w:val="1"/>
                <w:bCs w:val="1"/>
                <w:color w:val="auto"/>
                <w:w w:val="91"/>
              </w:rPr>
              <w:t>Adoption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40" w:type="dxa"/>
            <w:vAlign w:val="bottom"/>
            <w:gridSpan w:val="5"/>
            <w:vMerge w:val="continue"/>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reported</w:t>
            </w:r>
          </w:p>
        </w:tc>
        <w:tc>
          <w:tcPr>
            <w:tcW w:w="100" w:type="dxa"/>
            <w:vAlign w:val="bottom"/>
          </w:tcPr>
          <w:p>
            <w:pPr>
              <w:spacing w:after="0"/>
              <w:rPr>
                <w:sz w:val="14"/>
                <w:szCs w:val="14"/>
                <w:color w:val="auto"/>
              </w:rPr>
            </w:pPr>
          </w:p>
        </w:tc>
        <w:tc>
          <w:tcPr>
            <w:tcW w:w="122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ASC 606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Higher/(Lower)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line="181" w:lineRule="exact"/>
              <w:rPr>
                <w:sz w:val="20"/>
                <w:szCs w:val="20"/>
                <w:color w:val="auto"/>
              </w:rPr>
            </w:pPr>
            <w:r>
              <w:rPr>
                <w:rFonts w:ascii="Arial" w:cs="Arial" w:eastAsia="Arial" w:hAnsi="Arial"/>
                <w:sz w:val="18"/>
                <w:szCs w:val="18"/>
                <w:color w:val="auto"/>
                <w:w w:val="81"/>
              </w:rPr>
              <w:t>Assets</w:t>
            </w:r>
          </w:p>
        </w:tc>
        <w:tc>
          <w:tcPr>
            <w:tcW w:w="4060" w:type="dxa"/>
            <w:vAlign w:val="bottom"/>
            <w:tcBorders>
              <w:top w:val="single" w:sz="8" w:color="auto"/>
              <w:bottom w:val="single" w:sz="8" w:color="CFF0FC"/>
            </w:tcBorders>
            <w:gridSpan w:val="3"/>
            <w:shd w:val="clear" w:color="auto" w:fill="CFF0FC"/>
          </w:tcPr>
          <w:p>
            <w:pPr>
              <w:spacing w:after="0"/>
              <w:rPr>
                <w:sz w:val="17"/>
                <w:szCs w:val="17"/>
                <w:color w:val="auto"/>
              </w:rPr>
            </w:pPr>
          </w:p>
        </w:tc>
        <w:tc>
          <w:tcPr>
            <w:tcW w:w="2060" w:type="dxa"/>
            <w:vAlign w:val="bottom"/>
            <w:tcBorders>
              <w:top w:val="single" w:sz="8" w:color="auto"/>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Prepaid royalties, net</w:t>
            </w:r>
          </w:p>
        </w:tc>
        <w:tc>
          <w:tcPr>
            <w:tcW w:w="2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14,205</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15,375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Other prepaid expenses and other current assets</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Deferred commissions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520" w:type="dxa"/>
            <w:vAlign w:val="bottom"/>
            <w:gridSpan w:val="4"/>
          </w:tcPr>
          <w:p>
            <w:pPr>
              <w:spacing w:after="0" w:line="188" w:lineRule="exact"/>
              <w:rPr>
                <w:sz w:val="20"/>
                <w:szCs w:val="20"/>
                <w:color w:val="auto"/>
              </w:rPr>
            </w:pPr>
            <w:r>
              <w:rPr>
                <w:rFonts w:ascii="Arial" w:cs="Arial" w:eastAsia="Arial" w:hAnsi="Arial"/>
                <w:sz w:val="18"/>
                <w:szCs w:val="18"/>
                <w:color w:val="auto"/>
              </w:rPr>
              <w:t>Liabilities</w:t>
            </w: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5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62,151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66,885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Deferred revenue, noncurrent</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520" w:type="dxa"/>
            <w:vAlign w:val="bottom"/>
            <w:gridSpan w:val="4"/>
          </w:tcPr>
          <w:p>
            <w:pPr>
              <w:spacing w:after="0" w:line="188" w:lineRule="exact"/>
              <w:rPr>
                <w:sz w:val="20"/>
                <w:szCs w:val="20"/>
                <w:color w:val="auto"/>
              </w:rPr>
            </w:pPr>
            <w:r>
              <w:rPr>
                <w:rFonts w:ascii="Arial" w:cs="Arial" w:eastAsia="Arial" w:hAnsi="Arial"/>
                <w:sz w:val="18"/>
                <w:szCs w:val="18"/>
                <w:color w:val="auto"/>
              </w:rPr>
              <w:t>Shareholders’ equity</w:t>
            </w: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5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Retained earnings</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60" w:type="dxa"/>
            <w:vAlign w:val="bottom"/>
          </w:tcPr>
          <w:p>
            <w:pPr>
              <w:jc w:val="right"/>
              <w:ind w:right="751"/>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 (continued)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5"/>
          </w:tcPr>
          <w:p>
            <w:pPr>
              <w:jc w:val="center"/>
              <w:ind w:right="909"/>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center"/>
              <w:ind w:left="269"/>
              <w:spacing w:after="0"/>
              <w:rPr>
                <w:sz w:val="20"/>
                <w:szCs w:val="20"/>
                <w:color w:val="auto"/>
              </w:rPr>
            </w:pPr>
            <w:r>
              <w:rPr>
                <w:rFonts w:ascii="Arial" w:cs="Arial" w:eastAsia="Arial" w:hAnsi="Arial"/>
                <w:sz w:val="14"/>
                <w:szCs w:val="14"/>
                <w:b w:val="1"/>
                <w:bCs w:val="1"/>
                <w:color w:val="auto"/>
                <w:w w:val="89"/>
              </w:rPr>
              <w:t>As</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0"/>
              </w:rPr>
              <w:t>Balances without</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Effect of Change</w:t>
            </w:r>
          </w:p>
        </w:tc>
        <w:tc>
          <w:tcPr>
            <w:tcW w:w="0" w:type="dxa"/>
            <w:vAlign w:val="bottom"/>
          </w:tcPr>
          <w:p>
            <w:pPr>
              <w:spacing w:after="0"/>
              <w:rPr>
                <w:sz w:val="1"/>
                <w:szCs w:val="1"/>
                <w:color w:val="auto"/>
              </w:rPr>
            </w:pPr>
          </w:p>
        </w:tc>
      </w:tr>
      <w:tr>
        <w:trPr>
          <w:trHeight w:val="147"/>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60" w:type="dxa"/>
            <w:vAlign w:val="bottom"/>
            <w:vMerge w:val="restart"/>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Adoption of</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6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b w:val="1"/>
                <w:bCs w:val="1"/>
                <w:color w:val="auto"/>
                <w:w w:val="95"/>
              </w:rPr>
              <w:t>reported</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ASC 606</w:t>
            </w:r>
          </w:p>
        </w:tc>
        <w:tc>
          <w:tcPr>
            <w:tcW w:w="2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Higher/(Lower)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247890"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rPr>
          <w:sz w:val="20"/>
          <w:szCs w:val="20"/>
          <w:color w:val="auto"/>
        </w:rPr>
      </w:pPr>
      <w:r>
        <w:rPr>
          <w:rFonts w:ascii="Arial" w:cs="Arial" w:eastAsia="Arial" w:hAnsi="Arial"/>
          <w:sz w:val="18"/>
          <w:szCs w:val="18"/>
          <w:color w:val="auto"/>
        </w:rPr>
        <w:t>Revenues,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Cost of revenues (excluding depreciation and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p>
    <w:p>
      <w:pPr>
        <w:ind w:right="1460"/>
        <w:spacing w:after="0" w:line="263" w:lineRule="auto"/>
        <w:rPr>
          <w:sz w:val="20"/>
          <w:szCs w:val="20"/>
          <w:color w:val="auto"/>
        </w:rPr>
      </w:pPr>
      <w:r>
        <w:rPr>
          <w:rFonts w:ascii="Arial" w:cs="Arial" w:eastAsia="Arial" w:hAnsi="Arial"/>
          <w:sz w:val="18"/>
          <w:szCs w:val="18"/>
          <w:color w:val="auto"/>
        </w:rPr>
        <w:t>Income from continuing operations before income tax provision Income tax provision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Statement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59,925</w:t>
            </w:r>
          </w:p>
        </w:tc>
        <w:tc>
          <w:tcPr>
            <w:tcW w:w="6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59,291</w:t>
            </w:r>
          </w:p>
        </w:tc>
        <w:tc>
          <w:tcPr>
            <w:tcW w:w="6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681"/>
        </w:trPr>
        <w:tc>
          <w:tcPr>
            <w:tcW w:w="46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25,102</w:t>
            </w:r>
          </w:p>
        </w:tc>
        <w:tc>
          <w:tcPr>
            <w:tcW w:w="62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25,154</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7"/>
        </w:trPr>
        <w:tc>
          <w:tcPr>
            <w:tcW w:w="46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8,559</w:t>
            </w:r>
          </w:p>
        </w:tc>
        <w:tc>
          <w:tcPr>
            <w:tcW w:w="6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8,982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27"/>
        </w:trPr>
        <w:tc>
          <w:tcPr>
            <w:tcW w:w="46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4,661</w:t>
            </w:r>
          </w:p>
        </w:tc>
        <w:tc>
          <w:tcPr>
            <w:tcW w:w="6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3,552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27"/>
        </w:trPr>
        <w:tc>
          <w:tcPr>
            <w:tcW w:w="46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4,113</w:t>
            </w:r>
          </w:p>
        </w:tc>
        <w:tc>
          <w:tcPr>
            <w:tcW w:w="6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3,004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27"/>
        </w:trPr>
        <w:tc>
          <w:tcPr>
            <w:tcW w:w="46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1,077</w:t>
            </w:r>
          </w:p>
        </w:tc>
        <w:tc>
          <w:tcPr>
            <w:tcW w:w="6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787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7"/>
        </w:trPr>
        <w:tc>
          <w:tcPr>
            <w:tcW w:w="46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3,036</w:t>
            </w:r>
          </w:p>
        </w:tc>
        <w:tc>
          <w:tcPr>
            <w:tcW w:w="6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2,217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27"/>
        </w:trPr>
        <w:tc>
          <w:tcPr>
            <w:tcW w:w="46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3,036</w:t>
            </w:r>
          </w:p>
        </w:tc>
        <w:tc>
          <w:tcPr>
            <w:tcW w:w="6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2,217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-4287520</wp:posOffset>
            </wp:positionH>
            <wp:positionV relativeFrom="paragraph">
              <wp:posOffset>-1153795</wp:posOffset>
            </wp:positionV>
            <wp:extent cx="7247890"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890" cy="144145"/>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-864870</wp:posOffset>
            </wp:positionV>
            <wp:extent cx="7247890" cy="144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890" cy="144145"/>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-575945</wp:posOffset>
            </wp:positionV>
            <wp:extent cx="7247890" cy="14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890" cy="144145"/>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-287020</wp:posOffset>
            </wp:positionV>
            <wp:extent cx="7247890" cy="144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890" cy="144145"/>
                    </a:xfrm>
                    <a:prstGeom prst="rect">
                      <a:avLst/>
                    </a:prstGeom>
                    <a:noFill/>
                  </pic:spPr>
                </pic:pic>
              </a:graphicData>
            </a:graphic>
          </wp:anchor>
        </w:drawing>
      </w:r>
    </w:p>
    <w:p>
      <w:pPr>
        <w:spacing w:after="0" w:line="26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Nine Months Ended September 30, 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2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As</w:t>
            </w:r>
          </w:p>
        </w:tc>
        <w:tc>
          <w:tcPr>
            <w:tcW w:w="1600" w:type="dxa"/>
            <w:vAlign w:val="bottom"/>
            <w:tcBorders>
              <w:top w:val="single" w:sz="8" w:color="auto"/>
            </w:tcBorders>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0"/>
              </w:rPr>
              <w:t>Balances without</w:t>
            </w: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Effect of Change</w:t>
            </w:r>
          </w:p>
        </w:tc>
        <w:tc>
          <w:tcPr>
            <w:tcW w:w="0" w:type="dxa"/>
            <w:vAlign w:val="bottom"/>
          </w:tcPr>
          <w:p>
            <w:pPr>
              <w:spacing w:after="0"/>
              <w:rPr>
                <w:sz w:val="1"/>
                <w:szCs w:val="1"/>
                <w:color w:val="auto"/>
              </w:rPr>
            </w:pPr>
          </w:p>
        </w:tc>
      </w:tr>
      <w:tr>
        <w:trPr>
          <w:trHeight w:val="147"/>
        </w:trPr>
        <w:tc>
          <w:tcPr>
            <w:tcW w:w="1620" w:type="dxa"/>
            <w:vAlign w:val="bottom"/>
            <w:gridSpan w:val="2"/>
            <w:vMerge w:val="continue"/>
          </w:tcPr>
          <w:p>
            <w:pPr>
              <w:spacing w:after="0"/>
              <w:rPr>
                <w:sz w:val="12"/>
                <w:szCs w:val="12"/>
                <w:color w:val="auto"/>
              </w:rPr>
            </w:pPr>
          </w:p>
        </w:tc>
        <w:tc>
          <w:tcPr>
            <w:tcW w:w="16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Adoption of</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reported</w:t>
            </w:r>
          </w:p>
        </w:tc>
        <w:tc>
          <w:tcPr>
            <w:tcW w:w="2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ASC 606</w:t>
            </w:r>
          </w:p>
        </w:tc>
        <w:tc>
          <w:tcPr>
            <w:tcW w:w="2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Higher/(Lower)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40" w:space="720"/>
            <w:col w:w="46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5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 net</w:t>
            </w:r>
          </w:p>
        </w:tc>
        <w:tc>
          <w:tcPr>
            <w:tcW w:w="580" w:type="dxa"/>
            <w:vAlign w:val="bottom"/>
            <w:tcBorders>
              <w:top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171,791</w:t>
            </w:r>
          </w:p>
        </w:tc>
        <w:tc>
          <w:tcPr>
            <w:tcW w:w="560" w:type="dxa"/>
            <w:vAlign w:val="bottom"/>
            <w:tcBorders>
              <w:top w:val="single" w:sz="8" w:color="CFF0FC"/>
            </w:tcBorders>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171,053</w:t>
            </w:r>
          </w:p>
        </w:tc>
        <w:tc>
          <w:tcPr>
            <w:tcW w:w="620" w:type="dxa"/>
            <w:vAlign w:val="bottom"/>
            <w:tcBorders>
              <w:top w:val="single" w:sz="8" w:color="CFF0FC"/>
            </w:tcBorders>
            <w:shd w:val="clear" w:color="auto" w:fill="CFF0FC"/>
          </w:tcPr>
          <w:p>
            <w:pPr>
              <w:jc w:val="right"/>
              <w:ind w:right="311"/>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13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1380" w:type="dxa"/>
            <w:vAlign w:val="bottom"/>
            <w:tcBorders>
              <w:bottom w:val="single" w:sz="8" w:color="auto"/>
            </w:tcBorders>
            <w:shd w:val="clear" w:color="auto" w:fill="CFF0FC"/>
          </w:tcPr>
          <w:p>
            <w:pPr>
              <w:spacing w:after="0" w:line="188" w:lineRule="exact"/>
              <w:rPr>
                <w:sz w:val="20"/>
                <w:szCs w:val="20"/>
                <w:color w:val="auto"/>
              </w:rPr>
            </w:pPr>
            <w:r>
              <w:rPr>
                <w:rFonts w:ascii="Arial" w:cs="Arial" w:eastAsia="Arial" w:hAnsi="Arial"/>
                <w:sz w:val="18"/>
                <w:szCs w:val="18"/>
                <w:color w:val="auto"/>
                <w:w w:val="83"/>
              </w:rPr>
              <w:t>Costs and expenses</w:t>
            </w:r>
          </w:p>
        </w:tc>
        <w:tc>
          <w:tcPr>
            <w:tcW w:w="52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58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70,586</w:t>
            </w:r>
          </w:p>
        </w:tc>
        <w:tc>
          <w:tcPr>
            <w:tcW w:w="5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70,318</w:t>
            </w:r>
          </w:p>
        </w:tc>
        <w:tc>
          <w:tcPr>
            <w:tcW w:w="6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26,536</w:t>
            </w:r>
          </w:p>
        </w:tc>
        <w:tc>
          <w:tcPr>
            <w:tcW w:w="5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28,572</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8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12,654</w:t>
            </w:r>
          </w:p>
        </w:tc>
        <w:tc>
          <w:tcPr>
            <w:tcW w:w="5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10,148</w:t>
            </w:r>
          </w:p>
        </w:tc>
        <w:tc>
          <w:tcPr>
            <w:tcW w:w="6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from continuing operations before income tax provision</w:t>
            </w: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12,895</w:t>
            </w:r>
          </w:p>
        </w:tc>
        <w:tc>
          <w:tcPr>
            <w:tcW w:w="5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10,389</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58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2,575</w:t>
            </w:r>
          </w:p>
        </w:tc>
        <w:tc>
          <w:tcPr>
            <w:tcW w:w="5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2,075</w:t>
            </w:r>
          </w:p>
        </w:tc>
        <w:tc>
          <w:tcPr>
            <w:tcW w:w="6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10,320</w:t>
            </w:r>
          </w:p>
        </w:tc>
        <w:tc>
          <w:tcPr>
            <w:tcW w:w="5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8,314</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29,427</w:t>
            </w:r>
          </w:p>
        </w:tc>
        <w:tc>
          <w:tcPr>
            <w:tcW w:w="5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27,421</w:t>
            </w:r>
          </w:p>
        </w:tc>
        <w:tc>
          <w:tcPr>
            <w:tcW w:w="6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114" w:lineRule="exact"/>
        <w:rPr>
          <w:sz w:val="20"/>
          <w:szCs w:val="20"/>
          <w:color w:val="auto"/>
        </w:rPr>
      </w:pPr>
    </w:p>
    <w:p>
      <w:pPr>
        <w:ind w:left="820" w:hanging="4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14" w:lineRule="exact"/>
        <w:rPr>
          <w:rFonts w:ascii="Arial" w:cs="Arial" w:eastAsia="Arial" w:hAnsi="Arial"/>
          <w:sz w:val="18"/>
          <w:szCs w:val="18"/>
          <w:color w:val="auto"/>
        </w:rPr>
      </w:pPr>
    </w:p>
    <w:p>
      <w:pPr>
        <w:ind w:left="820" w:hanging="4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4" w:lineRule="exact"/>
        <w:rPr>
          <w:rFonts w:ascii="Arial" w:cs="Arial" w:eastAsia="Arial" w:hAnsi="Arial"/>
          <w:sz w:val="18"/>
          <w:szCs w:val="18"/>
          <w:color w:val="auto"/>
        </w:rPr>
      </w:pPr>
    </w:p>
    <w:p>
      <w:pPr>
        <w:ind w:left="820" w:hanging="4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4" w:lineRule="exact"/>
        <w:rPr>
          <w:rFonts w:ascii="Arial" w:cs="Arial" w:eastAsia="Arial" w:hAnsi="Arial"/>
          <w:sz w:val="18"/>
          <w:szCs w:val="18"/>
          <w:color w:val="auto"/>
        </w:rPr>
      </w:pPr>
    </w:p>
    <w:p>
      <w:pPr>
        <w:ind w:left="820" w:hanging="4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4" w:lineRule="exact"/>
        <w:rPr>
          <w:rFonts w:ascii="Arial" w:cs="Arial" w:eastAsia="Arial" w:hAnsi="Arial"/>
          <w:sz w:val="18"/>
          <w:szCs w:val="18"/>
          <w:color w:val="auto"/>
        </w:rPr>
      </w:pPr>
    </w:p>
    <w:p>
      <w:pPr>
        <w:ind w:left="820" w:hanging="4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1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represents revenues included in continuing operations disaggregated by revenue source for the three and nine months ended September 30, 2018 (in thousands). Sales taxes are excluded from revenues.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center"/>
              <w:ind w:left="420"/>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6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7"/>
          </w:tcPr>
          <w:p>
            <w:pPr>
              <w:jc w:val="right"/>
              <w:ind w:right="775"/>
              <w:spacing w:after="0"/>
              <w:rPr>
                <w:sz w:val="20"/>
                <w:szCs w:val="20"/>
                <w:color w:val="auto"/>
              </w:rPr>
            </w:pPr>
            <w:r>
              <w:rPr>
                <w:rFonts w:ascii="Arial" w:cs="Arial" w:eastAsia="Arial" w:hAnsi="Arial"/>
                <w:sz w:val="14"/>
                <w:szCs w:val="14"/>
                <w:b w:val="1"/>
                <w:bCs w:val="1"/>
                <w:color w:val="auto"/>
              </w:rPr>
              <w:t>Nine Months Ended September 30, 2018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760"/>
              <w:spacing w:after="0" w:line="131" w:lineRule="exact"/>
              <w:rPr>
                <w:sz w:val="20"/>
                <w:szCs w:val="20"/>
                <w:color w:val="auto"/>
              </w:rPr>
            </w:pPr>
            <w:r>
              <w:rPr>
                <w:rFonts w:ascii="Arial" w:cs="Arial" w:eastAsia="Arial" w:hAnsi="Arial"/>
                <w:sz w:val="14"/>
                <w:szCs w:val="14"/>
                <w:b w:val="1"/>
                <w:bCs w:val="1"/>
                <w:color w:val="auto"/>
                <w:w w:val="95"/>
              </w:rPr>
              <w:t>Workforce</w:t>
            </w:r>
          </w:p>
        </w:tc>
        <w:tc>
          <w:tcPr>
            <w:tcW w:w="100" w:type="dxa"/>
            <w:vAlign w:val="bottom"/>
          </w:tcPr>
          <w:p>
            <w:pPr>
              <w:spacing w:after="0"/>
              <w:rPr>
                <w:sz w:val="11"/>
                <w:szCs w:val="11"/>
                <w:color w:val="auto"/>
              </w:rPr>
            </w:pPr>
          </w:p>
        </w:tc>
        <w:tc>
          <w:tcPr>
            <w:tcW w:w="74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94"/>
              </w:rPr>
              <w:t>Provider</w:t>
            </w:r>
          </w:p>
        </w:tc>
        <w:tc>
          <w:tcPr>
            <w:tcW w:w="640" w:type="dxa"/>
            <w:vAlign w:val="bottom"/>
          </w:tcPr>
          <w:p>
            <w:pPr>
              <w:spacing w:after="0"/>
              <w:rPr>
                <w:sz w:val="11"/>
                <w:szCs w:val="11"/>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1"/>
                <w:szCs w:val="11"/>
                <w:color w:val="auto"/>
              </w:rPr>
            </w:pPr>
          </w:p>
        </w:tc>
        <w:tc>
          <w:tcPr>
            <w:tcW w:w="820" w:type="dxa"/>
            <w:vAlign w:val="bottom"/>
          </w:tcPr>
          <w:p>
            <w:pPr>
              <w:jc w:val="right"/>
              <w:ind w:right="60"/>
              <w:spacing w:after="0" w:line="131" w:lineRule="exact"/>
              <w:rPr>
                <w:sz w:val="20"/>
                <w:szCs w:val="20"/>
                <w:color w:val="auto"/>
              </w:rPr>
            </w:pPr>
            <w:r>
              <w:rPr>
                <w:rFonts w:ascii="Arial" w:cs="Arial" w:eastAsia="Arial" w:hAnsi="Arial"/>
                <w:sz w:val="14"/>
                <w:szCs w:val="14"/>
                <w:b w:val="1"/>
                <w:bCs w:val="1"/>
                <w:color w:val="auto"/>
                <w:w w:val="95"/>
              </w:rPr>
              <w:t>Workforce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Provider</w:t>
            </w:r>
          </w:p>
        </w:tc>
        <w:tc>
          <w:tcPr>
            <w:tcW w:w="10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0"/>
        </w:trPr>
        <w:tc>
          <w:tcPr>
            <w:tcW w:w="1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Pr>
          <w:p>
            <w:pPr>
              <w:spacing w:after="0"/>
              <w:rPr>
                <w:sz w:val="14"/>
                <w:szCs w:val="14"/>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Solutions</w:t>
            </w:r>
          </w:p>
        </w:tc>
        <w:tc>
          <w:tcPr>
            <w:tcW w:w="64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00"/>
              <w:spacing w:after="0"/>
              <w:rPr>
                <w:sz w:val="20"/>
                <w:szCs w:val="20"/>
                <w:color w:val="auto"/>
              </w:rPr>
            </w:pPr>
            <w:r>
              <w:rPr>
                <w:rFonts w:ascii="Arial" w:cs="Arial" w:eastAsia="Arial" w:hAnsi="Arial"/>
                <w:sz w:val="14"/>
                <w:szCs w:val="14"/>
                <w:b w:val="1"/>
                <w:bCs w:val="1"/>
                <w:color w:val="auto"/>
                <w:w w:val="97"/>
              </w:rPr>
              <w:t>Solutions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88"/>
              </w:rPr>
              <w:t>Subscription/SaaS services</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47,639</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8,521</w:t>
            </w:r>
          </w:p>
        </w:tc>
        <w:tc>
          <w:tcPr>
            <w:tcW w:w="6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56,160</w:t>
            </w:r>
          </w:p>
        </w:tc>
        <w:tc>
          <w:tcPr>
            <w:tcW w:w="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137,083</w:t>
            </w:r>
          </w:p>
        </w:tc>
        <w:tc>
          <w:tcPr>
            <w:tcW w:w="6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26,221</w:t>
            </w:r>
          </w:p>
        </w:tc>
        <w:tc>
          <w:tcPr>
            <w:tcW w:w="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163,304</w:t>
            </w:r>
          </w:p>
        </w:tc>
        <w:tc>
          <w:tcPr>
            <w:tcW w:w="3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6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w:t>
            </w:r>
          </w:p>
        </w:tc>
        <w:tc>
          <w:tcPr>
            <w:tcW w:w="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8,487</w:t>
            </w:r>
          </w:p>
        </w:tc>
        <w:tc>
          <w:tcPr>
            <w:tcW w:w="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 net</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49,128</w:t>
            </w:r>
          </w:p>
        </w:tc>
        <w:tc>
          <w:tcPr>
            <w:tcW w:w="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10,797</w:t>
            </w:r>
          </w:p>
        </w:tc>
        <w:tc>
          <w:tcPr>
            <w:tcW w:w="6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59,925</w:t>
            </w:r>
          </w:p>
        </w:tc>
        <w:tc>
          <w:tcPr>
            <w:tcW w:w="6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141,043</w:t>
            </w:r>
          </w:p>
        </w:tc>
        <w:tc>
          <w:tcPr>
            <w:tcW w:w="6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30,748</w:t>
            </w:r>
          </w:p>
        </w:tc>
        <w:tc>
          <w:tcPr>
            <w:tcW w:w="6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171,791</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 (continued)</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Subscription/SaaS services revenues primarily consist of fees that provide customers access to one or more of our SaaS-based solutions and/or courseware subscriptions, which include routine customer support and technology enhancements. Revenue is generally recognized over time during the contract term beginning when the service is made available to the customer. Subscription/SaaS contracts are generally non-cancelable, one to five years in length, and billed annually, semi-annually, quarterly, or monthly in advance.</w:t>
      </w:r>
    </w:p>
    <w:p>
      <w:pPr>
        <w:spacing w:after="0" w:line="84"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Professional services revenues primarily consist of fees for implementation services, custom courseware development, and training. The majority of our professional services contracts are billed in advance based on a fixed price basis, and revenue is recognized over time as the services are performed. For both subscription/SaaS services and professional services, the time between billing the customer and when performance obligations are satisfied is not significant.</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contracts with customers often contain multiple performance obligations. For these contracts, the Company accounts for individual performance obligations separately if they are distinct. The contract price, which represents transaction price,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subscribers within the contract.</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receive payments from customers based on billing schedules established in our contracts. Accounts receivable - unbilled represent contract assets related to our conditional right to consideration for subscription/SaaS and professional services contracts where performance has occurred under the contract. Accounts receivable are primarily comprised of trade receivables that are recorded at the invoice amount, net of an allowance for doubtful accounts, when the right to consideration becomes unconditional.</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receivables, which are included within Accounts Receivable, include receivables from certain content partners and are not material. For the three months ended September 30, 2018 and 2017, the Company recognized $300,000 and $350,000 in impairment losses on receivables and contract assets arising from the Company’s contracts with customers. For the nine months ended September 30, 2018 and 2017, the Company recognized $690,000 and $820,000 in impairment losses on receivables and contract assets arising from the Company’s contracts with customers.</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Deferred revenue represents contract liabilities that are recorded when cash payments are received or are due in advance of our satisfaction of performance obligations. During the three and nine months ended September 30, 2018, we recognized revenues of approximately $32.4 million and $59.0 million from amounts included in deferred revenue at the beginning of the period. As of September 30, 2018, approximately $370 million of revenue is expected to be recognized from remaining performance obligations under contract with customers. We expect to recognize revenue on approximately 46% of these remaining performance obligations over the next 12 months, with the remaining amounts recognized thereafter.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Sales commissions earned by our sales organization are considered incremental and recoverable costs of obtaining a contract with a customer. The Company’s sales commission plans for 2018 typically include multiple payments, including initial payments in the period a customer contract is obtained and subsequent payments either 15 or 27 months after the initial payment. Under ASC 606, costs to acquire contracts with customers, such as the initial sales commission payment, are capitalized and amortized consistent with the pattern of revenue recognition, whereas subsequent sales commission payments which require a substantive performance condition of the employee are expensed ratably through the payment date. In contrast, under ASC 605, initial sales commission payments were expensed in the period earned. Under ASC 606, the initial commission payments are capitalized in the period a customer contract is obtained and are amortized consistent with the transfer of the goods or services to the customer over the expected period of benefit. The capitalized contract cost is included in Deferred commissions in the accompanying condensed consolidated balance sheet.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expected customer relationship period, limited by the technological obsolescence period of approximately three years. The Company recorded amortization of deferred commissions of approximately $2.0 million and $5.7 million for the three and nine months ended September 30, 2018, respectively, which is included in Sales and marketing expenses in the accompanying condensed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months ended September 30, 2018 and 2017, the Company recorded a provision for income taxes from continuing operations of approximately $1.1 million and $1.2 million, respectively. During the nine months ended September 30, 2018 and 2017, the Company recorded a provision for income taxes from continuing operations of approximately $2.6 million and $2.7 million, respectively. The Company’s effective tax rate for continuing operations for the nine months ended September 30, 2018 and 2017 was 20% and 32%, respectively. During the nine months ended September 30, 2018 and 2017, the Company recorded excess tax benefits primarily from stock option exercises of approximately $692,000 and $428,000, respectively, as a component of the provision for income taxes. The Company’s effective tax rate primarily reflects the statutory corporate income tax rate, the net effect of state taxes, and the effect of various permanent tax differences.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December 2017, the Tax Cuts and Jobs Act ("Tax Act") was enacted into law, significantly changing income tax law that affects U.S corporations. Key changes included a corporate tax rate reduction from 35 percent to 21 percent effective January 1, 2018, expensing of certain qualified property, significant changes to the U.S international tax system such as a one-time transition tax on accumulated foreign earnings, and changing how foreign earnings are subject to U.S. tax. The Company was required to recognize the effects of the tax law changes in the period of enactment, including the determination of the transition tax and the re-measurement of deferred taxes as well as to re-assess the realizability of the deferred tax assets. Subsequent to the enactment of the Tax Act, the SEC staff issued Staff Accounting Bulletin No. 118, Income Tax Accounting Implications of the Tax Cuts and Jobs Act ("SAB 118"), which allows companies to record provisional amounts related to the effects of the Tax Act to the extent that a company’s accounting for certain income tax effects of the Tax Act is incomplete but the company is able to determine a reasonable estimate during a measurement period not to extend beyond one year from the enactment date. Due to the timing of the Tax Act and additional guidance and interpretations that may be issued by the U.S. Treasury Department, the Internal Revenue Service ("IRS"), and other standard-setting bodies in the future, the Company has not completed its analysis of the income tax effects of the Tax Act. Any such provisional estimates will be adjusted during the measurement period defined under SAB 118, based upon the Company's ongoing analysis of its data and tax positions along with new guidance from regulators and interpretations of the law. The Company intends to complete its accounting for the Tax Act in the fourth quarter of 2018 in accordance with the prescribed measurement period under SAB 118.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on Common Stock</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February 12, 2018, the Company’s Board of Directors declared a $1.00 per common share special cash dividend, which was paid on April 3, 2018 to shareholders of record on March 6, 2018.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stock awards outstanding under two stock incentive plans: the Company’s 2016 Omnibus Incentive Plan and 2010 Stock Incentive Plan. The Company accounts for its stock based compensation plans using the fair-value based method for costs related to share based payments, including stock options and restricted share units (“RSUs”). During the nine months ended September 30, 2018, the Company issued 83,168 RSUs, subject to service-based time vesting, with a weighted average grant date fair value of $24.70 per share, measured based on the closing fair market value of the Company’s stock on the date of grant. During the nine months ended September 30, 2017, the Company issued 111,039 RSUs, subject to service-based time vesting, with a weighted average grant date fair value of $23.43 per share, measured based on the closing fair market value of the Company’s stock on the date of grant.</w:t>
      </w:r>
    </w:p>
    <w:p>
      <w:pPr>
        <w:spacing w:after="0" w:line="58" w:lineRule="exact"/>
        <w:rPr>
          <w:sz w:val="20"/>
          <w:szCs w:val="20"/>
          <w:color w:val="auto"/>
        </w:rPr>
      </w:pPr>
    </w:p>
    <w:p>
      <w:pPr>
        <w:jc w:val="both"/>
        <w:spacing w:after="0" w:line="338" w:lineRule="auto"/>
        <w:rPr>
          <w:sz w:val="20"/>
          <w:szCs w:val="20"/>
          <w:color w:val="auto"/>
        </w:rPr>
      </w:pPr>
      <w:r>
        <w:rPr>
          <w:rFonts w:ascii="Arial" w:cs="Arial" w:eastAsia="Arial" w:hAnsi="Arial"/>
          <w:sz w:val="14"/>
          <w:szCs w:val="14"/>
          <w:color w:val="auto"/>
        </w:rPr>
        <w:t>During the three months ended June 30, 2018, the Company granted 70,000 performance-based RSUs, the vesting of which occurs over a five year period and is contingent upon continued service and achieving certain performance criteria established by the Compensation Committee on an annual basis. The measurement date for 7,000 of these performance-based RSUs was established during the three months ended September 30, 2018, with a grant date fair value of $29.39 per share, measured based on the closing fair market value of the Company’s stock on the date the performance criteria was established. The performance criteria for the remaining 63,000 performance-based RSUs has not yet been determined and will be established on an annual basis in 2019, 2020, 2021, and 2022, as applicable; therefore, the measurement date for these performance-based RSUs cannot be determined until the performance criteria have been established.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 (continued)</w:t>
      </w:r>
    </w:p>
    <w:p>
      <w:pPr>
        <w:spacing w:after="0" w:line="11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Total stock based compensation expense recognized for the three and nine months ended September 30, 2018 and 2017, which is recorded within continuing operations in the condensed consolidated statements of income,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r>
      <w:tr>
        <w:trPr>
          <w:trHeight w:val="170"/>
        </w:trPr>
        <w:tc>
          <w:tcPr>
            <w:tcW w:w="5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5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3"/>
                <w:szCs w:val="13"/>
                <w:color w:val="auto"/>
              </w:rPr>
            </w:pPr>
          </w:p>
        </w:tc>
        <w:tc>
          <w:tcPr>
            <w:tcW w:w="1040" w:type="dxa"/>
            <w:vAlign w:val="bottom"/>
            <w:gridSpan w:val="2"/>
          </w:tcPr>
          <w:p>
            <w:pPr>
              <w:jc w:val="right"/>
              <w:ind w:right="8"/>
              <w:spacing w:after="0" w:line="154"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8"/>
              <w:spacing w:after="0" w:line="154"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ind w:right="374"/>
              <w:spacing w:after="0" w:line="154"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221"/>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8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0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080" w:type="dxa"/>
            <w:vAlign w:val="bottom"/>
          </w:tcPr>
          <w:p>
            <w:pPr>
              <w:spacing w:after="0"/>
              <w:rPr>
                <w:sz w:val="20"/>
                <w:szCs w:val="20"/>
                <w:color w:val="auto"/>
              </w:rPr>
            </w:pPr>
            <w:r>
              <w:rPr>
                <w:rFonts w:ascii="Arial" w:cs="Arial" w:eastAsia="Arial" w:hAnsi="Arial"/>
                <w:sz w:val="18"/>
                <w:szCs w:val="18"/>
                <w:color w:val="auto"/>
              </w:rPr>
              <w:t>Product development</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r>
      <w:tr>
        <w:trPr>
          <w:trHeight w:val="228"/>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FF0FC"/>
          </w:tcPr>
          <w:p>
            <w:pPr>
              <w:spacing w:after="0"/>
              <w:rPr>
                <w:sz w:val="19"/>
                <w:szCs w:val="19"/>
                <w:color w:val="auto"/>
              </w:rPr>
            </w:pPr>
          </w:p>
        </w:tc>
      </w:tr>
      <w:tr>
        <w:trPr>
          <w:trHeight w:val="227"/>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8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FF0FC"/>
            </w:tcBorders>
          </w:tcPr>
          <w:p>
            <w:pPr>
              <w:spacing w:after="0"/>
              <w:rPr>
                <w:sz w:val="19"/>
                <w:szCs w:val="19"/>
                <w:color w:val="auto"/>
              </w:rPr>
            </w:pPr>
          </w:p>
        </w:tc>
      </w:tr>
      <w:tr>
        <w:trPr>
          <w:trHeight w:val="221"/>
        </w:trPr>
        <w:tc>
          <w:tcPr>
            <w:tcW w:w="5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based compensation expense</w:t>
            </w:r>
          </w:p>
        </w:tc>
        <w:tc>
          <w:tcPr>
            <w:tcW w:w="8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0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18" w:lineRule="exact"/>
        <w:rPr>
          <w:sz w:val="20"/>
          <w:szCs w:val="20"/>
          <w:color w:val="auto"/>
        </w:rPr>
      </w:pPr>
    </w:p>
    <w:p>
      <w:pPr>
        <w:jc w:val="both"/>
        <w:ind w:right="20"/>
        <w:spacing w:after="0" w:line="335" w:lineRule="auto"/>
        <w:rPr>
          <w:sz w:val="20"/>
          <w:szCs w:val="20"/>
          <w:color w:val="auto"/>
        </w:rPr>
      </w:pPr>
      <w:r>
        <w:rPr>
          <w:rFonts w:ascii="Arial" w:cs="Arial" w:eastAsia="Arial" w:hAnsi="Arial"/>
          <w:sz w:val="14"/>
          <w:szCs w:val="14"/>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70,000 and 31,000 for the three months ended September 30, 2018 and 2017, respectively, and approximately 100,000 and 68,000 for the nine months ended September 30, 2018 and 2017, respectively.</w:t>
      </w:r>
    </w:p>
    <w:p>
      <w:pPr>
        <w:spacing w:after="0" w:line="3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2018 and 2017 (in thousands, except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4"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4"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4"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4"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88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3,036</w:t>
            </w:r>
          </w:p>
        </w:tc>
        <w:tc>
          <w:tcPr>
            <w:tcW w:w="6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1,735</w:t>
            </w:r>
          </w:p>
        </w:tc>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10,320</w:t>
            </w:r>
          </w:p>
        </w:tc>
        <w:tc>
          <w:tcPr>
            <w:tcW w:w="62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w:t>
            </w:r>
          </w:p>
        </w:tc>
        <w:tc>
          <w:tcPr>
            <w:tcW w:w="16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29,427</w:t>
            </w:r>
          </w:p>
        </w:tc>
        <w:tc>
          <w:tcPr>
            <w:tcW w:w="2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Weighted-average shares outstanding</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32,244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shares</w:t>
            </w:r>
          </w:p>
        </w:tc>
        <w:tc>
          <w:tcPr>
            <w:tcW w:w="16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Weighted-average diluted shares</w:t>
            </w:r>
          </w:p>
        </w:tc>
        <w:tc>
          <w:tcPr>
            <w:tcW w:w="16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32,415</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32,217</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32,308</w:t>
            </w:r>
          </w:p>
        </w:tc>
        <w:tc>
          <w:tcPr>
            <w:tcW w:w="2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32,183</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188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6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5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620" w:type="dxa"/>
            <w:vAlign w:val="bottom"/>
            <w:gridSpan w:val="2"/>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Discontinued operations</w:t>
            </w:r>
          </w:p>
        </w:tc>
        <w:tc>
          <w:tcPr>
            <w:tcW w:w="16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per share - basic</w:t>
            </w:r>
          </w:p>
        </w:tc>
        <w:tc>
          <w:tcPr>
            <w:tcW w:w="1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diluted:</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88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6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62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16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16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20" w:type="dxa"/>
            <w:vAlign w:val="bottom"/>
            <w:vMerge w:val="restart"/>
          </w:tcPr>
          <w:p>
            <w:pPr>
              <w:jc w:val="right"/>
              <w:ind w:right="11"/>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MARKETABLE SECURITIES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September 30, 2018 and December 31, 2017, the fair value of marketable securities, which were all classified as available for sale, included the following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38"/>
              <w:spacing w:after="0" w:line="131" w:lineRule="exact"/>
              <w:rPr>
                <w:sz w:val="20"/>
                <w:szCs w:val="20"/>
                <w:color w:val="auto"/>
              </w:rPr>
            </w:pPr>
            <w:r>
              <w:rPr>
                <w:rFonts w:ascii="Arial" w:cs="Arial" w:eastAsia="Arial" w:hAnsi="Arial"/>
                <w:sz w:val="14"/>
                <w:szCs w:val="14"/>
                <w:b w:val="1"/>
                <w:bCs w:val="1"/>
                <w:color w:val="auto"/>
                <w:w w:val="93"/>
              </w:rPr>
              <w:t>Adjusted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00"/>
              <w:spacing w:after="0" w:line="131"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2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37,554</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Government-sponsored enterprise debt securities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38"/>
              <w:spacing w:after="0" w:line="131" w:lineRule="exact"/>
              <w:rPr>
                <w:sz w:val="20"/>
                <w:szCs w:val="20"/>
                <w:color w:val="auto"/>
              </w:rPr>
            </w:pPr>
            <w:r>
              <w:rPr>
                <w:rFonts w:ascii="Arial" w:cs="Arial" w:eastAsia="Arial" w:hAnsi="Arial"/>
                <w:sz w:val="14"/>
                <w:szCs w:val="14"/>
                <w:b w:val="1"/>
                <w:bCs w:val="1"/>
                <w:color w:val="auto"/>
                <w:w w:val="93"/>
              </w:rPr>
              <w:t>Adjusted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00"/>
              <w:spacing w:after="0" w:line="131"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2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41,900</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Government-sponsored enterprise debt securities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September 30, 2018, the Company does not consider any of its marketable securities to be other than temporarily impaired. During the nine months ended September 30, 2018 and 2017, the Company did not reclassify any items out of accumulated other comprehensive income to net income. All investments in marketable securities are classified as current assets on the balance sheet because the underlying securities mature within one year from the balance sheet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DISCONTINUED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Experience</w:t>
      </w:r>
    </w:p>
    <w:p>
      <w:pPr>
        <w:spacing w:after="0" w:line="114"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On February 12, 2018, the Company divested its PX business to Press Ganey for $65.5 million in cash (without giving effect to the post-closing adjustment based on the working capital of the PX business at closing), resulting in a gain, net of tax, of $19.1 million. Approximately $6.55 million of the proceeds are being held in escrow for a period of time following the closing as a source of recovery for indemnification claims by Press Ganey. The Company estimated the fair value of the contingent consideration asset based on the likelihood of receiving cash proceeds from the escrow. This contingency is remeasured at fair value based on changes in facts each period through the Gain on sale of discontinued operations line within the condensed consolidated statements of income. The sale of the PX business was effected (i) by the contribution by the Company of specified assets and certain liabilities used in the PX business to a newly-formed wholly-owned subsidiary of the Company, and (ii) immediately thereafter, the sale by the Company to Press Ganey of all the outstanding equity interests of such wholly-owned subsidiary. In connection with such contribution, the Company retained certain liabilities related to the PX business.</w:t>
      </w:r>
    </w:p>
    <w:p>
      <w:pPr>
        <w:spacing w:after="0" w:line="6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This sale of the PX business resulted in the divestiture of the Company’s patient experience solutions business segment. The Company has classified the results of its PX business segment as discontinued operations in its condensed consolidated statements of income and cash flows for all periods presented. Additionally, the related assets and liabilities are reported as assets and liabilities of discontinued operations in the Company’s condensed consolidated balance sheet as of December 31, 2017.</w:t>
      </w:r>
    </w:p>
    <w:p>
      <w:pPr>
        <w:spacing w:after="0" w:line="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financial results of the PX business for the period prior to divestiture during the nine months ended September 30, 2018 and during the nine months ended September 30, 2017 are presented in discontinued operations in the Company’s condensed consolidated statements of income. The following table presents the financial results of the PX business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340" w:type="dxa"/>
            <w:vAlign w:val="bottom"/>
            <w:gridSpan w:val="4"/>
          </w:tcPr>
          <w:p>
            <w:pPr>
              <w:jc w:val="right"/>
              <w:ind w:right="217"/>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5"/>
              <w:spacing w:after="0" w:line="154"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4"/>
              <w:spacing w:after="0" w:line="154"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32"/>
              <w:spacing w:after="0" w:line="154" w:lineRule="exact"/>
              <w:rPr>
                <w:sz w:val="20"/>
                <w:szCs w:val="20"/>
                <w:color w:val="auto"/>
              </w:rPr>
            </w:pPr>
            <w:r>
              <w:rPr>
                <w:rFonts w:ascii="Arial" w:cs="Arial" w:eastAsia="Arial" w:hAnsi="Arial"/>
                <w:sz w:val="14"/>
                <w:szCs w:val="14"/>
                <w:b w:val="1"/>
                <w:bCs w:val="1"/>
                <w:color w:val="auto"/>
                <w:w w:val="83"/>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8,809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revenues (excluding depreciation and amortization)</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4,208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86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Other general and administrative expenses</w:t>
            </w:r>
          </w:p>
        </w:tc>
        <w:tc>
          <w:tcPr>
            <w:tcW w:w="86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Pr>
          <w:p>
            <w:pPr>
              <w:ind w:left="480"/>
              <w:spacing w:after="0"/>
              <w:rPr>
                <w:sz w:val="20"/>
                <w:szCs w:val="20"/>
                <w:color w:val="auto"/>
              </w:rPr>
            </w:pPr>
            <w:r>
              <w:rPr>
                <w:rFonts w:ascii="Arial" w:cs="Arial" w:eastAsia="Arial" w:hAnsi="Arial"/>
                <w:sz w:val="18"/>
                <w:szCs w:val="18"/>
                <w:color w:val="auto"/>
              </w:rPr>
              <w:t>Total operating costs and expenses</w:t>
            </w:r>
          </w:p>
        </w:tc>
        <w:tc>
          <w:tcPr>
            <w:tcW w:w="8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7,559</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w:t>
            </w:r>
          </w:p>
        </w:tc>
        <w:tc>
          <w:tcPr>
            <w:tcW w:w="2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loss</w:t>
            </w:r>
          </w:p>
        </w:tc>
        <w:tc>
          <w:tcPr>
            <w:tcW w:w="86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4"/>
              </w:rPr>
              <w:t>Income (loss) from discontinued operations before income tax provision</w:t>
            </w:r>
          </w:p>
        </w:tc>
        <w:tc>
          <w:tcPr>
            <w:tcW w:w="86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1,238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60" w:type="dxa"/>
            <w:vAlign w:val="bottom"/>
          </w:tcPr>
          <w:p>
            <w:pPr>
              <w:jc w:val="right"/>
              <w:ind w:right="385"/>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DISCONTINUED OPERATIONS (continued)</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aggregate carrying amounts of the classes of assets and liabilities of discontinued operations as of December 31, 2017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amounts of assets included as part of discontinued operations:</w:t>
            </w:r>
          </w:p>
        </w:tc>
        <w:tc>
          <w:tcPr>
            <w:tcW w:w="15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 unbilled</w:t>
            </w:r>
          </w:p>
        </w:tc>
        <w:tc>
          <w:tcPr>
            <w:tcW w:w="15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Prepaid royalties, net of amortization</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prepaid expenses and other current assets</w:t>
            </w:r>
          </w:p>
        </w:tc>
        <w:tc>
          <w:tcPr>
            <w:tcW w:w="15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Current assets of discontinued operations</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77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development, net</w:t>
            </w:r>
          </w:p>
        </w:tc>
        <w:tc>
          <w:tcPr>
            <w:tcW w:w="15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 intangibles, net</w:t>
            </w:r>
          </w:p>
        </w:tc>
        <w:tc>
          <w:tcPr>
            <w:tcW w:w="15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5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Long-term assets of discontinued operations</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77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Total assets of discontinued operations in the condensed consolidated balance sheet</w:t>
            </w:r>
          </w:p>
        </w:tc>
        <w:tc>
          <w:tcPr>
            <w:tcW w:w="2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34,198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7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Carrying amounts of liabilities included as part of discontinued operations:</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and accrued expenses</w:t>
            </w:r>
          </w:p>
        </w:tc>
        <w:tc>
          <w:tcPr>
            <w:tcW w:w="23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Accrued royalties</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5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Current liabilities of discontinued operations</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77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15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 term liabilities</w:t>
            </w:r>
          </w:p>
        </w:tc>
        <w:tc>
          <w:tcPr>
            <w:tcW w:w="15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liabilities of discontinued operations</w:t>
            </w:r>
          </w:p>
        </w:tc>
        <w:tc>
          <w:tcPr>
            <w:tcW w:w="15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7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of discontinued operations in the condensed consolidated balance sheet</w:t>
            </w:r>
          </w:p>
        </w:tc>
        <w:tc>
          <w:tcPr>
            <w:tcW w:w="23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development products and services (HealthStream Workforce Solutions) and provider credentialing, privileging, and enrollment products and services (HealthStream Provider Solutions).</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noted above, the sale of the PX business on February 12, 2018 resulted in the divestiture of the Company’s Patient Experience Solutions segment. Beginning with the first quarter of 2018, the Company classified the results of its Patient Experience Solutions segment as discontinued operations in its condensed consolidated statements of income and cash flows for all periods presented. Additionally, the related assets and liabilities associated with the discontinued operations are shown separately in the Company’s condensed consolidated balance sheet as of December 31, 2017. See Note 8 for additional information.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 (continued)</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for the three and nine months ended September 30, 2018 and 2017 and as of September 30, 2018 and December 31, 2017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9"/>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w w:val="96"/>
              </w:rPr>
              <w:t>September 30,</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 net:</w:t>
            </w: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44,603</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2"/>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6"/>
              </w:rPr>
              <w:t>141,043</w:t>
            </w:r>
          </w:p>
        </w:tc>
        <w:tc>
          <w:tcPr>
            <w:tcW w:w="10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132,561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30,748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88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59,925</w:t>
            </w:r>
          </w:p>
        </w:tc>
        <w:tc>
          <w:tcPr>
            <w:tcW w:w="140" w:type="dxa"/>
            <w:vAlign w:val="bottom"/>
            <w:shd w:val="clear" w:color="auto" w:fill="CFF0FC"/>
          </w:tcPr>
          <w:p>
            <w:pPr>
              <w:spacing w:after="0"/>
              <w:rPr>
                <w:sz w:val="23"/>
                <w:szCs w:val="23"/>
                <w:color w:val="auto"/>
              </w:rPr>
            </w:pP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54,743</w:t>
            </w:r>
          </w:p>
        </w:tc>
        <w:tc>
          <w:tcPr>
            <w:tcW w:w="100" w:type="dxa"/>
            <w:vAlign w:val="bottom"/>
            <w:shd w:val="clear" w:color="auto" w:fill="CFF0FC"/>
          </w:tcPr>
          <w:p>
            <w:pPr>
              <w:spacing w:after="0"/>
              <w:rPr>
                <w:sz w:val="23"/>
                <w:szCs w:val="23"/>
                <w:color w:val="auto"/>
              </w:rPr>
            </w:pPr>
          </w:p>
        </w:tc>
        <w:tc>
          <w:tcPr>
            <w:tcW w:w="700" w:type="dxa"/>
            <w:vAlign w:val="bottom"/>
            <w:gridSpan w:val="2"/>
            <w:shd w:val="clear" w:color="auto" w:fill="CFF0FC"/>
          </w:tcPr>
          <w:p>
            <w:pPr>
              <w:jc w:val="right"/>
              <w:ind w:right="402"/>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6"/>
              </w:rPr>
              <w:t>171,791</w:t>
            </w:r>
          </w:p>
        </w:tc>
        <w:tc>
          <w:tcPr>
            <w:tcW w:w="100" w:type="dxa"/>
            <w:vAlign w:val="bottom"/>
            <w:shd w:val="clear" w:color="auto" w:fill="CFF0FC"/>
          </w:tcPr>
          <w:p>
            <w:pPr>
              <w:spacing w:after="0"/>
              <w:rPr>
                <w:sz w:val="23"/>
                <w:szCs w:val="23"/>
                <w:color w:val="auto"/>
              </w:rPr>
            </w:pPr>
          </w:p>
        </w:tc>
        <w:tc>
          <w:tcPr>
            <w:tcW w:w="52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159,630</w:t>
            </w:r>
          </w:p>
        </w:tc>
        <w:tc>
          <w:tcPr>
            <w:tcW w:w="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9"/>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from continuing operations:</w:t>
            </w:r>
          </w:p>
        </w:tc>
        <w:tc>
          <w:tcPr>
            <w:tcW w:w="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w w:val="96"/>
              </w:rPr>
              <w:t>September 30,</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02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9"/>
              <w:spacing w:after="0" w:line="154"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6"/>
              <w:spacing w:after="0" w:line="154"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29"/>
              <w:spacing w:after="0" w:line="154"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4"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8,477</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2"/>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29,074</w:t>
            </w:r>
          </w:p>
        </w:tc>
        <w:tc>
          <w:tcPr>
            <w:tcW w:w="10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c>
          <w:tcPr>
            <w:tcW w:w="520" w:type="dxa"/>
            <w:vAlign w:val="bottom"/>
            <w:gridSpan w:val="3"/>
          </w:tcPr>
          <w:p>
            <w:pPr>
              <w:jc w:val="right"/>
              <w:ind w:right="20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(7,036)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(6,680)</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w w:val="95"/>
              </w:rPr>
              <w:t>(19,393)</w:t>
            </w:r>
          </w:p>
        </w:tc>
        <w:tc>
          <w:tcPr>
            <w:tcW w:w="52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(18,745)</w:t>
            </w:r>
          </w:p>
        </w:tc>
        <w:tc>
          <w:tcPr>
            <w:tcW w:w="0" w:type="dxa"/>
            <w:vAlign w:val="bottom"/>
          </w:tcPr>
          <w:p>
            <w:pPr>
              <w:spacing w:after="0"/>
              <w:rPr>
                <w:sz w:val="1"/>
                <w:szCs w:val="1"/>
                <w:color w:val="auto"/>
              </w:rPr>
            </w:pPr>
          </w:p>
        </w:tc>
      </w:tr>
      <w:tr>
        <w:trPr>
          <w:trHeight w:val="221"/>
        </w:trPr>
        <w:tc>
          <w:tcPr>
            <w:tcW w:w="5020" w:type="dxa"/>
            <w:vAlign w:val="bottom"/>
          </w:tcPr>
          <w:p>
            <w:pPr>
              <w:ind w:left="500"/>
              <w:spacing w:after="0"/>
              <w:rPr>
                <w:sz w:val="20"/>
                <w:szCs w:val="20"/>
                <w:color w:val="auto"/>
              </w:rPr>
            </w:pPr>
            <w:r>
              <w:rPr>
                <w:rFonts w:ascii="Arial" w:cs="Arial" w:eastAsia="Arial" w:hAnsi="Arial"/>
                <w:sz w:val="18"/>
                <w:szCs w:val="18"/>
                <w:color w:val="auto"/>
              </w:rPr>
              <w:t>Total operating income from continuing operations</w:t>
            </w:r>
          </w:p>
        </w:tc>
        <w:tc>
          <w:tcPr>
            <w:tcW w:w="8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12,654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5020" w:type="dxa"/>
            <w:vAlign w:val="bottom"/>
          </w:tcPr>
          <w:p>
            <w:pPr>
              <w:spacing w:after="0"/>
              <w:rPr>
                <w:sz w:val="20"/>
                <w:szCs w:val="20"/>
                <w:color w:val="auto"/>
              </w:rPr>
            </w:pPr>
            <w:r>
              <w:rPr>
                <w:rFonts w:ascii="Arial" w:cs="Arial" w:eastAsia="Arial" w:hAnsi="Arial"/>
                <w:sz w:val="14"/>
                <w:szCs w:val="14"/>
                <w:b w:val="1"/>
                <w:bCs w:val="1"/>
                <w:color w:val="auto"/>
              </w:rPr>
              <w:t>Segment assets *</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w w:val="99"/>
              </w:rPr>
              <w:t>September 30, 2018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8"/>
          </w:tcPr>
          <w:p>
            <w:pPr>
              <w:ind w:left="2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21"/>
        </w:trPr>
        <w:tc>
          <w:tcPr>
            <w:tcW w:w="50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91,696</w:t>
            </w: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90,055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143,781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150,797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Unallocated</w:t>
            </w: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186,023</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136,069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421,500</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411,119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both"/>
        <w:ind w:left="400" w:hanging="393"/>
        <w:spacing w:after="0" w:line="236" w:lineRule="auto"/>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4"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auto"/>
        </w:rPr>
        <w:t>The Company entered into a First Amendment to Revolving Credit Agreement dated as of November 13, 2017, amending the Company’s Revolving Credit Facility, dated as of November 24, 2014 (“Revolving Credit Facility”) with SunTrust Bank (“SunTrust”), which amendment extended the maturity date under the Revolving Credit Facility to November 24, 2018.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2018,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(continued)</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4" w:lineRule="exact"/>
        <w:rPr>
          <w:sz w:val="20"/>
          <w:szCs w:val="20"/>
          <w:color w:val="auto"/>
        </w:rPr>
      </w:pPr>
    </w:p>
    <w:p>
      <w:pPr>
        <w:ind w:left="400" w:hanging="393"/>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14" w:lineRule="exact"/>
        <w:rPr>
          <w:rFonts w:ascii="Arial" w:cs="Arial" w:eastAsia="Arial" w:hAnsi="Arial"/>
          <w:sz w:val="18"/>
          <w:szCs w:val="18"/>
          <w:color w:val="auto"/>
        </w:rPr>
      </w:pPr>
    </w:p>
    <w:p>
      <w:pPr>
        <w:ind w:left="400" w:hanging="393"/>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2018, the Company was in compliance with all covenants. There were no balances outstanding on the Revolving Credit Facility as of or during the three and nine months ended September 30, 2018.</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NON-MARKETABLE EQUITY INVESTMENTS</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Non-marketable equity investments are accounted for using the equity method when the Company can exercise significant influence over the investee. Non-marketable equity investments where the Company is not able to exercise significant influence over the investee are accounted for under the cost method. ASU 2016-01, </w:t>
      </w:r>
      <w:r>
        <w:rPr>
          <w:rFonts w:ascii="Arial" w:cs="Arial" w:eastAsia="Arial" w:hAnsi="Arial"/>
          <w:sz w:val="16"/>
          <w:szCs w:val="16"/>
          <w:i w:val="1"/>
          <w:iCs w:val="1"/>
          <w:color w:val="auto"/>
        </w:rPr>
        <w:t>Financial Instruments – Overall (Subtopic 825-10)</w:t>
      </w:r>
      <w:r>
        <w:rPr>
          <w:rFonts w:ascii="Arial" w:cs="Arial" w:eastAsia="Arial" w:hAnsi="Arial"/>
          <w:sz w:val="16"/>
          <w:szCs w:val="16"/>
          <w:color w:val="auto"/>
        </w:rPr>
        <w:t>, became effective for the Company as of January 1, 2018 and requires equity investments (except those accounted for under the equity method of accounting or those that result in consolidation of the investee) to be measured at fair value with changes in fair value recognized in net income. During the three months ended September 30, 2018, the Company recorded a $1.3 million reduction to the carrying value of a cost method investment due to a change in fair value, based on observable prices from an orderly transaction for a similar investment made in this investee. The fair value adjustment is included in Other (loss) income, net in the accompanying condensed consolidated statements of income. The aggregate carrying amount of all cost method investments was $2.1 million and $2.5 million as of September 30, 2018 and December 31, 2017, respectively, which carrying value we evaluate for impairment at each reporting period. The fair value of a cost method investment is not estimated if there are no identified events or changes in circumstances that may have a significant adverse effect on the fair value of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right="4380"/>
        <w:spacing w:after="0" w:line="276" w:lineRule="exact"/>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r>
        <w:rPr>
          <w:rFonts w:ascii="Arial" w:cs="Arial" w:eastAsia="Arial" w:hAnsi="Arial"/>
          <w:sz w:val="17"/>
          <w:szCs w:val="17"/>
          <w:b w:val="1"/>
          <w:bCs w:val="1"/>
          <w:color w:val="auto"/>
        </w:rPr>
        <w:t xml:space="preserve"> Special Cautionary Notice Regarding Forward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Looking Statements</w:t>
      </w:r>
    </w:p>
    <w:p>
      <w:pPr>
        <w:spacing w:after="0" w:line="9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2017, appearing in our Annual Report on Form 10-K that was filed with the Securities and Exchange Commission (“SEC”) on February 26, 2018 (the “2017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Part I, Item 1A. Risk Factors in our 2017 Form 10-K and the information regarding forward-looking statements and other disclosures in our 2017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HealthStream provides workforce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provider products are used by healthcare organizations for provider credentialing, privileging, call center, and enrollment needs. HealthStream’s customers include healthcare organizations, pharmaceutical and medical device companies, and other participants in the healthcare industry.</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12, 2018, the Company divested its PX business to Press Ganey for $65.5 million in cash (without giving effect to the post-closing adjustment based on the working capital of the PX business at closing), resulting in a gain, net of tax, of $19.1 million. The sale of the PX business resulted in the divestiture of the Company’s patient experience solutions business segment. With the proceeds of the sale, our Board of Directors declared a $1.00 per common share special cash dividend, which was paid on April 3, 2018 to shareholders of record on March 6, 2018. For additional information regarding the disposition of the PX business, including certain pro forma financial information reflecting the disposition of the PX business, see our Current Report on Form 8-K filed with the SEC on February 12, 2018.</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Key financial indicators of operations for the third quarter of 2018 are set forth in the bullets below. These indicators (i) reflect results from continuing operations (i.e., 2017 and 2018 results do not include the gain on the sale of the PX business or the results of operations of such business prior to this sale), and (ii) 2018 results are presented in accordance with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whereas results for 2017 are presented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w:t>
      </w:r>
    </w:p>
    <w:p>
      <w:pPr>
        <w:sectPr>
          <w:pgSz w:w="11900" w:h="16838" w:orient="portrait"/>
          <w:cols w:equalWidth="0" w:num="1">
            <w:col w:w="11420"/>
          </w:cols>
          <w:pgMar w:left="240" w:top="349" w:right="2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Revenues of $59.9 million in the third quarter of 2018, up 9% from $54.7 million in the third quarter of 2017 with $634,000 positive impact in the third quarter of 2018 from the application of ASC 606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of $4.7 million in the third quarter of 2018, up 71% from $2.7 million in the third quarter of 2017 with $1.1 million positive impact in the third quarter of 2018 from the application of ASC 606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of $3.0 million in the third quarter of 2018, up 75% from $1.7 million in the third quarter of 2017 with $819,000 positive impact in the third quarter of 2018 from the application of ASC 606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(“EPS”) from continuing operations of $0.09 per share (diluted) in the third quarter of 2018, compared to EPS from continuing operations of $0.06 per share (diluted) in the third quarter of 2017</w:t>
      </w:r>
    </w:p>
    <w:p>
      <w:pPr>
        <w:spacing w:after="0" w:line="6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13"/>
          <w:szCs w:val="13"/>
          <w:color w:val="auto"/>
        </w:rPr>
        <w:t>1</w:t>
      </w:r>
      <w:r>
        <w:rPr>
          <w:rFonts w:ascii="Arial" w:cs="Arial" w:eastAsia="Arial" w:hAnsi="Arial"/>
          <w:sz w:val="18"/>
          <w:szCs w:val="18"/>
          <w:color w:val="auto"/>
        </w:rPr>
        <w:t xml:space="preserve"> from continuing operations of $11.1 million in the third quarter of 2018, up 22% from $9.1 million in the third quarter of 2017 with $1.1 million positive impact in the third quarter of 2018 from the application of ASC 606</w:t>
      </w:r>
    </w:p>
    <w:p>
      <w:pPr>
        <w:spacing w:after="0" w:line="77" w:lineRule="exact"/>
        <w:rPr>
          <w:sz w:val="20"/>
          <w:szCs w:val="20"/>
          <w:color w:val="auto"/>
        </w:rPr>
      </w:pPr>
    </w:p>
    <w:p>
      <w:pPr>
        <w:sectPr>
          <w:pgSz w:w="11900" w:h="16838" w:orient="portrait"/>
          <w:cols w:equalWidth="0" w:num="2">
            <w:col w:w="100" w:space="300"/>
            <w:col w:w="11020"/>
          </w:cols>
          <w:pgMar w:left="240" w:top="349" w:right="239" w:bottom="1440" w:gutter="0" w:footer="0" w:header="0"/>
          <w:type w:val="continuous"/>
        </w:sectPr>
      </w:pPr>
    </w:p>
    <w:p>
      <w:pPr>
        <w:jc w:val="both"/>
        <w:ind w:left="400" w:hanging="393"/>
        <w:spacing w:after="0" w:line="236"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EBITDA and adjusted EBITDA from continuing operations are non-GAAP financial measures. A reconciliation of adjusted EBITDA to net income and a reconciliation of adjusted EBITDA from continuing operations to net income from continuing operations, and disclosure regarding why we believe that these non-GAAP financial measures provide useful information to investors, is included later in this report.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jc w:val="both"/>
        <w:spacing w:after="0" w:line="343" w:lineRule="auto"/>
        <w:rPr>
          <w:sz w:val="20"/>
          <w:szCs w:val="20"/>
          <w:color w:val="auto"/>
        </w:rPr>
      </w:pPr>
      <w:r>
        <w:rPr>
          <w:rFonts w:ascii="Arial" w:cs="Arial" w:eastAsia="Arial" w:hAnsi="Arial"/>
          <w:sz w:val="14"/>
          <w:szCs w:val="14"/>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ectPr>
          <w:pgSz w:w="11900" w:h="16838" w:orient="portrait"/>
          <w:cols w:equalWidth="0" w:num="1">
            <w:col w:w="11420"/>
          </w:cols>
          <w:pgMar w:left="240" w:top="456" w:right="239" w:bottom="1440" w:gutter="0" w:footer="0" w:header="0"/>
        </w:sectPr>
      </w:pPr>
    </w:p>
    <w:p>
      <w:pPr>
        <w:spacing w:after="0" w:line="7" w:lineRule="exact"/>
        <w:rPr>
          <w:sz w:val="20"/>
          <w:szCs w:val="20"/>
          <w:color w:val="auto"/>
        </w:rPr>
      </w:pPr>
    </w:p>
    <w:p>
      <w:pPr>
        <w:ind w:left="400"/>
        <w:spacing w:after="0"/>
        <w:rPr>
          <w:sz w:val="20"/>
          <w:szCs w:val="20"/>
          <w:color w:val="auto"/>
        </w:rPr>
      </w:pPr>
      <w:r>
        <w:rPr>
          <w:rFonts w:ascii="Arial" w:cs="Arial" w:eastAsia="Arial" w:hAnsi="Arial"/>
          <w:sz w:val="27"/>
          <w:szCs w:val="27"/>
          <w:color w:val="auto"/>
        </w:rPr>
        <w:t>•</w:t>
      </w:r>
    </w:p>
    <w:p>
      <w:pPr>
        <w:ind w:left="400"/>
        <w:spacing w:after="0" w:line="233" w:lineRule="auto"/>
        <w:rPr>
          <w:sz w:val="20"/>
          <w:szCs w:val="20"/>
          <w:color w:val="auto"/>
        </w:rPr>
      </w:pPr>
      <w:r>
        <w:rPr>
          <w:rFonts w:ascii="Arial" w:cs="Arial" w:eastAsia="Arial" w:hAnsi="Arial"/>
          <w:sz w:val="27"/>
          <w:szCs w:val="27"/>
          <w:color w:val="auto"/>
        </w:rPr>
        <w:t>•</w:t>
      </w:r>
    </w:p>
    <w:p>
      <w:pPr>
        <w:ind w:left="400"/>
        <w:spacing w:after="0" w:line="228" w:lineRule="auto"/>
        <w:rPr>
          <w:sz w:val="20"/>
          <w:szCs w:val="20"/>
          <w:color w:val="auto"/>
        </w:rPr>
      </w:pPr>
      <w:r>
        <w:rPr>
          <w:rFonts w:ascii="Arial" w:cs="Arial" w:eastAsia="Arial" w:hAnsi="Arial"/>
          <w:sz w:val="27"/>
          <w:szCs w:val="27"/>
          <w:color w:val="auto"/>
        </w:rPr>
        <w:t>•</w:t>
      </w:r>
    </w:p>
    <w:p>
      <w:pPr>
        <w:ind w:left="400"/>
        <w:spacing w:after="0" w:line="227" w:lineRule="auto"/>
        <w:rPr>
          <w:sz w:val="20"/>
          <w:szCs w:val="20"/>
          <w:color w:val="auto"/>
        </w:rPr>
      </w:pPr>
      <w:r>
        <w:rPr>
          <w:rFonts w:ascii="Arial" w:cs="Arial" w:eastAsia="Arial" w:hAnsi="Arial"/>
          <w:sz w:val="27"/>
          <w:szCs w:val="27"/>
          <w:color w:val="auto"/>
        </w:rPr>
        <w:t>•</w:t>
      </w:r>
    </w:p>
    <w:p>
      <w:pPr>
        <w:ind w:left="400"/>
        <w:spacing w:after="0" w:line="228" w:lineRule="auto"/>
        <w:rPr>
          <w:sz w:val="20"/>
          <w:szCs w:val="20"/>
          <w:color w:val="auto"/>
        </w:rPr>
      </w:pPr>
      <w:r>
        <w:rPr>
          <w:rFonts w:ascii="Arial" w:cs="Arial" w:eastAsia="Arial" w:hAnsi="Arial"/>
          <w:sz w:val="27"/>
          <w:szCs w:val="27"/>
          <w:color w:val="auto"/>
        </w:rPr>
        <w:t>•</w:t>
      </w:r>
    </w:p>
    <w:p>
      <w:pPr>
        <w:ind w:left="40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Revenue recognition and sales commissions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income taxes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Software development costs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Goodwill, intangibles, and other long-lived assets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w:t>
      </w:r>
    </w:p>
    <w:p>
      <w:pPr>
        <w:spacing w:after="0" w:line="101" w:lineRule="exact"/>
        <w:rPr>
          <w:sz w:val="20"/>
          <w:szCs w:val="20"/>
          <w:color w:val="auto"/>
        </w:rPr>
      </w:pPr>
    </w:p>
    <w:p>
      <w:pPr>
        <w:sectPr>
          <w:pgSz w:w="11900" w:h="16838" w:orient="portrait"/>
          <w:cols w:equalWidth="0" w:num="2">
            <w:col w:w="500" w:space="320"/>
            <w:col w:w="10600"/>
          </w:cols>
          <w:pgMar w:left="240" w:top="456" w:right="239" w:bottom="1440" w:gutter="0" w:footer="0" w:header="0"/>
          <w:type w:val="continuous"/>
        </w:sectPr>
      </w:pPr>
    </w:p>
    <w:p>
      <w:pPr>
        <w:jc w:val="both"/>
        <w:spacing w:after="0" w:line="267"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2017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2017 Form 10-K except as disclosed in the Notes to the Condensed Consolidated Financial Statements herein. Note 2 in the Notes to Condensed Consolidated Financial Statements summarizes new accounting guidance issued by the Financial Accounting Standards Board (“FASB”) that has been recently adopted by the Company, or not yet adopted by the Company, and our evaluation of such accounting guidance and the anticipated impact of such guidance (if known) on the Company. Note 3 in the Notes to Condensed Consolidated Financial Statements summarizes our critical accounting polices related to the new revenue recognition accounting standard and its impact on our financial results as reflected in our balance sheet and statements of income.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to Three Months Ended September 30, 2017</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increased approximately $5.2 million, or 9%, to $59.9 million for the three months ended September 30, 2018 from $54.7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2017. The application of ASC 606 had a positive impact on revenues of approximately $634,000 for the third quarter of 2018, compared to ASC 605. In addition, revenues for 2018 were positively impacted by lower deferred revenue write-downs, which were $703,000 during the third quarter of 2018, compared to $146,000 during the third quarter of 2017. See “Reconciliation of Non-GAAP Financial Measures” below for additional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w w:val="96"/>
              </w:rPr>
              <w:t>Three Months Ended September 30,</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2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8"/>
              <w:spacing w:after="0" w:line="131"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80" w:type="dxa"/>
            <w:vAlign w:val="bottom"/>
            <w:tcBorders>
              <w:bottom w:val="single" w:sz="8" w:color="CFF0FC"/>
            </w:tcBorders>
            <w:vMerge w:val="continue"/>
          </w:tcPr>
          <w:p>
            <w:pPr>
              <w:spacing w:after="0"/>
              <w:rPr>
                <w:sz w:val="14"/>
                <w:szCs w:val="14"/>
                <w:color w:val="auto"/>
              </w:rPr>
            </w:pPr>
          </w:p>
        </w:tc>
        <w:tc>
          <w:tcPr>
            <w:tcW w:w="2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49,128</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44,603</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4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1"/>
        </w:trPr>
        <w:tc>
          <w:tcPr>
            <w:tcW w:w="42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59,925</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54,743</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4000" w:type="dxa"/>
            <w:vAlign w:val="bottom"/>
            <w:tcBorders>
              <w:bottom w:val="single" w:sz="8" w:color="CFF0FC"/>
            </w:tcBorders>
            <w:shd w:val="clear" w:color="auto" w:fill="CFF0FC"/>
          </w:tcPr>
          <w:p>
            <w:pPr>
              <w:spacing w:after="0"/>
              <w:rPr>
                <w:sz w:val="18"/>
                <w:szCs w:val="18"/>
                <w:color w:val="auto"/>
              </w:rPr>
            </w:pPr>
          </w:p>
        </w:tc>
        <w:tc>
          <w:tcPr>
            <w:tcW w:w="2680" w:type="dxa"/>
            <w:vAlign w:val="bottom"/>
            <w:tcBorders>
              <w:bottom w:val="single" w:sz="8" w:color="CFF0FC"/>
            </w:tcBorders>
            <w:shd w:val="clear" w:color="auto" w:fill="CFF0FC"/>
          </w:tcPr>
          <w:p>
            <w:pPr>
              <w:spacing w:after="0"/>
              <w:rPr>
                <w:sz w:val="18"/>
                <w:szCs w:val="18"/>
                <w:color w:val="auto"/>
              </w:rPr>
            </w:pPr>
          </w:p>
        </w:tc>
      </w:tr>
      <w:tr>
        <w:trPr>
          <w:trHeight w:val="227"/>
        </w:trPr>
        <w:tc>
          <w:tcPr>
            <w:tcW w:w="474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4000" w:type="dxa"/>
            <w:vAlign w:val="bottom"/>
          </w:tcPr>
          <w:p>
            <w:pPr>
              <w:jc w:val="right"/>
              <w:ind w:right="571"/>
              <w:spacing w:after="0"/>
              <w:rPr>
                <w:sz w:val="20"/>
                <w:szCs w:val="20"/>
                <w:color w:val="auto"/>
              </w:rPr>
            </w:pPr>
            <w:r>
              <w:rPr>
                <w:rFonts w:ascii="Arial" w:cs="Arial" w:eastAsia="Arial" w:hAnsi="Arial"/>
                <w:sz w:val="18"/>
                <w:szCs w:val="18"/>
                <w:color w:val="auto"/>
              </w:rPr>
              <w:t>82%</w:t>
            </w:r>
          </w:p>
        </w:tc>
        <w:tc>
          <w:tcPr>
            <w:tcW w:w="2680" w:type="dxa"/>
            <w:vAlign w:val="bottom"/>
          </w:tcPr>
          <w:p>
            <w:pPr>
              <w:jc w:val="right"/>
              <w:ind w:right="1591"/>
              <w:spacing w:after="0"/>
              <w:rPr>
                <w:sz w:val="20"/>
                <w:szCs w:val="20"/>
                <w:color w:val="auto"/>
              </w:rPr>
            </w:pPr>
            <w:r>
              <w:rPr>
                <w:rFonts w:ascii="Arial" w:cs="Arial" w:eastAsia="Arial" w:hAnsi="Arial"/>
                <w:sz w:val="18"/>
                <w:szCs w:val="18"/>
                <w:color w:val="auto"/>
              </w:rPr>
              <w:t>81%</w:t>
            </w:r>
          </w:p>
        </w:tc>
      </w:tr>
      <w:tr>
        <w:trPr>
          <w:trHeight w:val="228"/>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4000" w:type="dxa"/>
            <w:vAlign w:val="bottom"/>
            <w:shd w:val="clear" w:color="auto" w:fill="CFF0FC"/>
          </w:tcPr>
          <w:p>
            <w:pPr>
              <w:jc w:val="right"/>
              <w:ind w:right="571"/>
              <w:spacing w:after="0"/>
              <w:rPr>
                <w:sz w:val="20"/>
                <w:szCs w:val="20"/>
                <w:color w:val="auto"/>
              </w:rPr>
            </w:pPr>
            <w:r>
              <w:rPr>
                <w:rFonts w:ascii="Arial" w:cs="Arial" w:eastAsia="Arial" w:hAnsi="Arial"/>
                <w:sz w:val="18"/>
                <w:szCs w:val="18"/>
                <w:color w:val="auto"/>
              </w:rPr>
              <w:t>18%</w:t>
            </w:r>
          </w:p>
        </w:tc>
        <w:tc>
          <w:tcPr>
            <w:tcW w:w="2680" w:type="dxa"/>
            <w:vAlign w:val="bottom"/>
            <w:shd w:val="clear" w:color="auto" w:fill="CFF0FC"/>
          </w:tcPr>
          <w:p>
            <w:pPr>
              <w:jc w:val="right"/>
              <w:ind w:right="1591"/>
              <w:spacing w:after="0"/>
              <w:rPr>
                <w:sz w:val="20"/>
                <w:szCs w:val="20"/>
                <w:color w:val="auto"/>
              </w:rPr>
            </w:pPr>
            <w:r>
              <w:rPr>
                <w:rFonts w:ascii="Arial" w:cs="Arial" w:eastAsia="Arial" w:hAnsi="Arial"/>
                <w:sz w:val="18"/>
                <w:szCs w:val="18"/>
                <w:color w:val="auto"/>
              </w:rPr>
              <w:t>19%</w:t>
            </w:r>
          </w:p>
        </w:tc>
      </w:tr>
    </w:tbl>
    <w:p>
      <w:pPr>
        <w:spacing w:after="0" w:line="3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Revenues for HealthStream Workforce Solutions increased approximately $4.5 million, or 10%, to $49.1 million for the three months ended September 30, 2018 from $44.6 million for the three months ended September 30, 2017. Revenue growth in 2018 was positively influenced by an increase in subscription-based product revenues, including higher revenues from our resuscitation and compliance products. Our implemented subscriber base increased by 7% over the third quarter of 2017 to 4,827,000 implemented subscribers at September 30, 2018 compared to 4,495,000 implemented subscribers at September 30, 2017.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type w:val="continuous"/>
        </w:sectPr>
      </w:pPr>
    </w:p>
    <w:bookmarkStart w:id="20" w:name="page21"/>
    <w:bookmarkEnd w:id="20"/>
    <w:p>
      <w:pPr>
        <w:jc w:val="both"/>
        <w:spacing w:after="0" w:line="271" w:lineRule="auto"/>
        <w:rPr>
          <w:sz w:val="20"/>
          <w:szCs w:val="20"/>
          <w:color w:val="auto"/>
        </w:rPr>
      </w:pPr>
      <w:r>
        <w:rPr>
          <w:rFonts w:ascii="Arial" w:cs="Arial" w:eastAsia="Arial" w:hAnsi="Arial"/>
          <w:sz w:val="18"/>
          <w:szCs w:val="18"/>
          <w:color w:val="auto"/>
        </w:rPr>
        <w:t>Additionally, we had a 4% increase in total subscribers over the third quarter of 2017, with 4,852,000 total subscribers at September 30, 2018 compared to 4,649,000 total subscribers at September 30, 2017.</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HealthStream Provider Solutions increased approximately $657,000, or 6%, to $10.8 million for the three months ended September 30, 2018 from $10.1 million for the three months ended September 30, 2017. This increase was primarily a result of professional services revenues from Morrisey Associates, Inc. (“MAI”), which we acquired in August 2016.</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approximately $2.6 million, or 11%, to $25.1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2018 from $22.5 million for the three months ended September 30, 2017. Cost of revenues as a percentage of revenues was 42% and 41% for the three months ended September 30, 2018 and 2017, respectively.</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revenues for HealthStream Workforce Solutions increased approximately $2.4 million to $21.8 million and approximated 44% and 43% of revenues for HealthStream Workforce Solutions for the three months ended September 30, 2018 and 2017, respectively. The increase is primarily associated with increased royalties paid by us resulting from growth in courseware subscription revenues. Cost of revenues for HealthStream Provider Solutions increased approximately $157,000 to $3.3 million and approximated 30% and 31% of HealthStream Provider Solutions revenues for the three months ended September 30, 2018 and 2017, respectively. The increase is primarily associated with increases in personnel costs and hosting over the prior year period.</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$598,000, or 10%, to $6.6 million for the three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from $6.0 million for the three months ended September 30, 2017. Product development expenses as a percentage of revenues were 11% for both the three months ended September 30, 2018 and 2017.</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Product development expenses for HealthStream Workforce Solutions increased approximately $476,000 to $5.4 million and approximated 11% of revenues for HealthStream Workforce Solutions for both the three months ended September 30, 2018 and 2017. The increase is primarily due to increases to personnel over the prior year period. Product development expenses for HealthStream Provider Solutions increased approximately $122,000 to $1.2 million and approximated 12% and 11% of revenues for HealthStream Provider Solutions for the three months ended September 30, 2018 and 2017, respectively. The increase is primarily due to increases to personnel over the prior year period.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approximately $586,000, or 6%, to $8.6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2018 from $9.1 million for the three months ended September 30, 2017. Sales and marketing expenses were 14% and 17% of revenues for the three months ended September 30, 2018 and 2017, respectively.</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Sales and marketing expenses for HealthStream Workforce Solutions decreased approximately $249,000 to $6.9 million and approximated 14% and 16% of revenues for HealthStream Workforce Solutions for the three months ended September 30, 2018 and 2017, respectively. The decrease is primarily due to lower personnel costs as well as lower sales commissions resulting from the adoption of ASC 606 effective January 1, 2018. Under ASC 606, costs to acquire contracts with customers, such as initial sales commission payments, are capitalized and amortized consistent with the pattern of revenue recognition, whereas under ASC 605 such costs were expensed, which resulted in faster expense recognition. Sales and marketing expenses for HealthStream Provider Solutions decreased approximately $219,000 to $1.4 million and approximated 13% and 16% of revenues for HealthStream Provider Solutions for the three months ended September 30, 2018 and 2017, respectively. The decrease is due to lower sales commissions as a result of lower sales production and from adopting ASC 606. The unallocated corporate portion of sales and marketing expenses decreased approximately $118,000 to $245,000 compared to the prior year period primarily due to decreases in personnel costs.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approximately $626,000, or 7%, to $9.0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2018 from $8.4 million for the three months ended September 30, 2017. Other general and administrative expenses as a percentage of revenues were 15% of revenues for both the three months ended September 30, 2018 and 2017.</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Other general and administrative expenses for HealthStream Workforce Solutions increased approximately $432,000 to $2.6 million and approximated 5% of HealthStream Workforce Solutions revenues for both the three months ended September 30, 2018 and 2017. The increase is primarily due to higher administrative costs and higher bad debt expense. Other general and administrative expenses for HealthStream Provider Solutions decreased approximately $348,000 to $894,000 and approximated 8% and 12% of HealthStream Provider Solutions revenues for the three months ended September 30, 2018 and 2017, respectively. The decrease is due to a reduction in bad debt expense compared to the prior year period, which resulted from improved collections from customers. The unallocated corporate portion of other general and administrative expenses increased approximately $542,000 to $5.5 million compared to the prior year period primarily due to increases to personnel, contract labor, professional services, and other administrative costs.</w:t>
      </w:r>
    </w:p>
    <w:p>
      <w:pPr>
        <w:spacing w:after="0" w:line="60" w:lineRule="exact"/>
        <w:rPr>
          <w:sz w:val="20"/>
          <w:szCs w:val="20"/>
          <w:color w:val="auto"/>
        </w:rPr>
      </w:pPr>
    </w:p>
    <w:p>
      <w:pPr>
        <w:jc w:val="center"/>
        <w:ind w:right="340"/>
        <w:spacing w:after="0"/>
        <w:rPr>
          <w:sz w:val="20"/>
          <w:szCs w:val="20"/>
          <w:color w:val="auto"/>
        </w:rPr>
      </w:pPr>
      <w:r>
        <w:rPr>
          <w:rFonts w:ascii="Arial" w:cs="Arial" w:eastAsia="Arial" w:hAnsi="Arial"/>
          <w:sz w:val="14"/>
          <w:szCs w:val="14"/>
          <w:i w:val="1"/>
          <w:iCs w:val="1"/>
          <w:color w:val="auto"/>
        </w:rPr>
        <w:t xml:space="preserve">Depreciation and Amortization. </w:t>
      </w:r>
      <w:r>
        <w:rPr>
          <w:rFonts w:ascii="Arial" w:cs="Arial" w:eastAsia="Arial" w:hAnsi="Arial"/>
          <w:sz w:val="14"/>
          <w:szCs w:val="14"/>
          <w:color w:val="auto"/>
        </w:rPr>
        <w:t>Depreciation and amortization was approximately $6.0 million for both the three months ended September 30, 2018 and 2017.</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i w:val="1"/>
          <w:iCs w:val="1"/>
          <w:color w:val="auto"/>
        </w:rPr>
        <w:t>Other (Loss) Income, Net</w:t>
      </w:r>
      <w:r>
        <w:rPr>
          <w:rFonts w:ascii="Arial" w:cs="Arial" w:eastAsia="Arial" w:hAnsi="Arial"/>
          <w:sz w:val="18"/>
          <w:szCs w:val="18"/>
          <w:color w:val="auto"/>
        </w:rPr>
        <w:t>. Other (loss) income, net was a loss of approximately $548,000 for the three months ended September 30, 2018 compared to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$186,000 for the three months ended September 30, 2017. The decrease resulted from a $1.3 million decline in the fair value of a minority equity investment accounted for under the cost method of accounting, but was partially offset by higher interest income of $515,000 from cash and investments in marketable securities.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from continuing operations of approximately $1.1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compared to $1.2 million for the three months ended September 30, 2017. The Company’s effective tax rate was 26% for the three months ended September 30, 2018 compared to 41% for the three months ended September 30, 2017. The decrease in the effective tax rate primarily resulted from the decrease in the enacted federal corporate income tax rate from 35% to 21% resulting from the Tax Cuts and Jobs Act of 2017 that was signed into law in December 2017.</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Income from continuing operations was $3.0 million in the third quarter of 2018, up from $1.7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Income from continuing operations in the third quarter of 2018 was positively impacted by the increase in revenues noted above. In addition, the application of ASC 606 positively impacted income from continuing operations in the third quarter of 2018 in the amount of $819,000. Income from continuing operations was negatively impacted in the amount of $938,000, net of tax, from the decline in the fair value of a minority equity investment noted above as well as by the increased amount of deferred revenue write-downs in the third quarter of 2018 compared to the 2017 period. See “Reconciliation of Non-GAAP Financial Measures” below for additional information. EPS from continuing operations was $0.09 and $0.06 per share (diluted) for the three months ended September 30, 2018 and 2017, respectively.</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Income on Discontinued Operations. </w:t>
      </w:r>
      <w:r>
        <w:rPr>
          <w:rFonts w:ascii="Arial" w:cs="Arial" w:eastAsia="Arial" w:hAnsi="Arial"/>
          <w:sz w:val="18"/>
          <w:szCs w:val="18"/>
          <w:color w:val="auto"/>
        </w:rPr>
        <w:t>Income from discontinued operations was zero for the three months ended September 30, 2018, compared to $769,000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2017.</w:t>
      </w:r>
    </w:p>
    <w:p>
      <w:pPr>
        <w:spacing w:after="0" w:line="68" w:lineRule="exact"/>
        <w:rPr>
          <w:sz w:val="20"/>
          <w:szCs w:val="20"/>
          <w:color w:val="auto"/>
        </w:rPr>
      </w:pPr>
    </w:p>
    <w:p>
      <w:pPr>
        <w:jc w:val="both"/>
        <w:spacing w:after="0" w:line="335"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increased approximately $532,000, to $3.0 million for the three months ended September 30, 2018 from $2.5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2017. EPS was $0.09 and $0.08 per share (diluted) for the three months ended September 30, 2018 and 2017, respectively.</w:t>
      </w:r>
    </w:p>
    <w:p>
      <w:pPr>
        <w:spacing w:after="0" w:line="22"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Adjusted EBITDA from continuing operations increased 22% to $11.1 million for the third quarter of 2018, compared to $9.1 million for the third quarter of 2017. The application of ASC 606 had a positive impact of $1.1 million on adjusted EBITDA from continuing operations during the third quarter of 2018.</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Adjusted EBITDA (from continuing and discontinued operations) increased 2% to $11.1 million for the three months ended September 30, 2018, compared to $11.0 million for the three months ended September 30, 2017. See “Reconciliation of Non-GAAP Financial Measures” below for our reconciliation of Adjusted EBITDA from continuing operations and adjusted EBITDA to the most directly comparable measures under US GAAP.</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 Compared to Nine Months Ended September 30, 2017</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$12.2 million, or 8%, to $171.8 million for the nine months ended September 30, 2018 from $159.6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2017. The adoption of ASC 606 had a positive impact on revenues of approximately $738,000 for the nine months ended September 30, 2018, compared to ASC 605. In addition, revenue for 2018 was positively impacted by lower deferred revenue write-downs, which were $779,000 during the nine months ended September 30, 2018 compared to $1.5 million during the nine months ended September 30, 2017. See “Reconciliation of Non-GAAP Financial Measures” below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97"/>
              </w:rPr>
              <w:t>Nine Months Ended September 30,</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2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8"/>
              <w:spacing w:after="0" w:line="131"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280" w:type="dxa"/>
            <w:vAlign w:val="bottom"/>
            <w:tcBorders>
              <w:bottom w:val="single" w:sz="8" w:color="CFF0FC"/>
            </w:tcBorders>
            <w:vMerge w:val="continue"/>
          </w:tcPr>
          <w:p>
            <w:pPr>
              <w:spacing w:after="0"/>
              <w:rPr>
                <w:sz w:val="14"/>
                <w:szCs w:val="14"/>
                <w:color w:val="auto"/>
              </w:rPr>
            </w:pPr>
          </w:p>
        </w:tc>
        <w:tc>
          <w:tcPr>
            <w:tcW w:w="2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141,043</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132,561</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7"/>
        </w:trPr>
        <w:tc>
          <w:tcPr>
            <w:tcW w:w="4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30,748</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27,069</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1"/>
        </w:trPr>
        <w:tc>
          <w:tcPr>
            <w:tcW w:w="42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171,791</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159,630</w:t>
            </w: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4000" w:type="dxa"/>
            <w:vAlign w:val="bottom"/>
            <w:tcBorders>
              <w:bottom w:val="single" w:sz="8" w:color="CFF0FC"/>
            </w:tcBorders>
            <w:shd w:val="clear" w:color="auto" w:fill="CFF0FC"/>
          </w:tcPr>
          <w:p>
            <w:pPr>
              <w:spacing w:after="0"/>
              <w:rPr>
                <w:sz w:val="18"/>
                <w:szCs w:val="18"/>
                <w:color w:val="auto"/>
              </w:rPr>
            </w:pPr>
          </w:p>
        </w:tc>
        <w:tc>
          <w:tcPr>
            <w:tcW w:w="2680" w:type="dxa"/>
            <w:vAlign w:val="bottom"/>
            <w:tcBorders>
              <w:bottom w:val="single" w:sz="8" w:color="CFF0FC"/>
            </w:tcBorders>
            <w:shd w:val="clear" w:color="auto" w:fill="CFF0FC"/>
          </w:tcPr>
          <w:p>
            <w:pPr>
              <w:spacing w:after="0"/>
              <w:rPr>
                <w:sz w:val="18"/>
                <w:szCs w:val="18"/>
                <w:color w:val="auto"/>
              </w:rPr>
            </w:pPr>
          </w:p>
        </w:tc>
      </w:tr>
      <w:tr>
        <w:trPr>
          <w:trHeight w:val="227"/>
        </w:trPr>
        <w:tc>
          <w:tcPr>
            <w:tcW w:w="474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4000" w:type="dxa"/>
            <w:vAlign w:val="bottom"/>
          </w:tcPr>
          <w:p>
            <w:pPr>
              <w:jc w:val="right"/>
              <w:ind w:right="571"/>
              <w:spacing w:after="0"/>
              <w:rPr>
                <w:sz w:val="20"/>
                <w:szCs w:val="20"/>
                <w:color w:val="auto"/>
              </w:rPr>
            </w:pPr>
            <w:r>
              <w:rPr>
                <w:rFonts w:ascii="Arial" w:cs="Arial" w:eastAsia="Arial" w:hAnsi="Arial"/>
                <w:sz w:val="18"/>
                <w:szCs w:val="18"/>
                <w:color w:val="auto"/>
              </w:rPr>
              <w:t>82%</w:t>
            </w:r>
          </w:p>
        </w:tc>
        <w:tc>
          <w:tcPr>
            <w:tcW w:w="2680" w:type="dxa"/>
            <w:vAlign w:val="bottom"/>
          </w:tcPr>
          <w:p>
            <w:pPr>
              <w:jc w:val="right"/>
              <w:ind w:right="1591"/>
              <w:spacing w:after="0"/>
              <w:rPr>
                <w:sz w:val="20"/>
                <w:szCs w:val="20"/>
                <w:color w:val="auto"/>
              </w:rPr>
            </w:pPr>
            <w:r>
              <w:rPr>
                <w:rFonts w:ascii="Arial" w:cs="Arial" w:eastAsia="Arial" w:hAnsi="Arial"/>
                <w:sz w:val="18"/>
                <w:szCs w:val="18"/>
                <w:color w:val="auto"/>
              </w:rPr>
              <w:t>83%</w:t>
            </w:r>
          </w:p>
        </w:tc>
      </w:tr>
      <w:tr>
        <w:trPr>
          <w:trHeight w:val="228"/>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4000" w:type="dxa"/>
            <w:vAlign w:val="bottom"/>
            <w:shd w:val="clear" w:color="auto" w:fill="CFF0FC"/>
          </w:tcPr>
          <w:p>
            <w:pPr>
              <w:jc w:val="right"/>
              <w:ind w:right="571"/>
              <w:spacing w:after="0"/>
              <w:rPr>
                <w:sz w:val="20"/>
                <w:szCs w:val="20"/>
                <w:color w:val="auto"/>
              </w:rPr>
            </w:pPr>
            <w:r>
              <w:rPr>
                <w:rFonts w:ascii="Arial" w:cs="Arial" w:eastAsia="Arial" w:hAnsi="Arial"/>
                <w:sz w:val="18"/>
                <w:szCs w:val="18"/>
                <w:color w:val="auto"/>
              </w:rPr>
              <w:t>18%</w:t>
            </w:r>
          </w:p>
        </w:tc>
        <w:tc>
          <w:tcPr>
            <w:tcW w:w="2680" w:type="dxa"/>
            <w:vAlign w:val="bottom"/>
            <w:shd w:val="clear" w:color="auto" w:fill="CFF0FC"/>
          </w:tcPr>
          <w:p>
            <w:pPr>
              <w:jc w:val="right"/>
              <w:ind w:right="1591"/>
              <w:spacing w:after="0"/>
              <w:rPr>
                <w:sz w:val="20"/>
                <w:szCs w:val="20"/>
                <w:color w:val="auto"/>
              </w:rPr>
            </w:pPr>
            <w:r>
              <w:rPr>
                <w:rFonts w:ascii="Arial" w:cs="Arial" w:eastAsia="Arial" w:hAnsi="Arial"/>
                <w:sz w:val="18"/>
                <w:szCs w:val="18"/>
                <w:color w:val="auto"/>
              </w:rPr>
              <w:t>17%</w:t>
            </w:r>
          </w:p>
        </w:tc>
      </w:tr>
    </w:tbl>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HealthStream Workforce Solutions increased approximately $8.5 million, or 6%, over the first nine months of 2017. Revenue growth in 2018 was positively influenced by an increase in subscription-based product revenues, including higher revenues from our resuscitation and compliance products, but was partially offset by an expected decline in ICD-10 readiness revenues of $905,000.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 w:name="page23"/>
    <w:bookmarkEnd w:id="22"/>
    <w:p>
      <w:pPr>
        <w:jc w:val="both"/>
        <w:ind w:right="20"/>
        <w:spacing w:after="0" w:line="335" w:lineRule="auto"/>
        <w:rPr>
          <w:sz w:val="20"/>
          <w:szCs w:val="20"/>
          <w:color w:val="auto"/>
        </w:rPr>
      </w:pPr>
      <w:r>
        <w:rPr>
          <w:rFonts w:ascii="Arial" w:cs="Arial" w:eastAsia="Arial" w:hAnsi="Arial"/>
          <w:sz w:val="16"/>
          <w:szCs w:val="16"/>
          <w:color w:val="auto"/>
        </w:rPr>
        <w:t>Revenues for HealthStream Provider Solutions increased approximately $3.7 million, or 14%, over the first nine months of 2017. This increase was primarily a result of growth from acquiring new customers and selling new products coupled with increased professional services revenues from our MAI acquisition.</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approximately $5.7 million, or 9%, to $70.6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from $64.9 million for the nine months ended September 30, 2017. Cost of revenues as a percentage of revenues was approximately 41% for both the nine months ended September 30, 2018 and 2017.</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revenues for HealthStream Workforce Solutions increased approximately $4.5 million to $60.7 million and approximated 43% and 42% of revenues for HealthStream Workforce Solutions for the nine months ended September 30, 2018 and 2017, respectively. The increase is primarily associated with increased royalties paid by us resulting from growth in courseware subscription revenues and additions to personnel. Cost of revenues for HealthStream Provider Solutions increased approximately $1.2 million to $9.8 million and approximated 32% of HealthStream Provider Solutions revenues for both the nine months ended September 30, 2018 and 2017. The increase is primarily associated with higher hosting costs and increases to personnel over the prior year period.</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$1.2 million, or 7%, to $19.1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from $17.9 million for the nine months ended September 30, 2017. Product development expenses as a percentage of revenues were approximately 11% of revenues for both the nine months ended September 30, 2018 and 2017.</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Product development expenses for HealthStream Workforce Solutions increased approximately $909,000 to $15.5 million and approximated 11% of revenues for HealthStream Workforce Solutions for both the nine months ended September 30, 2018 and 2017. The increase is primarily due to increases to personnel and related costs over the prior year period. Product development expenses for HealthStream Provider Solutions increased approximately $311,000 to $3.6 million and approximated 12% of revenues for HealthStream Provider Solutions for both the nine months ended September 30, 2018 and 2017. The increase is primarily due to increases to personnel and related costs over the prior year period.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approximately $1.2 million, or 4%, to $26.5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from $27.8 million for the nine months ended September 30, 2017. Sales and marketing expenses were approximately 15% and 17% of revenues for the nine months ended September 30, 2018 and 2017, respectively.</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Sales and marketing expenses for HealthStream Workforce Solutions decreased approximately $1.1 million to $21.4 million and approximated 15% and 17% of revenues for HealthStream Workforce Solutions for the nine months ended September 30, 2018 and 2017, respectively. The decrease is primarily due to lower sales commissions compared to the prior year period as a result of adopting ASC 606 effective January 1, 2018 coupled with reductions to personnel and related costs. Sales and marketing expenses for HealthStream Provider Solutions decreased approximately $54,000 to $4.3 million and approximated 14% and 16% of revenues for HealthStream Provider Solutions for the nine months ended September 30, 2018 and 2017, respectively. The unallocated portion of sales and marketing expenses decreased approximately $47,000 to $903,000 compared to the prior year period.</w:t>
      </w:r>
    </w:p>
    <w:p>
      <w:pPr>
        <w:spacing w:after="0" w:line="5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$1.5 million, or 6%, to $24.8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2018 from $23.3 million for the nine months ended September 30, 2017. Other general and administrative expenses as a percentage of revenues were approximately 14% and 15% of revenues for the nine months ended September 30, 2018 and 2017, respectively.</w:t>
      </w:r>
    </w:p>
    <w:p>
      <w:pPr>
        <w:spacing w:after="0" w:line="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Other general and administrative expenses for HealthStream Workforce Solutions increased approximately $874,000 to $7.0 million and approximated 5% of revenues for HealthStream Workforce Solutions for both the nine months ended September 30, 2018 and 2017. The increase is primarily due to increases in administrative costs and an increase to bad debt expense. Other general and administrative expenses for HealthStream Provider Solutions decreased approximately $404,000 to $3.4 million and approximated 11% and 14% of revenues for HealthStream Provider Solutions for the nine months ended September 30, 2018 and 2017, respectively. The decrease is due to lower bad debt expense compared to the prior year period, which resulted from improved collections from customers, coupled with reductions in personnel expenses. The unallocated corporate portion of other general and administrative expenses increased approximately $1.0 million compared to the first nine months of 2017 primarily due to increases to personnel costs, facilities expenses, and other administrative costs over the prior year period.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$223,000, or 1%, to $18.1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from $17.9 million for the nine months ended September 30, 2017. The increase primarily resulted from increased amortization of capitalized software development.</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Other (Loss) Income, Net</w:t>
      </w:r>
      <w:r>
        <w:rPr>
          <w:rFonts w:ascii="Arial" w:cs="Arial" w:eastAsia="Arial" w:hAnsi="Arial"/>
          <w:sz w:val="18"/>
          <w:szCs w:val="18"/>
          <w:color w:val="auto"/>
        </w:rPr>
        <w:t>. Other (loss) income, net was income of approximately $241,000 for the nine months ended September 30, 2018 compared to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$481,000 for the nine months ended September 30, 2017. This decrease resulted from a $1.3 million decline in the fair value of a minority equity investment accounted for under the cost method of accounting, but was partially offset by higher interest income of $1.0 million from cash and investments in marketable securities.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 w:name="page24"/>
    <w:bookmarkEnd w:id="23"/>
    <w:p>
      <w:pPr>
        <w:jc w:val="both"/>
        <w:spacing w:after="0" w:line="272"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approximately $2.6 million and $2.7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and 2017, respectively. The Company’s effective tax rate was approximately 20% for the nine months ended September 30, 2018 compared to approximately 32% for the nine months ended September 30, 2017. The decrease in the effective tax rate was primarily due to the decrease in the enacted federal corporate income tax rate from 35% to 21% as a result of the Tax Cuts and Jobs Act of 2017 that was signed into law in December 2017, coupled with an increase in excess tax benefits of $264,000, primarily from stock option exercises over the prior year period.</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Income from Continuing Operations. </w:t>
      </w:r>
      <w:r>
        <w:rPr>
          <w:rFonts w:ascii="Arial" w:cs="Arial" w:eastAsia="Arial" w:hAnsi="Arial"/>
          <w:sz w:val="16"/>
          <w:szCs w:val="16"/>
          <w:color w:val="auto"/>
        </w:rPr>
        <w:t>Income from continuing operations was $10.3 million for the nine months ended September 30, 2018, up from $5.7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30, 2017. Income from continuing operations for the nine months ended September 30, 2018 was positively impacted by the increase in revenues noted above. In addition, the application of ASC 606 positively impacted income from continuing operations for the nine months ended September 30, 2018 in the amount of $2.0 million. Income from continuing operations was also positively impacted by lower deferred revenue write-downs, which were $583,000 during the nine months ended September 30, 2018 compared to $1.1 million during the nine months ended September 30, 2017. Income from continuing operations was negatively impacted in the amount of $938,000, net of tax, from the decline in the fair value of a minority equity investment noted above. See “Reconciliation of Non-GAAP Financial Measures” below for additional information. EPS from continuing operations was $0.32 and $0.18 per share (diluted) for the nine months ended September 30, 2018 and 2017, respectively.</w:t>
      </w:r>
    </w:p>
    <w:p>
      <w:pPr>
        <w:spacing w:after="0" w:line="60" w:lineRule="exact"/>
        <w:rPr>
          <w:sz w:val="20"/>
          <w:szCs w:val="20"/>
          <w:color w:val="auto"/>
        </w:rPr>
      </w:pPr>
    </w:p>
    <w:p>
      <w:pPr>
        <w:jc w:val="both"/>
        <w:spacing w:after="0" w:line="307" w:lineRule="auto"/>
        <w:rPr>
          <w:sz w:val="20"/>
          <w:szCs w:val="20"/>
          <w:color w:val="auto"/>
        </w:rPr>
      </w:pPr>
      <w:r>
        <w:rPr>
          <w:rFonts w:ascii="Arial" w:cs="Arial" w:eastAsia="Arial" w:hAnsi="Arial"/>
          <w:sz w:val="16"/>
          <w:szCs w:val="16"/>
          <w:i w:val="1"/>
          <w:iCs w:val="1"/>
          <w:color w:val="auto"/>
        </w:rPr>
        <w:t xml:space="preserve">Income from Discontinued Operations. </w:t>
      </w:r>
      <w:r>
        <w:rPr>
          <w:rFonts w:ascii="Arial" w:cs="Arial" w:eastAsia="Arial" w:hAnsi="Arial"/>
          <w:sz w:val="16"/>
          <w:szCs w:val="16"/>
          <w:color w:val="auto"/>
        </w:rPr>
        <w:t>Income from discontinued operations was $19.1 million for the nine months ended September 30, 2018,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$388,000 for the nine months ended September 30, 2017. Income from discontinued operations during the nine months ended September 30, 2018 was primarily driven by the gain, net of tax, of $19.1 million recognized by the Company in connection with the sale of the PX business, which occurred on February 12, 2018.</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$23.4 million to $29.4 million for the nine months ended September 30, 2018 compared to $6.1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2017. The year over year increase was attributable to the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$19.1 million gain from the sale of the PX business and $4.7 million improvement in income from continuing operations. EPS was $0.91 and $0.19 per share (diluted) for the nine months ended September 30, 2018 and 2017, respectively.</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from continuing operations increased 19% to $32.1 million for the nine months ended September 30, 2018, compared to $27.0 million for the nine months ended September 30, 2017. The application of ASC 606 had a positive impact of $2.5 million on adjusted EBITDA from continuing operations during the nine months ended September 30, 2018.</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(from continuing and discontinued operations) increased 109% to $61.6 million for the nine months ended September 30, 2018 compared to $29.5 million for the nine months ended September 30, 2017. This increase resulted from the factors mentioned above. See “Reconciliation of Non-GAAP Financial Measures” below for our reconciliation of adjusted EBITDA from continuing operations and adjusted EBITDA to the most directly comparable measures under US GAAP.</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12, 2018, the Company divested its PX business to Press Ganey for $65.5 million in cash (without giving effect to the post-closing adjustment based on the working capital of the PX business at closing). This sale of the PX business resulted in the divestiture of our patient experience solutions business segment. We recorded a gain on sale, net of tax, of $19.1 million. With the proceeds of this sale, our Board of Directors declared a $1.00 per common share special cash dividend, which was paid on April 3, 2018 to shareholders of record on March 6, 2018.</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classified the results of our PX business segment as discontinued operations in our condensed consolidated statements of income and cash flows for all periods presented. Additionally, the related assets and liabilities associated with the discontinued operations are classified as discontinued in our condensed consolidated balance sheet as of December 31, 2017. See Note 8 to our condensed consolidated financial statements included in this report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announced, Laerdal Medical A/S, a Norwegian company (“Laerdal”), provided notice that, upon the December 31, 2018 expiration of our existing agreements with Laerdal regarding the HeartCode and Resuscitation Quality Improvement (“RQI”) products, Laerdal does not intend to continue these existing agreements or enter into new agreements with HealthStream in relation to such products. Our Joint Marketing and Licensing Agreements with Laerdal for HeartCode and for RQI, respectively, remain unaltered and continue in effect through December 31, 2018. Up to that expiration date, we retain the right to offer HeartCode and RQI licenses that extend through December 31, 2020. We retain exclusivity of RQI sales to our existing customer network through the agreement expiration date of December 31, 2018 and are prohibited from marketing, selling, and distributing substantially similar products to HeartCode and RQI during that time.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associated with the sales of HeartCode and RQI products have been significant in recent years, although margins on such products have been lower than HealthStream’s average margin. We continue to be actively engaged in efforts to broaden the scope and utilization of our simulation-related offerings to include a range of clinical competencies that extend beyond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4" w:name="page25"/>
    <w:bookmarkEnd w:id="24"/>
    <w:p>
      <w:pPr>
        <w:jc w:val="both"/>
        <w:spacing w:after="0" w:line="290" w:lineRule="auto"/>
        <w:rPr>
          <w:sz w:val="20"/>
          <w:szCs w:val="20"/>
          <w:color w:val="auto"/>
        </w:rPr>
      </w:pPr>
      <w:r>
        <w:rPr>
          <w:rFonts w:ascii="Arial" w:cs="Arial" w:eastAsia="Arial" w:hAnsi="Arial"/>
          <w:sz w:val="16"/>
          <w:szCs w:val="16"/>
          <w:color w:val="auto"/>
        </w:rPr>
        <w:t>resuscitation, and integrate with our platform in ways that HeartCode and RQI never have. We intend to bring to market a broadened scope of simulation-based offerings, including— following the December 31, 2018 expiration date of our agreements with Laerdal—resuscitation programs. We believe these efforts have the potential to give rise to additional and higher margin opportunities than currently exist under the Laerdal agreements for HeartCode and RQI, and will likely feature solutions with a lower price point than our current offerings. However, there is no assurance that we will be successful in these efforts, and to the extent that new simulation-based or other solutions do not generate revenue and/or earnings following the December 31, 2018 expiration date in a manner that supplants the impact of these agreements with Laerdal, our revenue and results of operations following this expiration date may be adversely affected.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report contains certain non-GAAP financial measures, including non-GAAP net income, non-GAAP operating income, adjusted EBITDA from continuing operations, and adjusted EBITDA, which are used by management in analyzing our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order to better assess the Company’s financial results, management believes that net income before interest, income taxes, share-based compensation, depreciation and amortization, and changes in fair value of cost method investments (“adjusted EBITDA”) is a useful measure for evaluating the operating performance of the Company because adjusted EBITDA reflects net income adjusted for certain non-cash and non-operating items. Effective January 1, 2018, the Company adopted ASU 2016-01, which (among other things) requires equity investments (except those accounted for under the equity method of accounting or those that result in consolidation of the investee) to be measured at fair value with changes in fair value recognized in net income. During the three months ended September 30, 2018, the Company recorded a reduction to net income and net income from continuing operations from a change in the fair value of a minority equity investment accounted for under the cost method of accounting. The Company has included this adjustment in the calculation of adjusted EBITDA, and intends to continue to include any positive or negative changes in fair value of cost method investments in the calculation of adjusted EBITDA on a prospective basis, because management believes that such changes do not represent the ongoing operational performance of the Company. Management also believes that adjusted EBITDA from continuing operations is a useful measure for evaluating the operating performance of the Company because such measure excludes the results of operations of the PX business that we no longer own and thus reflects the Company’s ongoing business operations and assists in comparing the Company’s results of operations between periods. We also believe that adjusted EBITDA and adjusted EBITDA from continuing operations are useful to many investors to assess the Company’s ongoing results from current operations. Adjusted EBITDA and adjusted EBITDA from continuing operations are non-GAAP financial measures and should not be considered as measures of financial performance under GAAP. Because adjusted EBITDA and adjusted EBITDA from continuing operations are not measurements determined in accordance with GAAP, such non-GAAP financial measures are susceptible to varying calculations. Accordingly, adjusted EBITDA and adjusted EBITDA from continuing operations, as presented, may not be comparable to other similarly titled measures of other companies, have limitations as analytical tools, and should not be considered in isolation or as substitutes for an analysis of the Company’s results as reported under US GAAP.</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recent years, including in connection with the August 2016 acquisition of MAI, the Company has acquired businesses whose net tangible assets include deferred revenue. In accordance with GAAP reporting requirements, following the completion of any such acquisition, the Company must record the acquired deferred revenue at fair value as defined in US GAAP, which may result in a write-down of deferred revenue. If the Company is required to record a write-down of deferred revenue, it may result in lower recognized revenue, operating income, and net income in subsequent periods.</w:t>
      </w:r>
    </w:p>
    <w:p>
      <w:pPr>
        <w:spacing w:after="0" w:line="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therewith, this report presents below non-GAAP operating income and non-GAAP net income, which in each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As is typical for our business offerings, revenue for the acquired business is deferred and typically recognized over a one-to-two year period following the completion of any particular acquisition, so our GAAP revenues (and, thus, our GAAP operating income and net income) for this one-to-two year period will not reflect the full amount of revenues that would have been reported if the acquired deferred revenue was not written down to fair value.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18"/>
          <w:szCs w:val="18"/>
          <w:color w:val="auto"/>
        </w:rPr>
        <w:t>A reconciliation of adjusted EBITDA, adjusted EBITDA from continuing operations, Non-GAAP operating income, and Non-GAAP net income to the most directly comparable GAAP measures is set forth below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4"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4"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4"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4"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GAAP income from continuing operations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(1,586)</w:t>
            </w:r>
          </w:p>
        </w:tc>
        <w:tc>
          <w:tcPr>
            <w:tcW w:w="5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5,971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cost method investments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5940" w:type="dxa"/>
            <w:vAlign w:val="bottom"/>
            <w:gridSpan w:val="2"/>
          </w:tcPr>
          <w:p>
            <w:pPr>
              <w:spacing w:after="0"/>
              <w:rPr>
                <w:sz w:val="20"/>
                <w:szCs w:val="20"/>
                <w:color w:val="auto"/>
              </w:rPr>
            </w:pPr>
            <w:r>
              <w:rPr>
                <w:rFonts w:ascii="Arial" w:cs="Arial" w:eastAsia="Arial" w:hAnsi="Arial"/>
                <w:sz w:val="18"/>
                <w:szCs w:val="18"/>
                <w:color w:val="auto"/>
              </w:rPr>
              <w:t>Adjusted EBITDA from continuing operations</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11,145</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9,103</w:t>
            </w: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9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GAAP net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19"/>
                <w:szCs w:val="19"/>
                <w:color w:val="auto"/>
              </w:rPr>
            </w:pPr>
          </w:p>
        </w:tc>
        <w:tc>
          <w:tcPr>
            <w:tcW w:w="5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2,504</w:t>
            </w:r>
          </w:p>
        </w:tc>
        <w:tc>
          <w:tcPr>
            <w:tcW w:w="24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tcPr>
          <w:p>
            <w:pPr>
              <w:spacing w:after="0"/>
              <w:rPr>
                <w:sz w:val="19"/>
                <w:szCs w:val="19"/>
                <w:color w:val="auto"/>
              </w:rPr>
            </w:pPr>
          </w:p>
        </w:tc>
        <w:tc>
          <w:tcPr>
            <w:tcW w:w="5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w:t>
            </w: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(1,586)</w:t>
            </w: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18,279</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Change in fair value of cost method investments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GAAP operating income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12,654</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Adjustment for deferred revenue write-down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operating income</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5,364</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13,433</w:t>
            </w: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GAAP net income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Adjustment for deferred revenue write-down, net of tax</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30,010</w:t>
            </w: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operating activities from continuing operations decreased by $2.5 million to $29.8 million during the nine months ended September 30, 2018 from $32.4 million during the nine months ended September 30, 2017. The decrease compared to the prior year period primarily resulted from changes in prepaid expenses and other current assets, other assets, and accounts payable and accrued expenses. The number of days sales outstanding (“DSO”) was 46 days for the third quarter of 2018 compared to 56 days for the third quarter of 2017. The decrease in DSO primarily relates to improved collections in the Provider Solutions segment as compared to the prior year period.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6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cash provided by investing activities from continuing operations was approximately $47.0 million for the nine months ended September 30, 2018 compared to net cash used in investing activities from continuing operations of $22.5 million for the nine months ended September 30, 2017. During the nine months ended September 30, 2018, the Company divested its PX business segment, receiving proceeds from the sale of $57.8 million (not including the $6.55 million portion of the purchase price being held in escrow for a period of time following the closing as a source of recovery for indemnification claims) and had maturities of marketable securities of $59.5 million. These sources of cash were partially offset by purchases of $4.3 million of property and equipment, $8.0 million for capitalized software development, and $57.1 million for investments in marketable securities. During the nine months ended September 30, 2017, the Company’s uses of cash included $79.3 million for investments in marketable securities, $4.8 million for purchases of property and equipment, $500,000 for cost method investments, and $7.5 million for capitalized software development. These uses of cash were partially offset by maturities of marketable securities of $69.6 million.</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financing activities from continuing operations was approximately $30.1 million for the nine months ended September 30, 2018 compared to $88,000 for the nine months ended September 30, 2017. For the nine months ended September 30,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6" w:name="page27"/>
    <w:bookmarkEnd w:id="26"/>
    <w:p>
      <w:pPr>
        <w:jc w:val="both"/>
        <w:spacing w:after="0" w:line="272" w:lineRule="auto"/>
        <w:rPr>
          <w:sz w:val="20"/>
          <w:szCs w:val="20"/>
          <w:color w:val="auto"/>
        </w:rPr>
      </w:pPr>
      <w:r>
        <w:rPr>
          <w:rFonts w:ascii="Arial" w:cs="Arial" w:eastAsia="Arial" w:hAnsi="Arial"/>
          <w:sz w:val="17"/>
          <w:szCs w:val="17"/>
          <w:color w:val="auto"/>
        </w:rPr>
        <w:t>2018, the Company made cash dividend payments of $32.4 million and made an earn-out payment of $38,000 in connection with a prior business combination. The uses of cash for both the nine months ended September 30, 2018 and 2017 included the payment of employee payroll taxes in relation to the vesting of restricted stock units (“RSU”). In this regard, the Company net-share settled the employee RSUs by withholding shares with value equivalent to the employee’s minimum statutory obligation for the applicable income and other employment taxes. The source of cash from financing activities for both the nine months ended September 30, 2018 and 2017 was from the exercise of stock options.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balance sheet reflects positive working capital of $133.2 million at September 30, 2018 compared to $98.7 million at December 31, 2017. The increase in working capital is primarily a result of the proceeds from the PX business divestiture, offset by the payment of cash dividends. The Company’s primary source of liquidity as of September 30, 2018 was $130.3 million of cash and cash equivalents and $44.0 million of marketable securities. The Company also has a $50.0 million revolving credit facility, all of which was available for additional borrowing at September 30, 2018. The revolving credit facility expires on November 24, 2018, and we plan to renew the facility prior to such date on similar terms as the current facility.</w:t>
      </w:r>
    </w:p>
    <w:p>
      <w:pPr>
        <w:spacing w:after="0" w:line="70"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September 30, 2018,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exposed to market risk from changes in interest rates. We do not have any foreign currency exchange rate risk or commodity price risk. As of September 30, 2018 and during the nine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$174.3 million at September 30, 2018. Assuming a hypothetical 10% decrease in interest rates for invested balances, interest income from cash and investments would decrease on an annualized basis by approximately $365,000.</w:t>
      </w:r>
    </w:p>
    <w:p>
      <w:pPr>
        <w:spacing w:after="0" w:line="7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4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The above market risk discussion and the estimated amounts presented are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of market risk assuming the occurrence of certain adverse market conditions. Actual results in the future may differ materially from those projected as a result of actual developments in the market.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third quarter of 2018 that has materially affected, or that is reasonably likely to materially affect, HealthStream’s internal control over financial reporting.</w:t>
      </w:r>
    </w:p>
    <w:p>
      <w:pPr>
        <w:spacing w:after="0" w:line="39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18" w:lineRule="exact"/>
        <w:rPr>
          <w:sz w:val="20"/>
          <w:szCs w:val="20"/>
          <w:color w:val="auto"/>
        </w:rPr>
      </w:pPr>
    </w:p>
    <w:p>
      <w:pPr>
        <w:ind w:left="820" w:hanging="4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20"/>
                <w:szCs w:val="20"/>
                <w:color w:val="auto"/>
              </w:rPr>
            </w:pPr>
            <w:r>
              <w:rPr>
                <w:rFonts w:ascii="Arial" w:cs="Arial" w:eastAsia="Arial" w:hAnsi="Arial"/>
                <w:sz w:val="16"/>
                <w:szCs w:val="16"/>
                <w:color w:val="auto"/>
              </w:rPr>
              <w:t>31.1</w:t>
            </w:r>
          </w:p>
        </w:tc>
        <w:tc>
          <w:tcPr>
            <w:tcW w:w="8140" w:type="dxa"/>
            <w:vAlign w:val="bottom"/>
            <w:gridSpan w:val="4"/>
          </w:tcPr>
          <w:p>
            <w:pPr>
              <w:ind w:left="300"/>
              <w:spacing w:after="0"/>
              <w:rPr>
                <w:rFonts w:ascii="Arial" w:cs="Arial" w:eastAsia="Arial" w:hAnsi="Arial"/>
                <w:sz w:val="16"/>
                <w:szCs w:val="16"/>
                <w:color w:val="0000EE"/>
              </w:rPr>
            </w:pPr>
            <w:hyperlink w:anchor="page30">
              <w:r>
                <w:rPr>
                  <w:rFonts w:ascii="Arial" w:cs="Arial" w:eastAsia="Arial" w:hAnsi="Arial"/>
                  <w:sz w:val="16"/>
                  <w:szCs w:val="16"/>
                  <w:color w:val="0000EE"/>
                </w:rPr>
                <w:t>Certification of the Chief Executive Officer 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5"/>
        </w:trPr>
        <w:tc>
          <w:tcPr>
            <w:tcW w:w="1060" w:type="dxa"/>
            <w:vAlign w:val="bottom"/>
          </w:tcPr>
          <w:p>
            <w:pPr>
              <w:spacing w:after="0"/>
              <w:rPr>
                <w:sz w:val="20"/>
                <w:szCs w:val="20"/>
                <w:color w:val="auto"/>
              </w:rPr>
            </w:pPr>
            <w:r>
              <w:rPr>
                <w:rFonts w:ascii="Arial" w:cs="Arial" w:eastAsia="Arial" w:hAnsi="Arial"/>
                <w:sz w:val="16"/>
                <w:szCs w:val="16"/>
                <w:color w:val="auto"/>
              </w:rPr>
              <w:t>31.2</w:t>
            </w:r>
          </w:p>
        </w:tc>
        <w:tc>
          <w:tcPr>
            <w:tcW w:w="340" w:type="dxa"/>
            <w:vAlign w:val="bottom"/>
          </w:tcPr>
          <w:p>
            <w:pPr>
              <w:spacing w:after="0"/>
              <w:rPr>
                <w:sz w:val="24"/>
                <w:szCs w:val="24"/>
                <w:color w:val="auto"/>
              </w:rPr>
            </w:pPr>
          </w:p>
        </w:tc>
        <w:tc>
          <w:tcPr>
            <w:tcW w:w="6840" w:type="dxa"/>
            <w:vAlign w:val="bottom"/>
            <w:tcBorders>
              <w:bottom w:val="single" w:sz="8" w:color="0000EE"/>
            </w:tcBorders>
            <w:gridSpan w:val="2"/>
          </w:tcPr>
          <w:p>
            <w:pPr>
              <w:spacing w:after="0"/>
              <w:rPr>
                <w:rFonts w:ascii="Arial" w:cs="Arial" w:eastAsia="Arial" w:hAnsi="Arial"/>
                <w:sz w:val="16"/>
                <w:szCs w:val="16"/>
                <w:color w:val="0000EE"/>
                <w:w w:val="92"/>
              </w:rPr>
            </w:pPr>
            <w:hyperlink w:anchor="page31">
              <w:r>
                <w:rPr>
                  <w:rFonts w:ascii="Arial" w:cs="Arial" w:eastAsia="Arial" w:hAnsi="Arial"/>
                  <w:sz w:val="16"/>
                  <w:szCs w:val="16"/>
                  <w:color w:val="0000EE"/>
                  <w:w w:val="92"/>
                </w:rPr>
                <w:t>Certification of the Principal Financial Officer Pursuant to Section 302 of the Sarbanes-Oxley Act of 2002</w:t>
              </w:r>
            </w:hyperlink>
          </w:p>
        </w:tc>
        <w:tc>
          <w:tcPr>
            <w:tcW w:w="960" w:type="dxa"/>
            <w:vAlign w:val="bottom"/>
          </w:tcPr>
          <w:p>
            <w:pPr>
              <w:spacing w:after="0"/>
              <w:rPr>
                <w:sz w:val="24"/>
                <w:szCs w:val="24"/>
                <w:color w:val="auto"/>
              </w:rPr>
            </w:pPr>
          </w:p>
        </w:tc>
      </w:tr>
      <w:tr>
        <w:trPr>
          <w:trHeight w:val="315"/>
        </w:trPr>
        <w:tc>
          <w:tcPr>
            <w:tcW w:w="1060" w:type="dxa"/>
            <w:vAlign w:val="bottom"/>
          </w:tcPr>
          <w:p>
            <w:pPr>
              <w:spacing w:after="0"/>
              <w:rPr>
                <w:sz w:val="20"/>
                <w:szCs w:val="20"/>
                <w:color w:val="auto"/>
              </w:rPr>
            </w:pPr>
            <w:r>
              <w:rPr>
                <w:rFonts w:ascii="Arial" w:cs="Arial" w:eastAsia="Arial" w:hAnsi="Arial"/>
                <w:sz w:val="16"/>
                <w:szCs w:val="16"/>
                <w:color w:val="auto"/>
              </w:rPr>
              <w:t>32.1</w:t>
            </w:r>
          </w:p>
        </w:tc>
        <w:tc>
          <w:tcPr>
            <w:tcW w:w="340" w:type="dxa"/>
            <w:vAlign w:val="bottom"/>
          </w:tcPr>
          <w:p>
            <w:pPr>
              <w:spacing w:after="0"/>
              <w:rPr>
                <w:sz w:val="24"/>
                <w:szCs w:val="24"/>
                <w:color w:val="auto"/>
              </w:rPr>
            </w:pPr>
          </w:p>
        </w:tc>
        <w:tc>
          <w:tcPr>
            <w:tcW w:w="7800" w:type="dxa"/>
            <w:vAlign w:val="bottom"/>
            <w:tcBorders>
              <w:bottom w:val="single" w:sz="8" w:color="0000EE"/>
            </w:tcBorders>
            <w:gridSpan w:val="3"/>
          </w:tcPr>
          <w:p>
            <w:pPr>
              <w:spacing w:after="0"/>
              <w:rPr>
                <w:rFonts w:ascii="Arial" w:cs="Arial" w:eastAsia="Arial" w:hAnsi="Arial"/>
                <w:sz w:val="16"/>
                <w:szCs w:val="16"/>
                <w:color w:val="0000EE"/>
                <w:w w:val="90"/>
              </w:rPr>
            </w:pPr>
            <w:hyperlink w:anchor="page32">
              <w:r>
                <w:rPr>
                  <w:rFonts w:ascii="Arial" w:cs="Arial" w:eastAsia="Arial" w:hAnsi="Arial"/>
                  <w:sz w:val="16"/>
                  <w:szCs w:val="16"/>
                  <w:color w:val="0000EE"/>
                  <w:w w:val="90"/>
                </w:rPr>
                <w:t>Certification Pursuant to 18 U.S.C. Section 1350, as Adopted Pursuant to Section 906 of the Sarbanes-Oxley Act of 2002</w:t>
              </w:r>
            </w:hyperlink>
          </w:p>
        </w:tc>
      </w:tr>
      <w:tr>
        <w:trPr>
          <w:trHeight w:val="315"/>
        </w:trPr>
        <w:tc>
          <w:tcPr>
            <w:tcW w:w="1060" w:type="dxa"/>
            <w:vAlign w:val="bottom"/>
          </w:tcPr>
          <w:p>
            <w:pPr>
              <w:spacing w:after="0"/>
              <w:rPr>
                <w:sz w:val="20"/>
                <w:szCs w:val="20"/>
                <w:color w:val="auto"/>
              </w:rPr>
            </w:pPr>
            <w:r>
              <w:rPr>
                <w:rFonts w:ascii="Arial" w:cs="Arial" w:eastAsia="Arial" w:hAnsi="Arial"/>
                <w:sz w:val="16"/>
                <w:szCs w:val="16"/>
                <w:color w:val="auto"/>
              </w:rPr>
              <w:t>32.2</w:t>
            </w:r>
          </w:p>
        </w:tc>
        <w:tc>
          <w:tcPr>
            <w:tcW w:w="340" w:type="dxa"/>
            <w:vAlign w:val="bottom"/>
          </w:tcPr>
          <w:p>
            <w:pPr>
              <w:spacing w:after="0"/>
              <w:rPr>
                <w:sz w:val="24"/>
                <w:szCs w:val="24"/>
                <w:color w:val="auto"/>
              </w:rPr>
            </w:pPr>
          </w:p>
        </w:tc>
        <w:tc>
          <w:tcPr>
            <w:tcW w:w="7800" w:type="dxa"/>
            <w:vAlign w:val="bottom"/>
            <w:tcBorders>
              <w:bottom w:val="single" w:sz="8" w:color="0000EE"/>
            </w:tcBorders>
            <w:gridSpan w:val="3"/>
          </w:tcPr>
          <w:p>
            <w:pPr>
              <w:spacing w:after="0"/>
              <w:rPr>
                <w:rFonts w:ascii="Arial" w:cs="Arial" w:eastAsia="Arial" w:hAnsi="Arial"/>
                <w:sz w:val="16"/>
                <w:szCs w:val="16"/>
                <w:color w:val="0000EE"/>
                <w:w w:val="90"/>
              </w:rPr>
            </w:pPr>
            <w:hyperlink w:anchor="page33">
              <w:r>
                <w:rPr>
                  <w:rFonts w:ascii="Arial" w:cs="Arial" w:eastAsia="Arial" w:hAnsi="Arial"/>
                  <w:sz w:val="16"/>
                  <w:szCs w:val="16"/>
                  <w:color w:val="0000EE"/>
                  <w:w w:val="90"/>
                </w:rPr>
                <w:t>Certification Pursuant to 18 U.S.C. Section 1350, as Adopted Pursuant to Section 906 of the Sarbanes-Oxley Act of 2002</w:t>
              </w:r>
            </w:hyperlink>
          </w:p>
        </w:tc>
      </w:tr>
      <w:tr>
        <w:trPr>
          <w:trHeight w:val="349"/>
        </w:trPr>
        <w:tc>
          <w:tcPr>
            <w:tcW w:w="1060" w:type="dxa"/>
            <w:vAlign w:val="bottom"/>
          </w:tcPr>
          <w:p>
            <w:pPr>
              <w:spacing w:after="0"/>
              <w:rPr>
                <w:sz w:val="20"/>
                <w:szCs w:val="20"/>
                <w:color w:val="auto"/>
              </w:rPr>
            </w:pPr>
            <w:r>
              <w:rPr>
                <w:rFonts w:ascii="Arial" w:cs="Arial" w:eastAsia="Arial" w:hAnsi="Arial"/>
                <w:sz w:val="16"/>
                <w:szCs w:val="16"/>
                <w:color w:val="auto"/>
              </w:rPr>
              <w:t>101.1 INS</w:t>
            </w:r>
          </w:p>
        </w:tc>
        <w:tc>
          <w:tcPr>
            <w:tcW w:w="340" w:type="dxa"/>
            <w:vAlign w:val="bottom"/>
          </w:tcPr>
          <w:p>
            <w:pPr>
              <w:spacing w:after="0"/>
              <w:rPr>
                <w:sz w:val="24"/>
                <w:szCs w:val="24"/>
                <w:color w:val="auto"/>
              </w:rPr>
            </w:pPr>
          </w:p>
        </w:tc>
        <w:tc>
          <w:tcPr>
            <w:tcW w:w="7800" w:type="dxa"/>
            <w:vAlign w:val="bottom"/>
            <w:gridSpan w:val="3"/>
          </w:tcPr>
          <w:p>
            <w:pPr>
              <w:spacing w:after="0"/>
              <w:rPr>
                <w:sz w:val="20"/>
                <w:szCs w:val="20"/>
                <w:color w:val="auto"/>
              </w:rPr>
            </w:pPr>
            <w:r>
              <w:rPr>
                <w:rFonts w:ascii="Arial" w:cs="Arial" w:eastAsia="Arial" w:hAnsi="Arial"/>
                <w:sz w:val="16"/>
                <w:szCs w:val="16"/>
                <w:color w:val="auto"/>
              </w:rPr>
              <w:t>XBRL Instance Document</w:t>
            </w:r>
          </w:p>
        </w:tc>
      </w:tr>
      <w:tr>
        <w:trPr>
          <w:trHeight w:val="335"/>
        </w:trPr>
        <w:tc>
          <w:tcPr>
            <w:tcW w:w="1060" w:type="dxa"/>
            <w:vAlign w:val="bottom"/>
          </w:tcPr>
          <w:p>
            <w:pPr>
              <w:spacing w:after="0"/>
              <w:rPr>
                <w:sz w:val="20"/>
                <w:szCs w:val="20"/>
                <w:color w:val="auto"/>
              </w:rPr>
            </w:pPr>
            <w:r>
              <w:rPr>
                <w:rFonts w:ascii="Arial" w:cs="Arial" w:eastAsia="Arial" w:hAnsi="Arial"/>
                <w:sz w:val="16"/>
                <w:szCs w:val="16"/>
                <w:color w:val="auto"/>
              </w:rPr>
              <w:t>101.1 SCH</w:t>
            </w:r>
          </w:p>
        </w:tc>
        <w:tc>
          <w:tcPr>
            <w:tcW w:w="340" w:type="dxa"/>
            <w:vAlign w:val="bottom"/>
          </w:tcPr>
          <w:p>
            <w:pPr>
              <w:spacing w:after="0"/>
              <w:rPr>
                <w:sz w:val="24"/>
                <w:szCs w:val="24"/>
                <w:color w:val="auto"/>
              </w:rPr>
            </w:pPr>
          </w:p>
        </w:tc>
        <w:tc>
          <w:tcPr>
            <w:tcW w:w="7800" w:type="dxa"/>
            <w:vAlign w:val="bottom"/>
            <w:gridSpan w:val="3"/>
          </w:tcPr>
          <w:p>
            <w:pPr>
              <w:spacing w:after="0"/>
              <w:rPr>
                <w:sz w:val="20"/>
                <w:szCs w:val="20"/>
                <w:color w:val="auto"/>
              </w:rPr>
            </w:pPr>
            <w:r>
              <w:rPr>
                <w:rFonts w:ascii="Arial" w:cs="Arial" w:eastAsia="Arial" w:hAnsi="Arial"/>
                <w:sz w:val="16"/>
                <w:szCs w:val="16"/>
                <w:color w:val="auto"/>
              </w:rPr>
              <w:t>XBRL Taxonomy Extension Schema</w:t>
            </w:r>
          </w:p>
        </w:tc>
      </w:tr>
      <w:tr>
        <w:trPr>
          <w:trHeight w:val="335"/>
        </w:trPr>
        <w:tc>
          <w:tcPr>
            <w:tcW w:w="1060" w:type="dxa"/>
            <w:vAlign w:val="bottom"/>
          </w:tcPr>
          <w:p>
            <w:pPr>
              <w:spacing w:after="0"/>
              <w:rPr>
                <w:sz w:val="20"/>
                <w:szCs w:val="20"/>
                <w:color w:val="auto"/>
              </w:rPr>
            </w:pPr>
            <w:r>
              <w:rPr>
                <w:rFonts w:ascii="Arial" w:cs="Arial" w:eastAsia="Arial" w:hAnsi="Arial"/>
                <w:sz w:val="16"/>
                <w:szCs w:val="16"/>
                <w:color w:val="auto"/>
              </w:rPr>
              <w:t>101.1 CAL</w:t>
            </w:r>
          </w:p>
        </w:tc>
        <w:tc>
          <w:tcPr>
            <w:tcW w:w="340" w:type="dxa"/>
            <w:vAlign w:val="bottom"/>
          </w:tcPr>
          <w:p>
            <w:pPr>
              <w:spacing w:after="0"/>
              <w:rPr>
                <w:sz w:val="24"/>
                <w:szCs w:val="24"/>
                <w:color w:val="auto"/>
              </w:rPr>
            </w:pPr>
          </w:p>
        </w:tc>
        <w:tc>
          <w:tcPr>
            <w:tcW w:w="780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35"/>
        </w:trPr>
        <w:tc>
          <w:tcPr>
            <w:tcW w:w="1060" w:type="dxa"/>
            <w:vAlign w:val="bottom"/>
          </w:tcPr>
          <w:p>
            <w:pPr>
              <w:spacing w:after="0"/>
              <w:rPr>
                <w:sz w:val="20"/>
                <w:szCs w:val="20"/>
                <w:color w:val="auto"/>
              </w:rPr>
            </w:pPr>
            <w:r>
              <w:rPr>
                <w:rFonts w:ascii="Arial" w:cs="Arial" w:eastAsia="Arial" w:hAnsi="Arial"/>
                <w:sz w:val="16"/>
                <w:szCs w:val="16"/>
                <w:color w:val="auto"/>
              </w:rPr>
              <w:t>101.1 DEF</w:t>
            </w:r>
          </w:p>
        </w:tc>
        <w:tc>
          <w:tcPr>
            <w:tcW w:w="340" w:type="dxa"/>
            <w:vAlign w:val="bottom"/>
          </w:tcPr>
          <w:p>
            <w:pPr>
              <w:spacing w:after="0"/>
              <w:rPr>
                <w:sz w:val="24"/>
                <w:szCs w:val="24"/>
                <w:color w:val="auto"/>
              </w:rPr>
            </w:pPr>
          </w:p>
        </w:tc>
        <w:tc>
          <w:tcPr>
            <w:tcW w:w="780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335"/>
        </w:trPr>
        <w:tc>
          <w:tcPr>
            <w:tcW w:w="1060" w:type="dxa"/>
            <w:vAlign w:val="bottom"/>
          </w:tcPr>
          <w:p>
            <w:pPr>
              <w:spacing w:after="0"/>
              <w:rPr>
                <w:sz w:val="20"/>
                <w:szCs w:val="20"/>
                <w:color w:val="auto"/>
              </w:rPr>
            </w:pPr>
            <w:r>
              <w:rPr>
                <w:rFonts w:ascii="Arial" w:cs="Arial" w:eastAsia="Arial" w:hAnsi="Arial"/>
                <w:sz w:val="16"/>
                <w:szCs w:val="16"/>
                <w:color w:val="auto"/>
              </w:rPr>
              <w:t>101.1 LAB</w:t>
            </w:r>
          </w:p>
        </w:tc>
        <w:tc>
          <w:tcPr>
            <w:tcW w:w="340" w:type="dxa"/>
            <w:vAlign w:val="bottom"/>
          </w:tcPr>
          <w:p>
            <w:pPr>
              <w:spacing w:after="0"/>
              <w:rPr>
                <w:sz w:val="24"/>
                <w:szCs w:val="24"/>
                <w:color w:val="auto"/>
              </w:rPr>
            </w:pPr>
          </w:p>
        </w:tc>
        <w:tc>
          <w:tcPr>
            <w:tcW w:w="780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w:t>
            </w:r>
          </w:p>
        </w:tc>
      </w:tr>
      <w:tr>
        <w:trPr>
          <w:trHeight w:val="352"/>
        </w:trPr>
        <w:tc>
          <w:tcPr>
            <w:tcW w:w="1060" w:type="dxa"/>
            <w:vAlign w:val="bottom"/>
          </w:tcPr>
          <w:p>
            <w:pPr>
              <w:spacing w:after="0"/>
              <w:rPr>
                <w:sz w:val="20"/>
                <w:szCs w:val="20"/>
                <w:color w:val="auto"/>
              </w:rPr>
            </w:pPr>
            <w:r>
              <w:rPr>
                <w:rFonts w:ascii="Arial" w:cs="Arial" w:eastAsia="Arial" w:hAnsi="Arial"/>
                <w:sz w:val="18"/>
                <w:szCs w:val="18"/>
                <w:color w:val="auto"/>
              </w:rPr>
              <w:t>101.1 PRE</w:t>
            </w:r>
          </w:p>
        </w:tc>
        <w:tc>
          <w:tcPr>
            <w:tcW w:w="340" w:type="dxa"/>
            <w:vAlign w:val="bottom"/>
          </w:tcPr>
          <w:p>
            <w:pPr>
              <w:spacing w:after="0"/>
              <w:rPr>
                <w:sz w:val="24"/>
                <w:szCs w:val="24"/>
                <w:color w:val="auto"/>
              </w:rPr>
            </w:pPr>
          </w:p>
        </w:tc>
        <w:tc>
          <w:tcPr>
            <w:tcW w:w="780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7720" w:type="dxa"/>
            <w:vAlign w:val="bottom"/>
            <w:gridSpan w:val="2"/>
          </w:tcPr>
          <w:p>
            <w:pPr>
              <w:ind w:left="2480"/>
              <w:spacing w:after="0"/>
              <w:rPr>
                <w:sz w:val="20"/>
                <w:szCs w:val="20"/>
                <w:color w:val="auto"/>
              </w:rPr>
            </w:pPr>
            <w:r>
              <w:rPr>
                <w:rFonts w:ascii="Arial" w:cs="Arial" w:eastAsia="Arial" w:hAnsi="Arial"/>
                <w:sz w:val="18"/>
                <w:szCs w:val="18"/>
                <w:color w:val="auto"/>
              </w:rPr>
              <w:t>HEALTHSTREAM, INC.</w:t>
            </w:r>
          </w:p>
        </w:tc>
      </w:tr>
      <w:tr>
        <w:trPr>
          <w:trHeight w:val="456"/>
        </w:trPr>
        <w:tc>
          <w:tcPr>
            <w:tcW w:w="3700" w:type="dxa"/>
            <w:vAlign w:val="bottom"/>
          </w:tcPr>
          <w:p>
            <w:pPr>
              <w:spacing w:after="0"/>
              <w:rPr>
                <w:sz w:val="20"/>
                <w:szCs w:val="20"/>
                <w:color w:val="auto"/>
              </w:rPr>
            </w:pPr>
            <w:r>
              <w:rPr>
                <w:rFonts w:ascii="Arial" w:cs="Arial" w:eastAsia="Arial" w:hAnsi="Arial"/>
                <w:sz w:val="18"/>
                <w:szCs w:val="18"/>
                <w:color w:val="auto"/>
              </w:rPr>
              <w:t>October 29, 2018</w:t>
            </w:r>
          </w:p>
        </w:tc>
        <w:tc>
          <w:tcPr>
            <w:tcW w:w="7720" w:type="dxa"/>
            <w:vAlign w:val="bottom"/>
            <w:gridSpan w:val="2"/>
          </w:tcPr>
          <w:p>
            <w:pPr>
              <w:ind w:left="2480"/>
              <w:spacing w:after="0"/>
              <w:rPr>
                <w:sz w:val="20"/>
                <w:szCs w:val="20"/>
                <w:color w:val="auto"/>
              </w:rPr>
            </w:pPr>
            <w:r>
              <w:rPr>
                <w:rFonts w:ascii="Arial" w:cs="Arial" w:eastAsia="Arial" w:hAnsi="Arial"/>
                <w:sz w:val="18"/>
                <w:szCs w:val="18"/>
                <w:color w:val="auto"/>
              </w:rPr>
              <w:t>By:  /s/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4"/>
        </w:trPr>
        <w:tc>
          <w:tcPr>
            <w:tcW w:w="37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8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Gerard M. Hayden, Jr.</w:t>
            </w:r>
          </w:p>
        </w:tc>
      </w:tr>
      <w:tr>
        <w:trPr>
          <w:trHeight w:val="227"/>
        </w:trPr>
        <w:tc>
          <w:tcPr>
            <w:tcW w:w="37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9" w:right="239" w:bottom="1440" w:gutter="0" w:footer="0" w:header="0"/>
        </w:sectPr>
      </w:pPr>
    </w:p>
    <w:bookmarkStart w:id="29" w:name="page30"/>
    <w:bookmarkEnd w:id="29"/>
    <w:p>
      <w:pPr>
        <w:jc w:val="right"/>
        <w:ind w:right="100"/>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1" w:lineRule="exact"/>
        <w:rPr>
          <w:sz w:val="20"/>
          <w:szCs w:val="20"/>
          <w:color w:val="auto"/>
        </w:rPr>
      </w:pPr>
    </w:p>
    <w:p>
      <w:pPr>
        <w:ind w:left="180" w:hanging="173"/>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1" w:lineRule="exact"/>
        <w:rPr>
          <w:rFonts w:ascii="Arial" w:cs="Arial" w:eastAsia="Arial" w:hAnsi="Arial"/>
          <w:sz w:val="18"/>
          <w:szCs w:val="18"/>
          <w:color w:val="auto"/>
        </w:rPr>
      </w:pPr>
    </w:p>
    <w:p>
      <w:pPr>
        <w:ind w:right="100" w:firstLine="7"/>
        <w:spacing w:after="0" w:line="335"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100" w:firstLine="7"/>
        <w:spacing w:after="0" w:line="271"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8"/>
          <w:szCs w:val="18"/>
          <w:color w:val="auto"/>
        </w:rPr>
      </w:pPr>
    </w:p>
    <w:p>
      <w:pPr>
        <w:jc w:val="both"/>
        <w:ind w:right="100" w:firstLine="7"/>
        <w:spacing w:after="0" w:line="259" w:lineRule="auto"/>
        <w:tabs>
          <w:tab w:leader="none" w:pos="17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580" w:right="100" w:hanging="3"/>
        <w:spacing w:after="0" w:line="259" w:lineRule="auto"/>
        <w:tabs>
          <w:tab w:leader="none" w:pos="76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580" w:right="100" w:hanging="3"/>
        <w:spacing w:after="0" w:line="259" w:lineRule="auto"/>
        <w:tabs>
          <w:tab w:leader="none" w:pos="7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580" w:right="120" w:hanging="3"/>
        <w:spacing w:after="0" w:line="301" w:lineRule="auto"/>
        <w:tabs>
          <w:tab w:leader="none" w:pos="76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jc w:val="both"/>
        <w:ind w:left="580" w:right="100" w:hanging="3"/>
        <w:spacing w:after="0" w:line="259" w:lineRule="auto"/>
        <w:tabs>
          <w:tab w:leader="none" w:pos="777"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right="100" w:firstLine="7"/>
        <w:spacing w:after="0" w:line="271" w:lineRule="auto"/>
        <w:tabs>
          <w:tab w:leader="none" w:pos="2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580" w:right="100" w:hanging="3"/>
        <w:spacing w:after="0" w:line="271" w:lineRule="auto"/>
        <w:tabs>
          <w:tab w:leader="none" w:pos="78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580" w:right="100" w:hanging="3"/>
        <w:spacing w:after="0" w:line="271" w:lineRule="auto"/>
        <w:tabs>
          <w:tab w:leader="none" w:pos="77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60" w:type="dxa"/>
            <w:vAlign w:val="bottom"/>
          </w:tcPr>
          <w:p>
            <w:pPr>
              <w:spacing w:after="0"/>
              <w:rPr>
                <w:sz w:val="20"/>
                <w:szCs w:val="20"/>
                <w:color w:val="auto"/>
              </w:rPr>
            </w:pPr>
            <w:r>
              <w:rPr>
                <w:rFonts w:ascii="Arial" w:cs="Arial" w:eastAsia="Arial" w:hAnsi="Arial"/>
                <w:sz w:val="18"/>
                <w:szCs w:val="18"/>
                <w:color w:val="auto"/>
              </w:rPr>
              <w:t>Date: October 29,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13"/>
        </w:trPr>
        <w:tc>
          <w:tcPr>
            <w:tcW w:w="69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Robert A. Frist, Jr.</w:t>
            </w:r>
          </w:p>
        </w:tc>
      </w:tr>
      <w:tr>
        <w:trPr>
          <w:trHeight w:val="227"/>
        </w:trPr>
        <w:tc>
          <w:tcPr>
            <w:tcW w:w="69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520"/>
          </w:cols>
          <w:pgMar w:left="240" w:top="349" w:right="139" w:bottom="1440" w:gutter="0" w:footer="0" w:header="0"/>
        </w:sectPr>
      </w:pPr>
    </w:p>
    <w:bookmarkStart w:id="30" w:name="page31"/>
    <w:bookmarkEnd w:id="30"/>
    <w:p>
      <w:pPr>
        <w:jc w:val="right"/>
        <w:ind w:right="100"/>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221" w:lineRule="exact"/>
        <w:rPr>
          <w:sz w:val="20"/>
          <w:szCs w:val="20"/>
          <w:color w:val="auto"/>
        </w:rPr>
      </w:pPr>
    </w:p>
    <w:p>
      <w:pPr>
        <w:ind w:left="180" w:hanging="173"/>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1" w:lineRule="exact"/>
        <w:rPr>
          <w:rFonts w:ascii="Arial" w:cs="Arial" w:eastAsia="Arial" w:hAnsi="Arial"/>
          <w:sz w:val="18"/>
          <w:szCs w:val="18"/>
          <w:color w:val="auto"/>
        </w:rPr>
      </w:pPr>
    </w:p>
    <w:p>
      <w:pPr>
        <w:ind w:right="100" w:firstLine="7"/>
        <w:spacing w:after="0" w:line="335"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100" w:firstLine="7"/>
        <w:spacing w:after="0" w:line="271"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8"/>
          <w:szCs w:val="18"/>
          <w:color w:val="auto"/>
        </w:rPr>
      </w:pPr>
    </w:p>
    <w:p>
      <w:pPr>
        <w:jc w:val="both"/>
        <w:ind w:right="100" w:firstLine="7"/>
        <w:spacing w:after="0" w:line="259" w:lineRule="auto"/>
        <w:tabs>
          <w:tab w:leader="none" w:pos="17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jc w:val="both"/>
        <w:ind w:left="580" w:right="100" w:hanging="3"/>
        <w:spacing w:after="0" w:line="259" w:lineRule="auto"/>
        <w:tabs>
          <w:tab w:leader="none" w:pos="7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580" w:right="100" w:hanging="3"/>
        <w:spacing w:after="0" w:line="259" w:lineRule="auto"/>
        <w:tabs>
          <w:tab w:leader="none" w:pos="7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580" w:right="120" w:hanging="3"/>
        <w:spacing w:after="0" w:line="301" w:lineRule="auto"/>
        <w:tabs>
          <w:tab w:leader="none" w:pos="767"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jc w:val="both"/>
        <w:ind w:left="580" w:right="100" w:hanging="3"/>
        <w:spacing w:after="0" w:line="259" w:lineRule="auto"/>
        <w:tabs>
          <w:tab w:leader="none" w:pos="777"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right="100" w:firstLine="7"/>
        <w:spacing w:after="0" w:line="271" w:lineRule="auto"/>
        <w:tabs>
          <w:tab w:leader="none" w:pos="2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580" w:right="100" w:hanging="3"/>
        <w:spacing w:after="0" w:line="271" w:lineRule="auto"/>
        <w:tabs>
          <w:tab w:leader="none" w:pos="78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580" w:right="100" w:hanging="3"/>
        <w:spacing w:after="0" w:line="271"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80" w:type="dxa"/>
            <w:vAlign w:val="bottom"/>
          </w:tcPr>
          <w:p>
            <w:pPr>
              <w:spacing w:after="0"/>
              <w:rPr>
                <w:sz w:val="20"/>
                <w:szCs w:val="20"/>
                <w:color w:val="auto"/>
              </w:rPr>
            </w:pPr>
            <w:r>
              <w:rPr>
                <w:rFonts w:ascii="Arial" w:cs="Arial" w:eastAsia="Arial" w:hAnsi="Arial"/>
                <w:sz w:val="18"/>
                <w:szCs w:val="18"/>
                <w:color w:val="auto"/>
              </w:rPr>
              <w:t>Date: October 29, 2018</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13"/>
        </w:trPr>
        <w:tc>
          <w:tcPr>
            <w:tcW w:w="70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Gerard M. Hayden, Jr.</w:t>
            </w:r>
          </w:p>
        </w:tc>
      </w:tr>
      <w:tr>
        <w:trPr>
          <w:trHeight w:val="227"/>
        </w:trPr>
        <w:tc>
          <w:tcPr>
            <w:tcW w:w="70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520"/>
          </w:cols>
          <w:pgMar w:left="240" w:top="349" w:right="1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2018,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6" w:lineRule="exact"/>
        <w:rPr>
          <w:sz w:val="20"/>
          <w:szCs w:val="20"/>
          <w:color w:val="auto"/>
        </w:rPr>
      </w:pPr>
    </w:p>
    <w:p>
      <w:pPr>
        <w:ind w:left="1740" w:hanging="863"/>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740" w:right="100" w:hanging="863"/>
        <w:spacing w:after="0" w:line="271" w:lineRule="auto"/>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323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323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October 29, 2018</w:t>
      </w:r>
    </w:p>
    <w:p>
      <w:pPr>
        <w:sectPr>
          <w:pgSz w:w="11900" w:h="16838" w:orient="portrait"/>
          <w:cols w:equalWidth="0" w:num="1">
            <w:col w:w="11420"/>
          </w:cols>
          <w:pgMar w:left="240" w:top="34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2018,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186" w:lineRule="exact"/>
        <w:rPr>
          <w:sz w:val="20"/>
          <w:szCs w:val="20"/>
          <w:color w:val="auto"/>
        </w:rPr>
      </w:pPr>
    </w:p>
    <w:p>
      <w:pPr>
        <w:ind w:left="1740" w:hanging="863"/>
        <w:spacing w:after="0"/>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740" w:right="100" w:hanging="863"/>
        <w:spacing w:after="0" w:line="271" w:lineRule="auto"/>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323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323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October 29, 2018</w:t>
      </w:r>
    </w:p>
    <w:sectPr>
      <w:pgSz w:w="11900" w:h="16838" w:orient="portrait"/>
      <w:cols w:equalWidth="0" w:num="1">
        <w:col w:w="11420"/>
      </w:cols>
      <w:pgMar w:left="240" w:top="3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2019-12-28T18:58:31Z</dcterms:created>
  <dcterms:modified xsi:type="dcterms:W3CDTF">2019-12-28T18:58:31Z</dcterms:modified>
</cp:coreProperties>
</file>