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No.: 000-27701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529"/>
        </w:trPr>
        <w:tc>
          <w:tcPr>
            <w:tcW w:w="11420" w:type="dxa"/>
            <w:vAlign w:val="bottom"/>
            <w:gridSpan w:val="3"/>
          </w:tcPr>
          <w:p>
            <w:pPr>
              <w:jc w:val="center"/>
              <w:spacing w:after="0"/>
              <w:rPr>
                <w:sz w:val="20"/>
                <w:szCs w:val="20"/>
                <w:color w:val="auto"/>
              </w:rPr>
            </w:pPr>
            <w:r>
              <w:rPr>
                <w:rFonts w:ascii="Arial" w:cs="Arial" w:eastAsia="Arial" w:hAnsi="Arial"/>
                <w:sz w:val="43"/>
                <w:szCs w:val="43"/>
                <w:b w:val="1"/>
                <w:bCs w:val="1"/>
                <w:color w:val="auto"/>
                <w:w w:val="93"/>
              </w:rPr>
              <w:t>HealthStream, Inc.</w:t>
            </w:r>
          </w:p>
        </w:tc>
      </w:tr>
      <w:tr>
        <w:trPr>
          <w:trHeight w:val="230"/>
        </w:trPr>
        <w:tc>
          <w:tcPr>
            <w:tcW w:w="11420" w:type="dxa"/>
            <w:vAlign w:val="bottom"/>
            <w:gridSpan w:val="3"/>
          </w:tcPr>
          <w:p>
            <w:pPr>
              <w:jc w:val="center"/>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432"/>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1"/>
              </w:rPr>
              <w:t>Tennessee</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62-1443555</w:t>
            </w:r>
          </w:p>
        </w:tc>
      </w:tr>
      <w:tr>
        <w:trPr>
          <w:trHeight w:val="209"/>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580" w:type="dxa"/>
            <w:vAlign w:val="bottom"/>
          </w:tcPr>
          <w:p>
            <w:pPr>
              <w:spacing w:after="0"/>
              <w:rPr>
                <w:sz w:val="18"/>
                <w:szCs w:val="18"/>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2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580" w:type="dxa"/>
            <w:vAlign w:val="bottom"/>
          </w:tcPr>
          <w:p>
            <w:pPr>
              <w:spacing w:after="0"/>
              <w:rPr>
                <w:sz w:val="20"/>
                <w:szCs w:val="20"/>
                <w:color w:val="auto"/>
              </w:rPr>
            </w:pPr>
          </w:p>
        </w:tc>
        <w:tc>
          <w:tcPr>
            <w:tcW w:w="5420" w:type="dxa"/>
            <w:vAlign w:val="bottom"/>
          </w:tcPr>
          <w:p>
            <w:pPr>
              <w:spacing w:after="0"/>
              <w:rPr>
                <w:sz w:val="20"/>
                <w:szCs w:val="20"/>
                <w:color w:val="auto"/>
              </w:rPr>
            </w:pPr>
          </w:p>
        </w:tc>
      </w:tr>
      <w:tr>
        <w:trPr>
          <w:trHeight w:val="41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9"/>
              </w:rPr>
              <w:t>209 10th Avenue South, Suite 450</w:t>
            </w:r>
          </w:p>
        </w:tc>
        <w:tc>
          <w:tcPr>
            <w:tcW w:w="580" w:type="dxa"/>
            <w:vAlign w:val="bottom"/>
          </w:tcPr>
          <w:p>
            <w:pPr>
              <w:spacing w:after="0"/>
              <w:rPr>
                <w:sz w:val="24"/>
                <w:szCs w:val="24"/>
                <w:color w:val="auto"/>
              </w:rPr>
            </w:pPr>
          </w:p>
        </w:tc>
        <w:tc>
          <w:tcPr>
            <w:tcW w:w="5420" w:type="dxa"/>
            <w:vAlign w:val="bottom"/>
          </w:tcPr>
          <w:p>
            <w:pPr>
              <w:spacing w:after="0"/>
              <w:rPr>
                <w:sz w:val="24"/>
                <w:szCs w:val="24"/>
                <w:color w:val="auto"/>
              </w:rPr>
            </w:pPr>
          </w:p>
        </w:tc>
      </w:t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85"/>
              </w:rPr>
              <w:t>Nashville, Tennessee</w:t>
            </w:r>
          </w:p>
        </w:tc>
        <w:tc>
          <w:tcPr>
            <w:tcW w:w="6000" w:type="dxa"/>
            <w:vAlign w:val="bottom"/>
            <w:gridSpan w:val="2"/>
          </w:tcPr>
          <w:p>
            <w:pPr>
              <w:jc w:val="right"/>
              <w:ind w:right="2390"/>
              <w:spacing w:after="0"/>
              <w:rPr>
                <w:sz w:val="20"/>
                <w:szCs w:val="20"/>
                <w:color w:val="auto"/>
              </w:rPr>
            </w:pPr>
            <w:r>
              <w:rPr>
                <w:rFonts w:ascii="Arial" w:cs="Arial" w:eastAsia="Arial" w:hAnsi="Arial"/>
                <w:sz w:val="18"/>
                <w:szCs w:val="18"/>
                <w:b w:val="1"/>
                <w:bCs w:val="1"/>
                <w:color w:val="auto"/>
              </w:rPr>
              <w:t>37203</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(615) 301-3100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1814830</wp:posOffset>
            </wp:positionH>
            <wp:positionV relativeFrom="paragraph">
              <wp:posOffset>-130810</wp:posOffset>
            </wp:positionV>
            <wp:extent cx="3627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96"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80" w:firstLine="225"/>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122" w:right="239" w:bottom="1440" w:gutter="0" w:footer="0" w:header="0"/>
        </w:sectPr>
      </w:pPr>
    </w:p>
    <w:p>
      <w:pPr>
        <w:spacing w:after="0" w:line="79" w:lineRule="exact"/>
        <w:rPr>
          <w:sz w:val="20"/>
          <w:szCs w:val="20"/>
          <w:color w:val="auto"/>
        </w:rPr>
      </w:pPr>
    </w:p>
    <w:p>
      <w:pPr>
        <w:ind w:left="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5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97" w:lineRule="exact"/>
        <w:rPr>
          <w:sz w:val="20"/>
          <w:szCs w:val="20"/>
          <w:color w:val="auto"/>
        </w:rPr>
      </w:pPr>
    </w:p>
    <w:p>
      <w:pPr>
        <w:sectPr>
          <w:pgSz w:w="11900" w:h="16838" w:orient="portrait"/>
          <w:cols w:equalWidth="0" w:num="4">
            <w:col w:w="1840" w:space="720"/>
            <w:col w:w="1400" w:space="720"/>
            <w:col w:w="3800" w:space="720"/>
            <w:col w:w="2220"/>
          </w:cols>
          <w:pgMar w:left="240" w:top="122" w:right="239" w:bottom="1440" w:gutter="0" w:footer="0" w:header="0"/>
          <w:type w:val="continuous"/>
        </w:sectPr>
      </w:pPr>
    </w:p>
    <w:p>
      <w:pPr>
        <w:ind w:right="2320"/>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As of May 7, 2010, 21,792,175 shares of the registrant’s common stock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Index to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Pr>
          <w:p>
            <w:pPr>
              <w:jc w:val="right"/>
              <w:ind w:right="73"/>
              <w:spacing w:after="0"/>
              <w:rPr>
                <w:sz w:val="20"/>
                <w:szCs w:val="20"/>
                <w:color w:val="auto"/>
              </w:rPr>
            </w:pPr>
            <w:r>
              <w:rPr>
                <w:rFonts w:ascii="Arial" w:cs="Arial" w:eastAsia="Arial" w:hAnsi="Arial"/>
                <w:sz w:val="14"/>
                <w:szCs w:val="14"/>
                <w:b w:val="1"/>
                <w:bCs w:val="1"/>
                <w:color w:val="auto"/>
              </w:rPr>
              <w:t>Page</w:t>
            </w:r>
          </w:p>
        </w:tc>
      </w:tr>
      <w:tr>
        <w:trPr>
          <w:trHeight w:val="171"/>
        </w:trPr>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Number</w:t>
            </w:r>
          </w:p>
        </w:tc>
      </w:tr>
      <w:tr>
        <w:trPr>
          <w:trHeight w:val="385"/>
        </w:trPr>
        <w:tc>
          <w:tcPr>
            <w:tcW w:w="1120" w:type="dxa"/>
            <w:vAlign w:val="bottom"/>
            <w:gridSpan w:val="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96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Information</w:t>
              </w:r>
            </w:hyperlink>
          </w:p>
        </w:tc>
        <w:tc>
          <w:tcPr>
            <w:tcW w:w="6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4">
              <w:r>
                <w:rPr>
                  <w:rFonts w:ascii="Arial" w:cs="Arial" w:eastAsia="Arial" w:hAnsi="Arial"/>
                  <w:sz w:val="18"/>
                  <w:szCs w:val="18"/>
                  <w:color w:val="0000EE"/>
                  <w:w w:val="83"/>
                </w:rPr>
                <w:t>Item 1.</w:t>
              </w:r>
            </w:hyperlink>
          </w:p>
        </w:tc>
        <w:tc>
          <w:tcPr>
            <w:tcW w:w="620" w:type="dxa"/>
            <w:vAlign w:val="bottom"/>
            <w:gridSpan w:val="2"/>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620" w:type="dxa"/>
            <w:vAlign w:val="bottom"/>
          </w:tcPr>
          <w:p>
            <w:pPr>
              <w:spacing w:after="0"/>
              <w:rPr>
                <w:sz w:val="24"/>
                <w:szCs w:val="24"/>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 March 31, 2010 (Unaudited) and December 31, 2009</w:t>
              </w:r>
            </w:hyperlink>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98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Income (Unaudited) — Three Months ended March 31, 2010 and 2009</w:t>
              </w:r>
            </w:hyperlink>
          </w:p>
        </w:tc>
        <w:tc>
          <w:tcPr>
            <w:tcW w:w="1700" w:type="dxa"/>
            <w:vAlign w:val="bottom"/>
            <w:gridSpan w:val="3"/>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2</w:t>
            </w: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 of Shareholders’ Equity (Unaudited) — Three Months ended March 31, 2010</w:t>
              </w:r>
            </w:hyperlink>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 (Unaudited) — Three Months ended March 31, 2010 and 2009</w:t>
              </w:r>
            </w:hyperlink>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4</w:t>
            </w: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80" w:type="dxa"/>
            <w:vAlign w:val="bottom"/>
            <w:tcBorders>
              <w:top w:val="single" w:sz="8" w:color="0000EE"/>
            </w:tcBorders>
            <w:gridSpan w:val="13"/>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w:t>
              </w:r>
            </w:hyperlink>
          </w:p>
        </w:tc>
        <w:tc>
          <w:tcPr>
            <w:tcW w:w="1400" w:type="dxa"/>
            <w:vAlign w:val="bottom"/>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5</w:t>
            </w:r>
          </w:p>
        </w:tc>
      </w:tr>
      <w:tr>
        <w:trPr>
          <w:trHeight w:val="20"/>
        </w:trPr>
        <w:tc>
          <w:tcPr>
            <w:tcW w:w="5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11">
              <w:r>
                <w:rPr>
                  <w:rFonts w:ascii="Arial" w:cs="Arial" w:eastAsia="Arial" w:hAnsi="Arial"/>
                  <w:sz w:val="18"/>
                  <w:szCs w:val="18"/>
                  <w:color w:val="0000EE"/>
                  <w:w w:val="83"/>
                </w:rPr>
                <w:t>Item 2.</w:t>
              </w:r>
            </w:hyperlink>
          </w:p>
        </w:tc>
        <w:tc>
          <w:tcPr>
            <w:tcW w:w="620" w:type="dxa"/>
            <w:vAlign w:val="bottom"/>
            <w:gridSpan w:val="2"/>
          </w:tcPr>
          <w:p>
            <w:pPr>
              <w:spacing w:after="0"/>
              <w:rPr>
                <w:sz w:val="24"/>
                <w:szCs w:val="24"/>
                <w:color w:val="auto"/>
              </w:rPr>
            </w:pPr>
          </w:p>
        </w:tc>
        <w:tc>
          <w:tcPr>
            <w:tcW w:w="64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1">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8</w:t>
            </w:r>
          </w:p>
        </w:tc>
      </w:tr>
      <w:tr>
        <w:trPr>
          <w:trHeight w:val="412"/>
        </w:trPr>
        <w:tc>
          <w:tcPr>
            <w:tcW w:w="50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15">
              <w:r>
                <w:rPr>
                  <w:rFonts w:ascii="Arial" w:cs="Arial" w:eastAsia="Arial" w:hAnsi="Arial"/>
                  <w:sz w:val="18"/>
                  <w:szCs w:val="18"/>
                  <w:color w:val="0000EE"/>
                  <w:w w:val="83"/>
                </w:rPr>
                <w:t>Item 3.</w:t>
              </w:r>
            </w:hyperlink>
          </w:p>
        </w:tc>
        <w:tc>
          <w:tcPr>
            <w:tcW w:w="620" w:type="dxa"/>
            <w:vAlign w:val="bottom"/>
            <w:gridSpan w:val="2"/>
          </w:tcPr>
          <w:p>
            <w:pPr>
              <w:spacing w:after="0"/>
              <w:rPr>
                <w:sz w:val="24"/>
                <w:szCs w:val="24"/>
                <w:color w:val="auto"/>
              </w:rPr>
            </w:pPr>
          </w:p>
        </w:tc>
        <w:tc>
          <w:tcPr>
            <w:tcW w:w="43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12</w:t>
            </w:r>
          </w:p>
        </w:tc>
      </w:tr>
      <w:tr>
        <w:trPr>
          <w:trHeight w:val="412"/>
        </w:trPr>
        <w:tc>
          <w:tcPr>
            <w:tcW w:w="620" w:type="dxa"/>
            <w:vAlign w:val="bottom"/>
            <w:gridSpan w:val="3"/>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4T.</w:t>
              </w:r>
            </w:hyperlink>
          </w:p>
        </w:tc>
        <w:tc>
          <w:tcPr>
            <w:tcW w:w="50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Controls and Procedures</w:t>
              </w:r>
            </w:hyperlink>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12</w:t>
            </w:r>
          </w:p>
        </w:tc>
      </w:tr>
      <w:tr>
        <w:trPr>
          <w:trHeight w:val="412"/>
        </w:trPr>
        <w:tc>
          <w:tcPr>
            <w:tcW w:w="620" w:type="dxa"/>
            <w:vAlign w:val="bottom"/>
            <w:tcBorders>
              <w:top w:val="single" w:sz="8" w:color="0000EE"/>
            </w:tcBorders>
            <w:gridSpan w:val="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Part II.</w:t>
              </w:r>
            </w:hyperlink>
          </w:p>
        </w:tc>
        <w:tc>
          <w:tcPr>
            <w:tcW w:w="500" w:type="dxa"/>
            <w:vAlign w:val="bottom"/>
          </w:tcPr>
          <w:p>
            <w:pPr>
              <w:spacing w:after="0"/>
              <w:rPr>
                <w:sz w:val="24"/>
                <w:szCs w:val="24"/>
                <w:color w:val="auto"/>
              </w:rPr>
            </w:pPr>
          </w:p>
        </w:tc>
        <w:tc>
          <w:tcPr>
            <w:tcW w:w="1760" w:type="dxa"/>
            <w:vAlign w:val="bottom"/>
            <w:tcBorders>
              <w:top w:val="single" w:sz="8" w:color="0000EE"/>
            </w:tcBorders>
            <w:gridSpan w:val="5"/>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Other Information</w:t>
              </w:r>
            </w:hyperlink>
          </w:p>
        </w:tc>
        <w:tc>
          <w:tcPr>
            <w:tcW w:w="7920" w:type="dxa"/>
            <w:vAlign w:val="bottom"/>
            <w:gridSpan w:val="9"/>
          </w:tcPr>
          <w:p>
            <w:pPr>
              <w:spacing w:after="0"/>
              <w:rPr>
                <w:sz w:val="24"/>
                <w:szCs w:val="24"/>
                <w:color w:val="auto"/>
              </w:rPr>
            </w:pPr>
          </w:p>
        </w:tc>
        <w:tc>
          <w:tcPr>
            <w:tcW w:w="620" w:type="dxa"/>
            <w:vAlign w:val="bottom"/>
          </w:tcPr>
          <w:p>
            <w:pPr>
              <w:spacing w:after="0"/>
              <w:rPr>
                <w:sz w:val="24"/>
                <w:szCs w:val="24"/>
                <w:color w:val="auto"/>
              </w:rPr>
            </w:pPr>
          </w:p>
        </w:tc>
      </w:tr>
      <w:tr>
        <w:trPr>
          <w:trHeight w:val="20"/>
        </w:trPr>
        <w:tc>
          <w:tcPr>
            <w:tcW w:w="50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412"/>
        </w:trPr>
        <w:tc>
          <w:tcPr>
            <w:tcW w:w="500" w:type="dxa"/>
            <w:vAlign w:val="bottom"/>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2.</w:t>
              </w:r>
            </w:hyperlink>
          </w:p>
        </w:tc>
        <w:tc>
          <w:tcPr>
            <w:tcW w:w="620" w:type="dxa"/>
            <w:vAlign w:val="bottom"/>
            <w:gridSpan w:val="2"/>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Unregistered Sales of Equity Securities and Use of Proceeds</w:t>
              </w:r>
            </w:hyperlink>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13</w:t>
            </w:r>
          </w:p>
        </w:tc>
      </w:tr>
      <w:tr>
        <w:trPr>
          <w:trHeight w:val="412"/>
        </w:trPr>
        <w:tc>
          <w:tcPr>
            <w:tcW w:w="5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3"/>
              </w:rPr>
            </w:pPr>
            <w:hyperlink w:anchor="page16">
              <w:r>
                <w:rPr>
                  <w:rFonts w:ascii="Arial" w:cs="Arial" w:eastAsia="Arial" w:hAnsi="Arial"/>
                  <w:sz w:val="18"/>
                  <w:szCs w:val="18"/>
                  <w:color w:val="0000EE"/>
                  <w:w w:val="83"/>
                </w:rPr>
                <w:t>Item 6.</w:t>
              </w:r>
            </w:hyperlink>
          </w:p>
        </w:tc>
        <w:tc>
          <w:tcPr>
            <w:tcW w:w="62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16">
              <w:r>
                <w:rPr>
                  <w:rFonts w:ascii="Arial" w:cs="Arial" w:eastAsia="Arial" w:hAnsi="Arial"/>
                  <w:sz w:val="18"/>
                  <w:szCs w:val="18"/>
                  <w:color w:val="0000EE"/>
                  <w:w w:val="91"/>
                </w:rPr>
                <w:t>Exhibits</w:t>
              </w:r>
            </w:hyperlink>
          </w:p>
        </w:tc>
        <w:tc>
          <w:tcPr>
            <w:tcW w:w="3740" w:type="dxa"/>
            <w:vAlign w:val="bottom"/>
            <w:tcBorders>
              <w:top w:val="single" w:sz="8" w:color="0000EE"/>
            </w:tcBorders>
            <w:gridSpan w:val="6"/>
          </w:tcPr>
          <w:p>
            <w:pPr>
              <w:spacing w:after="0"/>
              <w:rPr>
                <w:sz w:val="24"/>
                <w:szCs w:val="24"/>
                <w:color w:val="auto"/>
              </w:rPr>
            </w:pPr>
          </w:p>
        </w:tc>
        <w:tc>
          <w:tcPr>
            <w:tcW w:w="5340" w:type="dxa"/>
            <w:vAlign w:val="bottom"/>
            <w:gridSpan w:val="7"/>
          </w:tcPr>
          <w:p>
            <w:pPr>
              <w:spacing w:after="0"/>
              <w:rPr>
                <w:sz w:val="24"/>
                <w:szCs w:val="24"/>
                <w:color w:val="auto"/>
              </w:rPr>
            </w:pPr>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13</w:t>
            </w:r>
          </w:p>
        </w:tc>
      </w:tr>
      <w:tr>
        <w:trPr>
          <w:trHeight w:val="412"/>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8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Signature</w:t>
              </w:r>
            </w:hyperlink>
          </w:p>
        </w:tc>
        <w:tc>
          <w:tcPr>
            <w:tcW w:w="620" w:type="dxa"/>
            <w:vAlign w:val="bottom"/>
          </w:tcPr>
          <w:p>
            <w:pPr>
              <w:jc w:val="right"/>
              <w:ind w:right="133"/>
              <w:spacing w:after="0"/>
              <w:rPr>
                <w:sz w:val="20"/>
                <w:szCs w:val="20"/>
                <w:color w:val="auto"/>
              </w:rPr>
            </w:pPr>
            <w:r>
              <w:rPr>
                <w:rFonts w:ascii="Arial" w:cs="Arial" w:eastAsia="Arial" w:hAnsi="Arial"/>
                <w:sz w:val="18"/>
                <w:szCs w:val="18"/>
                <w:color w:val="auto"/>
              </w:rPr>
              <w:t>14</w:t>
            </w: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March 31,</w:t>
            </w:r>
          </w:p>
        </w:tc>
        <w:tc>
          <w:tcPr>
            <w:tcW w:w="280" w:type="dxa"/>
            <w:vAlign w:val="bottom"/>
          </w:tcPr>
          <w:p>
            <w:pPr>
              <w:spacing w:after="0"/>
              <w:rPr>
                <w:sz w:val="14"/>
                <w:szCs w:val="14"/>
                <w:color w:val="auto"/>
              </w:rPr>
            </w:pPr>
          </w:p>
        </w:tc>
        <w:tc>
          <w:tcPr>
            <w:tcW w:w="11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9"/>
              </w:rPr>
              <w:t>2010</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3740"/>
              <w:spacing w:after="0"/>
              <w:rPr>
                <w:sz w:val="20"/>
                <w:szCs w:val="20"/>
                <w:color w:val="auto"/>
              </w:rPr>
            </w:pPr>
            <w:r>
              <w:rPr>
                <w:rFonts w:ascii="Arial" w:cs="Arial" w:eastAsia="Arial" w:hAnsi="Arial"/>
                <w:sz w:val="18"/>
                <w:szCs w:val="18"/>
                <w:color w:val="auto"/>
              </w:rPr>
              <w:t>ASSETS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13,016,816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12,287,059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111,594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65,855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Accounts receivable, net of allowance for doubtful accounts of $132,786 and $140,559 at March 31, 2010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December 31, 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11,750,360</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9,577,409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Accounts receivable — unbilled</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1,685,972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1,638,326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assets,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2,830,477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Prepaid royalties, net of amortization</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2,091,368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2,084,154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development fees, net of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406,185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419,189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821,607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988,390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32,714,379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29,890,859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14,369,242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14,121,140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2,004,822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2,004,822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fixtures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1,691,672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18,065,736</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17,815,312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(15,488,592)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(14,881,423)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2,577,144</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2,933,889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Capitalized software feature enhancements, net of accumulated amortization of $4,451,083 and $3,993,689 at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March 31, 2010 and December 31, 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4,157,121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4,181,858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21,146,864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21,146,864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Intangible assets, net of accumulated amortization of $7,332,915 and $7,096,196 at March 31, 2010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December 31, 2009, respectively</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3,554,228</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3,790,946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Deferred tax assets, noncurrent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8,029,741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8,626,400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383,790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431,464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72,563,267</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200"/>
              <w:spacing w:after="0"/>
              <w:rPr>
                <w:sz w:val="20"/>
                <w:szCs w:val="20"/>
                <w:color w:val="auto"/>
              </w:rPr>
            </w:pPr>
            <w:r>
              <w:rPr>
                <w:rFonts w:ascii="Arial" w:cs="Arial" w:eastAsia="Arial" w:hAnsi="Arial"/>
                <w:sz w:val="18"/>
                <w:szCs w:val="18"/>
                <w:color w:val="auto"/>
              </w:rPr>
              <w:t>LIABILITIES AND 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654,699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3,029,994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3,322,794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related expenses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595,405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Commercial support liabilities</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322,654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350,792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14,793,383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12,233,876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Current portion of long term debt</w:t>
            </w:r>
          </w:p>
        </w:tc>
        <w:tc>
          <w:tcPr>
            <w:tcW w:w="10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123,150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306,942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19,526,621</w:t>
            </w: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19,177,014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line="201" w:lineRule="exact"/>
              <w:rPr>
                <w:sz w:val="20"/>
                <w:szCs w:val="20"/>
                <w:color w:val="auto"/>
              </w:rPr>
            </w:pPr>
            <w:r>
              <w:rPr>
                <w:rFonts w:ascii="Arial" w:cs="Arial" w:eastAsia="Arial" w:hAnsi="Arial"/>
                <w:sz w:val="18"/>
                <w:szCs w:val="18"/>
                <w:color w:val="auto"/>
              </w:rPr>
              <w:t>Common stock, no par value, 75,000,000 shares authorized; 21,743,866 and 21,623,350 shares issued and</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outstanding at March 31, 2010 and December 31, 2009, respectively</w:t>
            </w:r>
          </w:p>
        </w:tc>
        <w:tc>
          <w:tcPr>
            <w:tcW w:w="1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5"/>
              </w:rPr>
              <w:t>96,812,890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96,406,765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(43,778,997)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(44,585,861)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600"/>
              <w:spacing w:after="0"/>
              <w:rPr>
                <w:sz w:val="20"/>
                <w:szCs w:val="20"/>
                <w:color w:val="auto"/>
              </w:rPr>
            </w:pPr>
            <w:r>
              <w:rPr>
                <w:rFonts w:ascii="Arial" w:cs="Arial" w:eastAsia="Arial" w:hAnsi="Arial"/>
                <w:sz w:val="18"/>
                <w:szCs w:val="18"/>
                <w:color w:val="auto"/>
              </w:rPr>
              <w:t>Total shareholders’ equity</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53,033,893</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51,820,904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72,563,267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71,002,280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Revenues, net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14,837,252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13,619,208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5,461,982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5,267,831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1,526,165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1,534,421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2,960,868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2,713,594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2,085,872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1,901,278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1,390,342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1,266,300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780" w:type="dxa"/>
            <w:vAlign w:val="bottom"/>
          </w:tcPr>
          <w:p>
            <w:pPr>
              <w:ind w:left="40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13,425,229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12,683,424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1,412,023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935,784</w:t>
            </w:r>
          </w:p>
        </w:tc>
        <w:tc>
          <w:tcPr>
            <w:tcW w:w="0" w:type="dxa"/>
            <w:vAlign w:val="bottom"/>
          </w:tcPr>
          <w:p>
            <w:pPr>
              <w:spacing w:after="0"/>
              <w:rPr>
                <w:sz w:val="1"/>
                <w:szCs w:val="1"/>
                <w:color w:val="auto"/>
              </w:rPr>
            </w:pPr>
          </w:p>
        </w:tc>
      </w:tr>
      <w:tr>
        <w:trPr>
          <w:trHeight w:val="432"/>
        </w:trPr>
        <w:tc>
          <w:tcPr>
            <w:tcW w:w="88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other income</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Interest and other expense</w:t>
            </w:r>
          </w:p>
        </w:tc>
        <w:tc>
          <w:tcPr>
            <w:tcW w:w="100" w:type="dxa"/>
            <w:vAlign w:val="bottom"/>
          </w:tcPr>
          <w:p>
            <w:pPr>
              <w:spacing w:after="0"/>
              <w:rPr>
                <w:sz w:val="18"/>
                <w:szCs w:val="18"/>
                <w:color w:val="auto"/>
              </w:rPr>
            </w:pPr>
          </w:p>
        </w:tc>
        <w:tc>
          <w:tcPr>
            <w:tcW w:w="1500" w:type="dxa"/>
            <w:vAlign w:val="bottom"/>
            <w:gridSpan w:val="3"/>
          </w:tcPr>
          <w:p>
            <w:pPr>
              <w:jc w:val="right"/>
              <w:ind w:right="620"/>
              <w:spacing w:after="0"/>
              <w:rPr>
                <w:sz w:val="20"/>
                <w:szCs w:val="20"/>
                <w:color w:val="auto"/>
              </w:rPr>
            </w:pPr>
            <w:r>
              <w:rPr>
                <w:rFonts w:ascii="Arial" w:cs="Arial" w:eastAsia="Arial" w:hAnsi="Arial"/>
                <w:sz w:val="18"/>
                <w:szCs w:val="18"/>
                <w:color w:val="auto"/>
              </w:rPr>
              <w:t>(11,216)</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(9,841)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other expense</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439"/>
        </w:trPr>
        <w:tc>
          <w:tcPr>
            <w:tcW w:w="88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1,403,523</w:t>
            </w: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934,899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provision</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596,659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57,370</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806,864</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877,529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0.04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21,675,763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21,382,055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22,130,145</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21,567,204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SHAREHOLDERS’ EQUITY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020" w:type="dxa"/>
            <w:vAlign w:val="bottom"/>
            <w:gridSpan w:val="4"/>
          </w:tcPr>
          <w:p>
            <w:pPr>
              <w:jc w:val="right"/>
              <w:ind w:right="1340"/>
              <w:spacing w:after="0"/>
              <w:rPr>
                <w:sz w:val="20"/>
                <w:szCs w:val="20"/>
                <w:color w:val="auto"/>
              </w:rPr>
            </w:pPr>
            <w:r>
              <w:rPr>
                <w:rFonts w:ascii="Arial" w:cs="Arial" w:eastAsia="Arial" w:hAnsi="Arial"/>
                <w:sz w:val="14"/>
                <w:szCs w:val="14"/>
                <w:b w:val="1"/>
                <w:bCs w:val="1"/>
                <w:color w:val="auto"/>
              </w:rPr>
              <w:t>Common Stock</w:t>
            </w: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Accumulated</w:t>
            </w:r>
          </w:p>
        </w:tc>
        <w:tc>
          <w:tcPr>
            <w:tcW w:w="28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w w:val="99"/>
              </w:rPr>
              <w:t>Total 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Shares</w:t>
            </w:r>
          </w:p>
        </w:tc>
        <w:tc>
          <w:tcPr>
            <w:tcW w:w="580" w:type="dxa"/>
            <w:vAlign w:val="bottom"/>
          </w:tcPr>
          <w:p>
            <w:pPr>
              <w:spacing w:after="0"/>
              <w:rPr>
                <w:sz w:val="14"/>
                <w:szCs w:val="14"/>
                <w:color w:val="auto"/>
              </w:rPr>
            </w:pPr>
          </w:p>
        </w:tc>
        <w:tc>
          <w:tcPr>
            <w:tcW w:w="92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Amount</w:t>
            </w:r>
          </w:p>
        </w:tc>
        <w:tc>
          <w:tcPr>
            <w:tcW w:w="600" w:type="dxa"/>
            <w:vAlign w:val="bottom"/>
          </w:tcPr>
          <w:p>
            <w:pPr>
              <w:spacing w:after="0"/>
              <w:rPr>
                <w:sz w:val="14"/>
                <w:szCs w:val="14"/>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Deficit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2009</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21,623,350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$96,406,765</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(44,585,861)</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51,820,904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806,864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806,864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 expense</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162,779</w:t>
            </w: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120,516</w:t>
            </w:r>
          </w:p>
        </w:tc>
        <w:tc>
          <w:tcPr>
            <w:tcW w:w="58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color w:val="auto"/>
              </w:rPr>
              <w:t>243,346</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243,346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31, 2010</w:t>
            </w:r>
          </w:p>
        </w:tc>
        <w:tc>
          <w:tcPr>
            <w:tcW w:w="15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9"/>
              </w:rPr>
              <w:t>21,743,866</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96,812,890</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(43,778,997)</w:t>
            </w: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53,033,893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806,864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877,529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1,390,342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1,266,300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 based compensation expense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162,779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400"/>
              <w:spacing w:after="0"/>
              <w:rPr>
                <w:sz w:val="20"/>
                <w:szCs w:val="20"/>
                <w:color w:val="auto"/>
              </w:rPr>
            </w:pPr>
            <w:r>
              <w:rPr>
                <w:rFonts w:ascii="Arial" w:cs="Arial" w:eastAsia="Arial" w:hAnsi="Arial"/>
                <w:sz w:val="18"/>
                <w:szCs w:val="18"/>
                <w:color w:val="auto"/>
              </w:rPr>
              <w:t>Provision for doubtful accounts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596,659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and unbilled receivables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3"/>
              </w:rPr>
              <w:t>(2,220,597)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(2,256,651)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(45,739)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Prepaid royalties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(7,214)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(342,899)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Prepaid development fees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(84,466)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(66,950)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Other prepaid expenses and other current assets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166,783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rPr>
              <w:t>47,674</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49,042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(897,402)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Accrued liabilities and accrued compensation and related expenses</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w w:val="93"/>
              </w:rPr>
              <w:t>(1,098,999)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(129,663)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Commercial support liabilities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(28,138)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60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99"/>
              </w:rPr>
              <w:t>2,559,507</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2,224,328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9"/>
              </w:rPr>
              <w:t>1,348,053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1,667,624</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Payments associated with capitalized software feature enhancements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(424,248)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Purchases of property and equipment, net</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(250,424)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(540,946)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(674,672)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(813,114)</w:t>
            </w:r>
          </w:p>
        </w:tc>
        <w:tc>
          <w:tcPr>
            <w:tcW w:w="0" w:type="dxa"/>
            <w:vAlign w:val="bottom"/>
          </w:tcPr>
          <w:p>
            <w:pPr>
              <w:spacing w:after="0"/>
              <w:rPr>
                <w:sz w:val="1"/>
                <w:szCs w:val="1"/>
                <w:color w:val="auto"/>
              </w:rPr>
            </w:pPr>
          </w:p>
        </w:tc>
      </w:tr>
      <w:tr>
        <w:trPr>
          <w:trHeight w:val="439"/>
        </w:trPr>
        <w:tc>
          <w:tcPr>
            <w:tcW w:w="882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243,346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1500" w:type="dxa"/>
            <w:vAlign w:val="bottom"/>
            <w:gridSpan w:val="2"/>
          </w:tcPr>
          <w:p>
            <w:pPr>
              <w:jc w:val="right"/>
              <w:ind w:right="620"/>
              <w:spacing w:after="0"/>
              <w:rPr>
                <w:sz w:val="20"/>
                <w:szCs w:val="20"/>
                <w:color w:val="auto"/>
              </w:rPr>
            </w:pPr>
            <w:r>
              <w:rPr>
                <w:rFonts w:ascii="Arial" w:cs="Arial" w:eastAsia="Arial" w:hAnsi="Arial"/>
                <w:sz w:val="18"/>
                <w:szCs w:val="18"/>
                <w:color w:val="auto"/>
              </w:rPr>
              <w:t>(183,792)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Payments on capital lease obligations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(3,178)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80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56,376</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729,757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tcPr>
          <w:p>
            <w:pPr>
              <w:spacing w:after="0"/>
              <w:rPr>
                <w:sz w:val="18"/>
                <w:szCs w:val="18"/>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8"/>
                <w:szCs w:val="18"/>
                <w:color w:val="auto"/>
                <w:w w:val="88"/>
              </w:rPr>
              <w:t>12,287,059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4,106,612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15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8"/>
              </w:rPr>
              <w:t>13,016,816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4,771,295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(“US GAAP”) for interim financial information and with the instructions to Form 10-Q and Article 10 of Regulation S-X. Accordingly, condensed consolidated financial statements do not include all of the information and footnotes required by US GAAP for complete financial statements. In the opinion of management, all adjustments (consisting of normal recurring accruals) considered necessary for a fair presentation have been included. All significant intercompany transactions have been eliminated in consolidation. Operating results for the three months ended March 31, 2010 are not necessarily indicative of the results that may be expected for the year ending December 31, 2010.</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balance sheet at December 31, 2009 is consistent with the audited financial statements at that date but does not include all of the information and footnotes required by US GAAP for a complete set of financial statements. For further information, refer to the consolidated financial statements and footnotes thereto for the year ended December 31, 2009 (included in the Company’s Annual Report on Form 10-K, filed with the Securities and Exchange Commission on March 26, 2010).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2009, the Financial Accounting Standards Board (“FASB”) issued revised guidance on the accounting for revenue arrangements with multiple deliverables. The revised guidance changes when individual deliverables in a multiple element arrangement can be treated as separate units of accounting, and also changes the manner in which the transaction consideration is allocated across the separately identified deliverables. The revised guidance will be effective for the first annual reporting period on or after June 15, 2010, and may be applied retrospectively for all periods presented or prospectively to arrangements entered into or materially modified after the adoption date. Early adoption is permitted provided that the revised guidance is retroactively applied to the beginning of the year of adoption. We are currently assessing the potential impact of adopting the revised guidance on our financial position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TAXES</w:t>
      </w:r>
    </w:p>
    <w:p>
      <w:pPr>
        <w:spacing w:after="0" w:line="121" w:lineRule="exact"/>
        <w:rPr>
          <w:sz w:val="20"/>
          <w:szCs w:val="20"/>
          <w:color w:val="auto"/>
        </w:rPr>
      </w:pPr>
    </w:p>
    <w:p>
      <w:pPr>
        <w:ind w:right="620"/>
        <w:spacing w:after="0" w:line="264" w:lineRule="auto"/>
        <w:rPr>
          <w:sz w:val="20"/>
          <w:szCs w:val="20"/>
          <w:color w:val="auto"/>
        </w:rPr>
      </w:pPr>
      <w:r>
        <w:rPr>
          <w:rFonts w:ascii="Arial" w:cs="Arial" w:eastAsia="Arial" w:hAnsi="Arial"/>
          <w:sz w:val="18"/>
          <w:szCs w:val="18"/>
          <w:color w:val="auto"/>
        </w:rPr>
        <w:t>Income taxes are accounted for using the asset and liability method, whereby deferred tax assets and liabilities are determined based on the temporary differences between the financial statement and tax bases of assets and liabilities measured at tax rates that will be in effect for the year in which the differences are expected to affect taxable income.</w:t>
      </w:r>
    </w:p>
    <w:p>
      <w:pPr>
        <w:spacing w:after="0" w:line="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three months ended March 31, 2010 and 2009, the Company recorded a provision for income taxes of $596,659 and $57,370, respectively. The Company’s effective tax rate for the three months ended March 31, 2010 was 42.5%. The Company’s effective tax rate primarily reflects the statutory corporate income tax rate, the net effect of state taxes, and the effect of various permanent tax differences. The Company’s effective tax rate for the three months ended March 31, 2009 was substantially less than the statutory rate because we previously maintained a valuation allowance for our net operating loss (“NOL”) carryforwards and other deferred tax assets. The Company released substantially all of the remaining balance of the valuation allowance against its deferred tax assets at December 31, 2009.</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maintains one stock incentive plan. The Company accounts for its stock based compensation plan using the fair-value based method for costs related to share-based payments, including stock options. The Company uses the Black Scholes option pricing model for calculating the fair value of awards issued under its stock based compensation plan. During the three months ended March 31, 2010, the Company granted 214,000 stock options with a weighted average grant date fair value of $1.77. During the three months ended March 31, 2009, the Company granted 209,000 stock options with a weighted average grant date fair value of $1.04. The fair value of stock based awards granted during the three months ended March 31, 2010 and 2009 was estimated using the Black Scholes option pricing model, with the assumptions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900" w:type="dxa"/>
            <w:vAlign w:val="bottom"/>
            <w:gridSpan w:val="3"/>
          </w:tcPr>
          <w:p>
            <w:pPr>
              <w:jc w:val="center"/>
              <w:ind w:left="568"/>
              <w:spacing w:after="0"/>
              <w:rPr>
                <w:sz w:val="20"/>
                <w:szCs w:val="20"/>
                <w:color w:val="auto"/>
              </w:rPr>
            </w:pPr>
            <w:r>
              <w:rPr>
                <w:rFonts w:ascii="Arial" w:cs="Arial" w:eastAsia="Arial" w:hAnsi="Arial"/>
                <w:sz w:val="14"/>
                <w:szCs w:val="14"/>
                <w:color w:val="auto"/>
                <w:w w:val="93"/>
              </w:rPr>
              <w:t>Three Months Ended</w:t>
            </w:r>
          </w:p>
        </w:tc>
        <w:tc>
          <w:tcPr>
            <w:tcW w:w="660" w:type="dxa"/>
            <w:vAlign w:val="bottom"/>
          </w:tcPr>
          <w:p>
            <w:pPr>
              <w:spacing w:after="0"/>
              <w:rPr>
                <w:sz w:val="14"/>
                <w:szCs w:val="14"/>
                <w:color w:val="auto"/>
              </w:rPr>
            </w:pPr>
          </w:p>
        </w:tc>
      </w:tr>
      <w:tr>
        <w:trPr>
          <w:trHeight w:val="149"/>
        </w:trPr>
        <w:tc>
          <w:tcPr>
            <w:tcW w:w="37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900" w:type="dxa"/>
            <w:vAlign w:val="bottom"/>
            <w:gridSpan w:val="3"/>
          </w:tcPr>
          <w:p>
            <w:pPr>
              <w:jc w:val="center"/>
              <w:ind w:left="588"/>
              <w:spacing w:after="0" w:line="149" w:lineRule="exact"/>
              <w:rPr>
                <w:sz w:val="20"/>
                <w:szCs w:val="20"/>
                <w:color w:val="auto"/>
              </w:rPr>
            </w:pPr>
            <w:r>
              <w:rPr>
                <w:rFonts w:ascii="Arial" w:cs="Arial" w:eastAsia="Arial" w:hAnsi="Arial"/>
                <w:sz w:val="14"/>
                <w:szCs w:val="14"/>
                <w:color w:val="auto"/>
                <w:w w:val="96"/>
              </w:rPr>
              <w:t>March 31,</w:t>
            </w:r>
          </w:p>
        </w:tc>
        <w:tc>
          <w:tcPr>
            <w:tcW w:w="660" w:type="dxa"/>
            <w:vAlign w:val="bottom"/>
          </w:tcPr>
          <w:p>
            <w:pPr>
              <w:spacing w:after="0"/>
              <w:rPr>
                <w:sz w:val="12"/>
                <w:szCs w:val="12"/>
                <w:color w:val="auto"/>
              </w:rPr>
            </w:pPr>
          </w:p>
        </w:tc>
      </w:tr>
      <w:tr>
        <w:trPr>
          <w:trHeight w:val="167"/>
        </w:trPr>
        <w:tc>
          <w:tcPr>
            <w:tcW w:w="3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0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2010</w:t>
            </w:r>
          </w:p>
        </w:tc>
        <w:tc>
          <w:tcPr>
            <w:tcW w:w="5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w w:val="89"/>
              </w:rPr>
              <w:t>2009</w:t>
            </w: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1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2.39%</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0"/>
              </w:rPr>
              <w:t>1.73%</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6140" w:type="dxa"/>
            <w:vAlign w:val="bottom"/>
            <w:gridSpan w:val="2"/>
          </w:tcPr>
          <w:p>
            <w:pPr>
              <w:jc w:val="right"/>
              <w:ind w:right="128"/>
              <w:spacing w:after="0"/>
              <w:rPr>
                <w:sz w:val="20"/>
                <w:szCs w:val="20"/>
                <w:color w:val="auto"/>
              </w:rPr>
            </w:pPr>
            <w:r>
              <w:rPr>
                <w:rFonts w:ascii="Arial" w:cs="Arial" w:eastAsia="Arial" w:hAnsi="Arial"/>
                <w:sz w:val="18"/>
                <w:szCs w:val="18"/>
                <w:color w:val="auto"/>
              </w:rPr>
              <w:t>0.0%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0.0%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614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5</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Expected forfeiture rate</w:t>
            </w:r>
          </w:p>
        </w:tc>
        <w:tc>
          <w:tcPr>
            <w:tcW w:w="6140" w:type="dxa"/>
            <w:vAlign w:val="bottom"/>
            <w:gridSpan w:val="2"/>
          </w:tcPr>
          <w:p>
            <w:pPr>
              <w:jc w:val="right"/>
              <w:ind w:right="128"/>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93"/>
              <w:spacing w:after="0"/>
              <w:rPr>
                <w:sz w:val="20"/>
                <w:szCs w:val="20"/>
                <w:color w:val="auto"/>
              </w:rPr>
            </w:pPr>
            <w:r>
              <w:rPr>
                <w:rFonts w:ascii="Arial" w:cs="Arial" w:eastAsia="Arial" w:hAnsi="Arial"/>
                <w:sz w:val="18"/>
                <w:szCs w:val="18"/>
                <w:color w:val="auto"/>
              </w:rPr>
              <w:t>20%</w:t>
            </w: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61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55%</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60%</w:t>
            </w:r>
          </w:p>
        </w:tc>
      </w:tr>
      <w:tr>
        <w:trPr>
          <w:trHeight w:val="405"/>
        </w:trPr>
        <w:tc>
          <w:tcPr>
            <w:tcW w:w="3720" w:type="dxa"/>
            <w:vAlign w:val="bottom"/>
          </w:tcPr>
          <w:p>
            <w:pPr>
              <w:spacing w:after="0"/>
              <w:rPr>
                <w:sz w:val="24"/>
                <w:szCs w:val="24"/>
                <w:color w:val="auto"/>
              </w:rPr>
            </w:pPr>
          </w:p>
        </w:tc>
        <w:tc>
          <w:tcPr>
            <w:tcW w:w="5140" w:type="dxa"/>
            <w:vAlign w:val="bottom"/>
          </w:tcPr>
          <w:p>
            <w:pPr>
              <w:jc w:val="right"/>
              <w:ind w:right="3010"/>
              <w:spacing w:after="0"/>
              <w:rPr>
                <w:sz w:val="20"/>
                <w:szCs w:val="20"/>
                <w:color w:val="auto"/>
              </w:rPr>
            </w:pPr>
            <w:r>
              <w:rPr>
                <w:rFonts w:ascii="Arial" w:cs="Arial" w:eastAsia="Arial" w:hAnsi="Arial"/>
                <w:sz w:val="18"/>
                <w:szCs w:val="18"/>
                <w:color w:val="auto"/>
              </w:rPr>
              <w:t>5</w:t>
            </w: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26"/>
        </w:trPr>
        <w:tc>
          <w:tcPr>
            <w:tcW w:w="3720" w:type="dxa"/>
            <w:vAlign w:val="bottom"/>
            <w:tcBorders>
              <w:bottom w:val="single" w:sz="8" w:color="808080"/>
            </w:tcBorders>
          </w:tcPr>
          <w:p>
            <w:pPr>
              <w:spacing w:after="0"/>
              <w:rPr>
                <w:sz w:val="19"/>
                <w:szCs w:val="19"/>
                <w:color w:val="auto"/>
              </w:rPr>
            </w:pPr>
          </w:p>
        </w:tc>
        <w:tc>
          <w:tcPr>
            <w:tcW w:w="514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 BASED COMPENSATION (continued)</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Total stock based compensation expense recorded for the three months ended March 31, 2010 and 2009, which is recorded in the condensed consolidated statements of income,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34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9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vMerge w:val="restart"/>
          </w:tcPr>
          <w:p>
            <w:pPr>
              <w:jc w:val="right"/>
              <w:ind w:right="135"/>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March 31,</w:t>
            </w:r>
          </w:p>
        </w:tc>
        <w:tc>
          <w:tcPr>
            <w:tcW w:w="600" w:type="dxa"/>
            <w:vAlign w:val="bottom"/>
            <w:vMerge w:val="restart"/>
          </w:tcPr>
          <w:p>
            <w:pPr>
              <w:jc w:val="right"/>
              <w:ind w:right="1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9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(excluding depreciation and amortization)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9,134</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5,191</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32,087</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35,086</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43,779</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38,640</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77,779</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 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162,779</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145,615</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NET INCOME PER SHARE</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Basic net income per share is computed by dividing the net income available to common shareholders for the period by the weighted-average number of common shares outstanding during the period. Diluted net income per share is computed by dividing the net income for the period by the weighted average number of common and common equivalent shares outstanding during the period. Common equivalent shares, composed of incremental common shares issuable upon the exercise of stock options and warrants, escrowed or restricted shares, and shares subject to vesting are included in diluted net income per share only to the extent these shares are dilutive. Common equivalent shares are dilutive when the average market price during the period exceeds the exercise price of the underlying shares. The total number of common equivalent shares excluded from the calculations of diluted net income per share, due to their anti-dilutive effect, was approximately 0.7 million and 2.1 million for the three months ended March 31, 2010 and 2009, respectively.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for the three months ended March 31, 2010 and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ind w:left="5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vMerge w:val="restart"/>
          </w:tcPr>
          <w:p>
            <w:pPr>
              <w:jc w:val="right"/>
              <w:ind w:right="214"/>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c>
          <w:tcPr>
            <w:tcW w:w="740" w:type="dxa"/>
            <w:vAlign w:val="bottom"/>
            <w:gridSpan w:val="2"/>
          </w:tcPr>
          <w:p>
            <w:pPr>
              <w:jc w:val="right"/>
              <w:ind w:right="65"/>
              <w:spacing w:after="0"/>
              <w:rPr>
                <w:sz w:val="20"/>
                <w:szCs w:val="20"/>
                <w:color w:val="auto"/>
              </w:rPr>
            </w:pPr>
            <w:r>
              <w:rPr>
                <w:rFonts w:ascii="Arial" w:cs="Arial" w:eastAsia="Arial" w:hAnsi="Arial"/>
                <w:sz w:val="14"/>
                <w:szCs w:val="14"/>
                <w:color w:val="auto"/>
                <w:w w:val="93"/>
              </w:rPr>
              <w:t>March 31,</w:t>
            </w:r>
          </w:p>
        </w:tc>
        <w:tc>
          <w:tcPr>
            <w:tcW w:w="820" w:type="dxa"/>
            <w:vAlign w:val="bottom"/>
            <w:vMerge w:val="restart"/>
          </w:tcPr>
          <w:p>
            <w:pPr>
              <w:jc w:val="right"/>
              <w:ind w:right="23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806,864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877,529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Arial" w:cs="Arial" w:eastAsia="Arial" w:hAnsi="Arial"/>
                <w:sz w:val="18"/>
                <w:szCs w:val="18"/>
                <w:color w:val="auto"/>
              </w:rPr>
              <w:t>Weighted average shares outstanding:</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21,675,763</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21,382,055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00"/>
              <w:spacing w:after="0"/>
              <w:rPr>
                <w:sz w:val="20"/>
                <w:szCs w:val="20"/>
                <w:color w:val="auto"/>
              </w:rPr>
            </w:pPr>
            <w:r>
              <w:rPr>
                <w:rFonts w:ascii="Arial" w:cs="Arial" w:eastAsia="Arial" w:hAnsi="Arial"/>
                <w:sz w:val="18"/>
                <w:szCs w:val="18"/>
                <w:color w:val="auto"/>
              </w:rPr>
              <w:t>Employee stock options</w:t>
            </w:r>
          </w:p>
        </w:tc>
        <w:tc>
          <w:tcPr>
            <w:tcW w:w="4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454,382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185,149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Diluted</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22,130,145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21,567,204</w:t>
            </w:r>
          </w:p>
        </w:tc>
        <w:tc>
          <w:tcPr>
            <w:tcW w:w="0" w:type="dxa"/>
            <w:vAlign w:val="bottom"/>
          </w:tcPr>
          <w:p>
            <w:pPr>
              <w:spacing w:after="0"/>
              <w:rPr>
                <w:sz w:val="1"/>
                <w:szCs w:val="1"/>
                <w:color w:val="auto"/>
              </w:rPr>
            </w:pPr>
          </w:p>
        </w:tc>
      </w:tr>
      <w:tr>
        <w:trPr>
          <w:trHeight w:val="20"/>
        </w:trPr>
        <w:tc>
          <w:tcPr>
            <w:tcW w:w="43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w:t>
            </w: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00" w:type="dxa"/>
            <w:vAlign w:val="bottom"/>
            <w:gridSpan w:val="2"/>
            <w:vMerge w:val="continue"/>
          </w:tcPr>
          <w:p>
            <w:pPr>
              <w:spacing w:after="0"/>
              <w:rPr>
                <w:sz w:val="24"/>
                <w:szCs w:val="24"/>
                <w:color w:val="auto"/>
              </w:rPr>
            </w:pPr>
          </w:p>
        </w:tc>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4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45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520" w:type="dxa"/>
            <w:vAlign w:val="bottom"/>
            <w:vMerge w:val="restart"/>
          </w:tcPr>
          <w:p>
            <w:pPr>
              <w:jc w:val="right"/>
              <w:ind w:right="297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Borders>
              <w:bottom w:val="single" w:sz="8" w:color="808080"/>
            </w:tcBorders>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HEALTHSTREAM,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provides services to healthcare organizations, pharmaceutical and medical device companies, and other members within the healthcare industry. The Company’s services are primarily focused on the delivery of education and training products and services (HealthStream Learning), as well as survey and research services (HealthStream Research). The accounting policies of the segments are the same as those described in the summary of significant accounting policies in the Company’s Annual Report on Form 10-K for the year ended December 31, 2009.</w:t>
      </w:r>
    </w:p>
    <w:p>
      <w:pPr>
        <w:spacing w:after="0" w:line="6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measures segment performance based on operating income (loss) before income taxes and prior to the allocation of certain corporate overhead expenses, interest income, interest expense, and depreciation. The following is the Company’s business segment information as of and for the three months ended March 31, 2010 and 2009.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9"/>
          </w:tcPr>
          <w:p>
            <w:pPr>
              <w:jc w:val="right"/>
              <w:ind w:right="76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vMerge w:val="restart"/>
          </w:tcPr>
          <w:p>
            <w:pPr>
              <w:jc w:val="right"/>
              <w:ind w:right="15"/>
              <w:spacing w:after="0"/>
              <w:rPr>
                <w:sz w:val="20"/>
                <w:szCs w:val="20"/>
                <w:color w:val="auto"/>
              </w:rPr>
            </w:pPr>
            <w:r>
              <w:rPr>
                <w:rFonts w:ascii="Arial" w:cs="Arial" w:eastAsia="Arial" w:hAnsi="Arial"/>
                <w:sz w:val="14"/>
                <w:szCs w:val="14"/>
                <w:color w:val="auto"/>
              </w:rPr>
              <w:t>2010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4"/>
          </w:tcPr>
          <w:p>
            <w:pPr>
              <w:jc w:val="right"/>
              <w:ind w:right="50"/>
              <w:spacing w:after="0"/>
              <w:rPr>
                <w:sz w:val="20"/>
                <w:szCs w:val="20"/>
                <w:color w:val="auto"/>
              </w:rPr>
            </w:pPr>
            <w:r>
              <w:rPr>
                <w:rFonts w:ascii="Arial" w:cs="Arial" w:eastAsia="Arial" w:hAnsi="Arial"/>
                <w:sz w:val="14"/>
                <w:szCs w:val="14"/>
                <w:color w:val="auto"/>
                <w:w w:val="96"/>
              </w:rPr>
              <w:t>March 31,</w:t>
            </w:r>
          </w:p>
        </w:tc>
        <w:tc>
          <w:tcPr>
            <w:tcW w:w="820" w:type="dxa"/>
            <w:vAlign w:val="bottom"/>
            <w:vMerge w:val="restart"/>
          </w:tcPr>
          <w:p>
            <w:pPr>
              <w:jc w:val="right"/>
              <w:ind w:right="23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Learning</w:t>
            </w:r>
          </w:p>
        </w:tc>
        <w:tc>
          <w:tcPr>
            <w:tcW w:w="1420" w:type="dxa"/>
            <w:vAlign w:val="bottom"/>
            <w:gridSpan w:val="7"/>
          </w:tcPr>
          <w:p>
            <w:pPr>
              <w:jc w:val="right"/>
              <w:ind w:right="188"/>
              <w:spacing w:after="0"/>
              <w:rPr>
                <w:sz w:val="20"/>
                <w:szCs w:val="20"/>
                <w:color w:val="auto"/>
              </w:rPr>
            </w:pPr>
            <w:r>
              <w:rPr>
                <w:rFonts w:ascii="Arial" w:cs="Arial" w:eastAsia="Arial" w:hAnsi="Arial"/>
                <w:sz w:val="18"/>
                <w:szCs w:val="18"/>
                <w:color w:val="auto"/>
              </w:rPr>
              <w:t>$10,302,904</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8,993,611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w w:val="97"/>
              </w:rPr>
              <w:t>4,534,348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4,625,597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net revenue</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14,837,252</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13,619,208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Learning</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4"/>
          </w:tcPr>
          <w:p>
            <w:pPr>
              <w:jc w:val="right"/>
              <w:ind w:right="188"/>
              <w:spacing w:after="0"/>
              <w:rPr>
                <w:sz w:val="20"/>
                <w:szCs w:val="20"/>
                <w:color w:val="auto"/>
              </w:rPr>
            </w:pPr>
            <w:r>
              <w:rPr>
                <w:rFonts w:ascii="Arial" w:cs="Arial" w:eastAsia="Arial" w:hAnsi="Arial"/>
                <w:sz w:val="18"/>
                <w:szCs w:val="18"/>
                <w:color w:val="auto"/>
                <w:w w:val="97"/>
              </w:rPr>
              <w:t>3,220,345</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2,047,165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rPr>
              <w:t>159,571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573,157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Unallocated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right"/>
              <w:ind w:right="128"/>
              <w:spacing w:after="0"/>
              <w:rPr>
                <w:sz w:val="20"/>
                <w:szCs w:val="20"/>
                <w:color w:val="auto"/>
              </w:rPr>
            </w:pPr>
            <w:r>
              <w:rPr>
                <w:rFonts w:ascii="Arial" w:cs="Arial" w:eastAsia="Arial" w:hAnsi="Arial"/>
                <w:sz w:val="18"/>
                <w:szCs w:val="18"/>
                <w:color w:val="auto"/>
                <w:w w:val="91"/>
              </w:rPr>
              <w:t>(1,967,893)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(1,684,538)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income from operations</w:t>
            </w:r>
          </w:p>
        </w:tc>
        <w:tc>
          <w:tcPr>
            <w:tcW w:w="2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4"/>
            <w:shd w:val="clear" w:color="auto" w:fill="CCEEFF"/>
          </w:tcPr>
          <w:p>
            <w:pPr>
              <w:jc w:val="right"/>
              <w:ind w:right="188"/>
              <w:spacing w:after="0"/>
              <w:rPr>
                <w:sz w:val="20"/>
                <w:szCs w:val="20"/>
                <w:color w:val="auto"/>
              </w:rPr>
            </w:pPr>
            <w:r>
              <w:rPr>
                <w:rFonts w:ascii="Arial" w:cs="Arial" w:eastAsia="Arial" w:hAnsi="Arial"/>
                <w:sz w:val="18"/>
                <w:szCs w:val="18"/>
                <w:color w:val="auto"/>
                <w:w w:val="97"/>
              </w:rPr>
              <w:t>1,412,023</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935,784</w:t>
            </w:r>
          </w:p>
        </w:tc>
        <w:tc>
          <w:tcPr>
            <w:tcW w:w="0" w:type="dxa"/>
            <w:vAlign w:val="bottom"/>
          </w:tcPr>
          <w:p>
            <w:pPr>
              <w:spacing w:after="0"/>
              <w:rPr>
                <w:sz w:val="1"/>
                <w:szCs w:val="1"/>
                <w:color w:val="auto"/>
              </w:rPr>
            </w:pPr>
          </w:p>
        </w:tc>
      </w:tr>
      <w:tr>
        <w:trPr>
          <w:trHeight w:val="20"/>
        </w:trPr>
        <w:tc>
          <w:tcPr>
            <w:tcW w:w="8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80" w:type="dxa"/>
            <w:vAlign w:val="bottom"/>
            <w:gridSpan w:val="2"/>
          </w:tcPr>
          <w:p>
            <w:pPr>
              <w:spacing w:after="0"/>
              <w:rPr>
                <w:sz w:val="20"/>
                <w:szCs w:val="20"/>
                <w:color w:val="auto"/>
              </w:rPr>
            </w:pPr>
            <w:r>
              <w:rPr>
                <w:rFonts w:ascii="Arial" w:cs="Arial" w:eastAsia="Arial" w:hAnsi="Arial"/>
                <w:sz w:val="14"/>
                <w:szCs w:val="14"/>
                <w:color w:val="auto"/>
              </w:rPr>
              <w:t>Segment assets *</w:t>
            </w:r>
          </w:p>
        </w:tc>
        <w:tc>
          <w:tcPr>
            <w:tcW w:w="20" w:type="dxa"/>
            <w:vAlign w:val="bottom"/>
          </w:tcPr>
          <w:p>
            <w:pPr>
              <w:spacing w:after="0"/>
              <w:rPr>
                <w:sz w:val="24"/>
                <w:szCs w:val="24"/>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2"/>
              </w:rPr>
              <w:t>March 31, 2010</w:t>
            </w:r>
          </w:p>
        </w:tc>
        <w:tc>
          <w:tcPr>
            <w:tcW w:w="4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1"/>
              </w:rPr>
              <w:t>December 31, 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Learning</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9"/>
              </w:rPr>
              <w:t>$ 19,955,170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18,185,466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Research</w:t>
            </w: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26,227,881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26,209,873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Unallocated</w:t>
            </w:r>
          </w:p>
        </w:tc>
        <w:tc>
          <w:tcPr>
            <w:tcW w:w="9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26,380,216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26,606,941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$ 72,563,267</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71,002,280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31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Segment assets include restricted cash, accounts and unbilled receivables, prepaid and other current assets, other assets, capitalized software feature enhancements, certain property and equipment, and intangible assets. Cash and cash equivalents are not allocated to individual segments, and are included within Unallocated. A significant portion of property and equipment assets are also included within Unallocated.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SUBSEQUENT EVENTS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On April 22, 2010, the Company renewed a lease, and expanded the square footage, for its principal office located in Nashville, Tennessee for a seven year period. The initial term of the renewed lease will end on April 30, 2017, and includes a two year renewal option. The monthly rental payments at this location will be as follows: $50,434 through April 2012, $53,430 through April 2013, $53,725 through April 2014, $54,021 through April 2015, and $57,027 through April 2017. The lease also includes certain periods of free rent and tenant improvement allowances.</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the weekend of May 1, 2010, the Nashville, Tennessee area experienced unprecedented flooding. Although many businesses in the area were adversely impacted by the floodwaters, our offices were not damaged and our business operations were not interrupted. Due to the flooding, the venue for our customer Summit was severely damaged and has been closed. The Summit was scheduled for May 17-20, 2010 and has now been cancelled. We believe we will have only modest expenses associated with the cancellation of the Summit.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4100"/>
        <w:spacing w:after="0" w:line="378"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Special Cautionary Notice Regarding Forward-Looking Statements</w:t>
      </w:r>
    </w:p>
    <w:p>
      <w:pPr>
        <w:ind w:right="60"/>
        <w:spacing w:after="0" w:line="291" w:lineRule="auto"/>
        <w:rPr>
          <w:sz w:val="20"/>
          <w:szCs w:val="20"/>
          <w:color w:val="auto"/>
        </w:rPr>
      </w:pPr>
      <w:r>
        <w:rPr>
          <w:rFonts w:ascii="Arial" w:cs="Arial" w:eastAsia="Arial" w:hAnsi="Arial"/>
          <w:sz w:val="16"/>
          <w:szCs w:val="16"/>
          <w:color w:val="auto"/>
        </w:rPr>
        <w:t>You should read the following discussion and analysis in conjunction with our condensed consolidated financial statements and related notes included elsewhere in this report and our audited consolidated financial statements and the notes thereto for the year ended December 31, 2009, appearing in our Annual Report on Form 10-K that was filed with the Securities and Exchange Commission (“SEC”) on March 26, 2010 (the “2009 Form 10-K”). Statements contained in this Quarterly Report on Form 10-Q that are not historical fact are forward-looking statements that the Company intends to be covered by the safe harbor provisions for forward-looking statements contained in the Private Securities Litigation Reform Act of 1995. Statements that are predictive in nature, that depend on or refer to future events or conditions, or that include words such as “anticipates,” “believes,” “could,” “estimates,” “expects,” “intends,” “may,” “plans,” “potential,” “predicts,” “ projects,” “should,” “will,” “would,” and similar expressions are forward-looking statements.</w:t>
      </w:r>
    </w:p>
    <w:p>
      <w:pPr>
        <w:spacing w:after="0" w:line="59"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 cautions that forward-looking statements involve known and unknown risks, uncertainties, and other factors that may cause actual results, performance, or achievements to be materially different from any future results, performance, or achievements expressed or implied by the forward-looking statements. Forward-looking statements reflect our current views with respect to future events and are based on assumptions and subject to risks and uncertainties. Given these uncertainties, you should not place undue reliance on these forward-looking statements.</w:t>
      </w:r>
    </w:p>
    <w:p>
      <w:pPr>
        <w:spacing w:after="0" w:line="6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evaluating any forward-looking statement, you should specifically consider the information regarding forward-looking statements and the information set forth under the caption “Item 1A. Risk Factors” in our 2009 Form 10-K and the information regarding forward-looking statements in our earnings releases, as well as other cautionary statements contained elsewhere in this report, including the matters discussed in “Critical Accounting Policies and Estimates.” We undertake no obligation beyond that required by law to update publicly any forward-looking statements for any reason, even if new information becomes available or other events occur in the future. You should read this report and the documents that we reference in this report and have filed as exhibits to this report completely and with the understanding that our actual future results may be materially different from what we expect.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provide our services to healthcare organizations, pharmaceutical and medical device companies, and other participants within the healthcare industry. Our services are primarily focused on the delivery of education and training products and services (HealthStream Learning), as well as survey and research services (HealthStream Research). HealthStream Learning products and services include our Internet-based HealthStream Learning Center</w:t>
      </w:r>
      <w:r>
        <w:rPr>
          <w:rFonts w:ascii="Arial" w:cs="Arial" w:eastAsia="Arial" w:hAnsi="Arial"/>
          <w:sz w:val="14"/>
          <w:szCs w:val="14"/>
          <w:color w:val="auto"/>
        </w:rPr>
        <w:t>®</w:t>
      </w:r>
      <w:r>
        <w:rPr>
          <w:rFonts w:ascii="Arial" w:cs="Arial" w:eastAsia="Arial" w:hAnsi="Arial"/>
          <w:sz w:val="17"/>
          <w:szCs w:val="17"/>
          <w:color w:val="auto"/>
        </w:rPr>
        <w:t xml:space="preserve"> (“HLC”), authoring tools, courseware subscriptions, online training and content development, online sales training courses, live events, HospitalDirect</w:t>
      </w:r>
      <w:r>
        <w:rPr>
          <w:rFonts w:ascii="Arial" w:cs="Arial" w:eastAsia="Arial" w:hAnsi="Arial"/>
          <w:sz w:val="14"/>
          <w:szCs w:val="14"/>
          <w:color w:val="auto"/>
        </w:rPr>
        <w:t>®</w:t>
      </w:r>
      <w:r>
        <w:rPr>
          <w:rFonts w:ascii="Arial" w:cs="Arial" w:eastAsia="Arial" w:hAnsi="Arial"/>
          <w:sz w:val="17"/>
          <w:szCs w:val="17"/>
          <w:color w:val="auto"/>
        </w:rPr>
        <w:t xml:space="preserve"> and other products focused on education and training to serve professionals that work within healthcare organizations. HealthStream Research provides a wide range of quality and satisfaction surveys, data analyses of survey results, and other research-based measurement tools focused on patients, employees, physicians, and members of the community. Our learning solutions help healthcare organizations improve their required regulatory training, while also offering an opportunity to train their employees in multiple clinical areas. Our research products provide customers valuable insight into measuring quality and satisfaction of physicians, patients, employees, and members of the community.</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Key financial and operational indicators for the first quarter of 2010 include:</w:t>
      </w:r>
    </w:p>
    <w:p>
      <w:pPr>
        <w:spacing w:after="0" w:line="117" w:lineRule="exact"/>
        <w:rPr>
          <w:sz w:val="20"/>
          <w:szCs w:val="20"/>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Revenues of $14.8 million in the first quarter of 2010, up 9% over the first quarter of 2009</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Operating income of $1.4 million in the first quarter of 2010, up 51% over the first quarter of 2009</w:t>
      </w:r>
    </w:p>
    <w:p>
      <w:pPr>
        <w:spacing w:after="0" w:line="130" w:lineRule="exact"/>
        <w:rPr>
          <w:rFonts w:ascii="Arial" w:cs="Arial" w:eastAsia="Arial" w:hAnsi="Arial"/>
          <w:sz w:val="18"/>
          <w:szCs w:val="18"/>
          <w:b w:val="1"/>
          <w:bCs w:val="1"/>
          <w:color w:val="auto"/>
        </w:rPr>
      </w:pPr>
    </w:p>
    <w:p>
      <w:pPr>
        <w:ind w:left="660" w:right="20" w:hanging="436"/>
        <w:spacing w:after="0" w:line="264" w:lineRule="auto"/>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Net income of $807,000 and earnings per share (EPS) of $0.04 per share in the first quarter of 2010—which is the amount after deducting $597,000, or $0.03 per share, of income tax provision, compared to net income of $878,000 and EPS of $0.04 per share in the first quarter of 2009—which only included an income tax provision of $57,000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condensed consolidated financial statements are prepared in accordance with accounting principles generally accepted in the United States (“US GAAP”). These accounting principles require us to make certain estimates, judgments and assumptions during the preparation of our financial statements. We believe the estimates, judgments and assumptions upon which we rely are reasonable based upon information available to us at the time they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accounting policies and estimates that we believe are the most critical in fully understanding and evaluating our reported financial results include the following:</w:t>
      </w:r>
    </w:p>
    <w:p>
      <w:pPr>
        <w:spacing w:after="0" w:line="62"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Accounting for income taxes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Product development costs and related capitalization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Goodwill, intangibles, and other long-lived assets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Allowance for doubtful accounts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Accrual for service credits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Stock based compensation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Nonmonetary exchange of content rights and deferred service credits</w:t>
      </w:r>
    </w:p>
    <w:p>
      <w:pPr>
        <w:spacing w:after="0" w:line="11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many cases, the accounting treatment of a particular transaction is specifically dictated by US GAAP and does not require management’s judgment in its application. There are also areas in which management’s judgment in selecting among available alternatives would not produce a materially different result. See Notes to Consolidated Financial Statements in our 2009 Form 10-K, which contains additional information regarding our accounting policies and other disclosures required by US GAAP. There have been no changes in our critical accounting policies and estimates from those reported in our 2009 Form 10-K.</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Expense Components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descriptions of the components of revenues and expenses apply to the comparison of results of operations.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for our HealthStream Learning business segment primarily consist of the following products and services: provision of services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Internet-based HLC, authoring tools, a variety of courseware subscriptions (add-on courseware), implementation and consulting services, maintenance of third party content, content development, online sales training courses (RepDirect™), HospitalDirect®, and a variety of other educational activities for physicians, nurses and other professionals within healthcare organizations. Revenues for our HealthStream Research business segment consist of quality and satisfaction surveys, data analyses of survey results, and other research-based measurement tools focused on patients, physicians, employees, and other members of the community.</w:t>
      </w:r>
    </w:p>
    <w:p>
      <w:pPr>
        <w:spacing w:after="0" w:line="8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(excluding depreciation and amortization) consists primarily of salaries and</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 benefits, stock based compensation, employee travel and lodging, materials, outsourced phone survey support, contract labor, hosting costs, and other direct expenses associated with revenues, as well as royalties paid by us to content providers based on a percentage of revenues. Personnel costs within cost of revenues are associated with individuals that facilitate product delivery, provide services, conduct, process and manage phone and paper-based surveys, handle customer support calls or inquiries, manage the technology infrastructure for our hosted applications, manage content and survey services, coordinate content maintenance services, and provide training or implementation services.</w:t>
      </w:r>
    </w:p>
    <w:p>
      <w:pPr>
        <w:spacing w:after="0" w:line="70"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primarily of salaries and employee benefits, contract labor, stock based compensation,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costs before technological feasibility is achieved, costs associated with the development of content and expenditures associated with maintaining, developing and operating our training, delivery and administration platforms. In addition, product development expenses are associated with the development of new software feature enhancements and new products. Personnel costs within product development include our systems, application development, and quality assurance teams, product managers, and other personnel associated with content and product development.</w:t>
      </w:r>
    </w:p>
    <w:p>
      <w:pPr>
        <w:spacing w:after="0" w:line="5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salaries, commissions and employee benefits, stock based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travel and lodging, advertising, trade shows, promotions, and related marketing costs. During the past several years, excluding 2009, we have hosted a national customer conference in Nashville known as “The Summit,” of which a significant portion of the costs are included in sales and marketing expenses. Personnel costs within sales and marketing include our Learning and Research sales teams, strategic account management, consultants, and marketing personnel, as well as our account management group.</w:t>
      </w:r>
    </w:p>
    <w:p>
      <w:pPr>
        <w:spacing w:after="0" w:line="80"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Other General and Administrative Expenses. </w:t>
      </w:r>
      <w:r>
        <w:rPr>
          <w:rFonts w:ascii="Arial" w:cs="Arial" w:eastAsia="Arial" w:hAnsi="Arial"/>
          <w:sz w:val="18"/>
          <w:szCs w:val="18"/>
          <w:color w:val="auto"/>
        </w:rPr>
        <w:t>Other general and administrative expenses consist primarily of salaries and employee benefits, stock 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employee travel and lodging, facility costs, office expenses, fees for professional services, and other operational expenses. Personnel costs within general and administrative expenses include individuals associated with normal corporate functions (accounting, legal, human resources, administrative, internal information systems, and executive management) as well as personnel who maintain our accreditation status with various organizations.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consist of fixed asset depreciation, amortization of intangibles considered to have definite</w:t>
      </w:r>
      <w:r>
        <w:rPr>
          <w:rFonts w:ascii="Arial" w:cs="Arial" w:eastAsia="Arial" w:hAnsi="Arial"/>
          <w:sz w:val="18"/>
          <w:szCs w:val="18"/>
          <w:i w:val="1"/>
          <w:iCs w:val="1"/>
          <w:color w:val="auto"/>
        </w:rPr>
        <w:t xml:space="preserve"> </w:t>
      </w:r>
      <w:r>
        <w:rPr>
          <w:rFonts w:ascii="Arial" w:cs="Arial" w:eastAsia="Arial" w:hAnsi="Arial"/>
          <w:sz w:val="18"/>
          <w:szCs w:val="18"/>
          <w:color w:val="auto"/>
        </w:rPr>
        <w:t>lives, amortization of content development fees, and amortization of capitalized software feature enhancements.</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Other Income/Expense, Net. </w:t>
      </w:r>
      <w:r>
        <w:rPr>
          <w:rFonts w:ascii="Arial" w:cs="Arial" w:eastAsia="Arial" w:hAnsi="Arial"/>
          <w:sz w:val="18"/>
          <w:szCs w:val="18"/>
          <w:color w:val="auto"/>
        </w:rPr>
        <w:t>The primary component of other income is interest income related to interest earned on cash, cash equivalents and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marketable securities. The primary component of other expense is interest expense related to a promissory note, capital leases and our revolving credit facility.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2010 Compared to Three Months Ended March 31, 2009</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increased approximately $1.2 million, or 8.9%, to $14.8 million for the three months ended March 31, 2010 from $13.6 million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2009. Revenues for 2010 consisted of $10.3 million, or 69% of total revenue, for HealthStream Learning and $4.5 million, or 31% of total revenue, for HealthStream Research. In 2009, revenues consisted of $9.0 million, or 66% of total revenue, for HealthStream Learning and $4.6 million, or 34% of total revenue, for HealthStream Research.</w:t>
      </w:r>
    </w:p>
    <w:p>
      <w:pPr>
        <w:spacing w:after="0" w:line="7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Revenues for HealthStream Learning increased $1.3 million, or 14.6%, over the first quarter of 2009. Revenues from our Internet-based subscription learning products increased by $2.0 million over the prior year quarter, and were comprised of revenue increases from the HLC of $1.2 million and from courseware subscriptions of $751,000. Revenues from our Internet-based subscription products increased 26.7% over the prior year quarter due to a higher number of subscribers and more courseware consumption by subscribers. Our HLC subscriber base increased to 2,043,000 fully-implemented subscribers and 2,136,000 contracted subscribers at March 31, 2010 compared to 1,768,000 fully-implemented subscribers and 1,896,000 contracted subscribers at March 31, 2009. Revenues associated with implementation, development, and consulting services decreased $516,000 from the prior year quarter, impacted primarily by lower revenues associated with fewer project-based development projects. Additionally, revenues from live events, study guides, and other project-based activities, collectively declined $210,000 from the same quarter in the prior year due to a de-emphasis on providing these services.</w:t>
      </w:r>
    </w:p>
    <w:p>
      <w:pPr>
        <w:spacing w:after="0" w:line="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Revenues for HealthStream Research decreased $91,000, or 2.0%, compared to the first quarter of 2009. Revenues from recurring patient surveys increased by $183,000, or 5.9%, over the prior year quarter, but were more than offset by the combined declines in revenue from employee, community and physician surveys of $274,000. Of these revenue declines, the employee category decreased by $194,000 which was impacted by delayed survey start-ups for a few large projects when compared to the prior year quarter.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Cost of Revenues (excluding depreciation and amortization). </w:t>
      </w:r>
      <w:r>
        <w:rPr>
          <w:rFonts w:ascii="Arial" w:cs="Arial" w:eastAsia="Arial" w:hAnsi="Arial"/>
          <w:sz w:val="17"/>
          <w:szCs w:val="17"/>
          <w:color w:val="auto"/>
        </w:rPr>
        <w:t>Cost of revenues increased approximately $194,000, or 3.7%, to $5.5 million for the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2010 from $5.3 million for the three months ended March 31, 2009. Cost of revenues as a percentage of revenues was 36.8%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for the three months ended March 31, 2010 compared to 38.7% of revenues for the three months ended March 31, 2009. Cost of revenues for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HealthStream Learning increased approximately $107,000 to $3.1 million and approximated 30.2% and 33.4% of revenues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March 31, 2010 and 2009, respectively. The overall expense increase is primarily associated with increased royalties paid by us resulting from growth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courseware subscription revenues, while the decline as a percentage of revenue is attributable to the growth in subscription revenues. Cost of revenues for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HealthStream Research increased approximately $87,000 to $2.3 million and approximated 51.8% and 48.9% of revenues for the three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March 31, 2010 and 2009, respectively. The increase in cost of revenues for HealthStream Research is primarily the result of costs associated with the growth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patient survey revenues over the prior year first quarter.</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Product Development. </w:t>
      </w:r>
      <w:r>
        <w:rPr>
          <w:rFonts w:ascii="Arial" w:cs="Arial" w:eastAsia="Arial" w:hAnsi="Arial"/>
          <w:sz w:val="18"/>
          <w:szCs w:val="18"/>
          <w:color w:val="auto"/>
        </w:rPr>
        <w:t>Product development expenses increased slightly and approximated $1.5 million both for the three months ended March 31, 2010 and</w:t>
      </w:r>
      <w:r>
        <w:rPr>
          <w:rFonts w:ascii="Arial" w:cs="Arial" w:eastAsia="Arial" w:hAnsi="Arial"/>
          <w:sz w:val="18"/>
          <w:szCs w:val="18"/>
          <w:i w:val="1"/>
          <w:iCs w:val="1"/>
          <w:color w:val="auto"/>
        </w:rPr>
        <w:t xml:space="preserve"> </w:t>
      </w:r>
      <w:r>
        <w:rPr>
          <w:rFonts w:ascii="Arial" w:cs="Arial" w:eastAsia="Arial" w:hAnsi="Arial"/>
          <w:sz w:val="18"/>
          <w:szCs w:val="18"/>
          <w:color w:val="auto"/>
        </w:rPr>
        <w:t>2009, respectively. Product development expenses as a percentage of revenues were 10.3% and 11.3% of revenues for the three months ended March 31, 2010 and 2009, respectively.</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Product development expenses for HealthStream Learning decreased approximately $35,000 and approximated 11.7% and 13.8% of revenues for the three months ended March 31, 2010 and 2009, respectively. The decrease as a percentage of revenue is the result of the growth in revenues over the prior year first quarter. Product development expenses for HealthStream Research increased approximately $27,000 and approximated 7.1% and 6.4% of revenues for the three months ended March 31, 2010 and 2009, respectively.</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including personnel costs, increased approximately $247,000, or 9.1%, to $3.0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2010 from $2.7 million for the three months ended March 31, 2009. Sales and marketing expenses approximated 20.0% and 19.9% of revenues for the three months ended March 31, 2010 and 2009, respectively.</w:t>
      </w:r>
    </w:p>
    <w:p>
      <w:pPr>
        <w:spacing w:after="0" w:line="73"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Sales and marketing expenses for HealthStream Learning increased $71,000 and approximated 18.5% and 20.4% of revenues for the three months ended March 31, 2010 and 2009, respectively. Sales and marketing expenses for HealthStream Research increased approximately $183,000, and approximated</w:t>
      </w:r>
    </w:p>
    <w:p>
      <w:pPr>
        <w:ind w:right="80"/>
        <w:spacing w:after="0" w:line="261" w:lineRule="auto"/>
        <w:rPr>
          <w:sz w:val="20"/>
          <w:szCs w:val="20"/>
          <w:color w:val="auto"/>
        </w:rPr>
      </w:pPr>
      <w:r>
        <w:rPr>
          <w:rFonts w:ascii="Arial" w:cs="Arial" w:eastAsia="Arial" w:hAnsi="Arial"/>
          <w:sz w:val="18"/>
          <w:szCs w:val="18"/>
          <w:color w:val="auto"/>
        </w:rPr>
        <w:t>22.0% and 17.6% of revenues for the three months ended March 31, 2010 and 2009, respectively. The expense increases for both HealthStream Learning and HealthStream Research primarily resulted from additional sales personnel, travel expenses and commissions.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 xml:space="preserve">Other General and Administrative. </w:t>
      </w:r>
      <w:r>
        <w:rPr>
          <w:rFonts w:ascii="Arial" w:cs="Arial" w:eastAsia="Arial" w:hAnsi="Arial"/>
          <w:sz w:val="18"/>
          <w:szCs w:val="18"/>
          <w:color w:val="auto"/>
        </w:rPr>
        <w:t>Other general and administrative expenses increased approximately $185,000, or 9.7% to $2.1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March 31, 2010 from $1.9 million for the three months ended March 31, 2009. Other general and administrative expenses as a percentage of revenues approximated 14.1% and 14.0% for the three months ended March 31, 2010 and 2009, respectively.</w:t>
      </w:r>
    </w:p>
    <w:p>
      <w:pPr>
        <w:spacing w:after="0" w:line="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general and administrative expenses for HealthStream Learning and HealthStream Research decreased $27,000 and $38,000, respectively, compared to the prior year quarter. The unallocated corporate portion of other general and administrative expenses increased $250,000 over the prior year quarter, primarily associated with consulting and other expenses to support the company’s infrastructure.</w:t>
      </w:r>
    </w:p>
    <w:p>
      <w:pPr>
        <w:spacing w:after="0" w:line="73" w:lineRule="exact"/>
        <w:rPr>
          <w:sz w:val="20"/>
          <w:szCs w:val="20"/>
          <w:color w:val="auto"/>
        </w:rPr>
      </w:pPr>
    </w:p>
    <w:p>
      <w:pPr>
        <w:jc w:val="both"/>
        <w:ind w:right="540"/>
        <w:spacing w:after="0" w:line="264" w:lineRule="auto"/>
        <w:rPr>
          <w:sz w:val="20"/>
          <w:szCs w:val="20"/>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increased approximately $124,000, or 9.8%, to $1.4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2010 from $1.3 million for the three months ended March 31, 2009. The increase resulted from depreciation expense associated with capital expenditures and amortization of capitalized software features.</w:t>
      </w:r>
    </w:p>
    <w:p>
      <w:pPr>
        <w:spacing w:after="0" w:line="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 xml:space="preserve">Other Income (Expense). </w:t>
      </w:r>
      <w:r>
        <w:rPr>
          <w:rFonts w:ascii="Arial" w:cs="Arial" w:eastAsia="Arial" w:hAnsi="Arial"/>
          <w:sz w:val="18"/>
          <w:szCs w:val="18"/>
          <w:color w:val="auto"/>
        </w:rPr>
        <w:t>Other income (expense) decreased approximately $8,000 to an expense of $9,000 for the three months ended March 31, 2010 from</w:t>
      </w:r>
      <w:r>
        <w:rPr>
          <w:rFonts w:ascii="Arial" w:cs="Arial" w:eastAsia="Arial" w:hAnsi="Arial"/>
          <w:sz w:val="18"/>
          <w:szCs w:val="18"/>
          <w:i w:val="1"/>
          <w:iCs w:val="1"/>
          <w:color w:val="auto"/>
        </w:rPr>
        <w:t xml:space="preserve"> </w:t>
      </w:r>
      <w:r>
        <w:rPr>
          <w:rFonts w:ascii="Arial" w:cs="Arial" w:eastAsia="Arial" w:hAnsi="Arial"/>
          <w:sz w:val="18"/>
          <w:szCs w:val="18"/>
          <w:color w:val="auto"/>
        </w:rPr>
        <w:t>an expense of $1,000 for the three months ended March 31, 2009. Interest income decreased $6,000 from the prior year quarter resulting from lower yield rates on cash and cash equivalents. Interest expense increased modestly over the prior year quarter due to higher interest expense under our revolving credit facility.</w:t>
      </w:r>
    </w:p>
    <w:p>
      <w:pPr>
        <w:spacing w:after="0" w:line="7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The Company recorded a provision for income taxes of approximately $597,000 for the three months ended March 31, 2010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$57,000 for the three months ended March 31, 2009. The Company’s effective tax rate for the first quarter of 2010 was 42.5%. During the first quarter of 2009, the Company maintained a valuation allowance on its deferred tax assets, and recorded no deferred income tax expense. Substantially all of the valuation allowance was released during the fourth quarter of 2009. Income tax expense for the first quarter of 2009 consisted of the federal alternative minimum tax and state income taxes.</w:t>
      </w:r>
    </w:p>
    <w:p>
      <w:pPr>
        <w:spacing w:after="0" w:line="8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was approximately $807,000 for the three months ended March 31, 2010, compared to $878,000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March 31, 2009. Net income per share was $0.04 per share for both the three months ended March 31, 2010 and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Net cash provided by operating activities was approximately $1.3 million and $1.7 million during the three months ended March 31, 2010 and 2009, respectively. Our primary sources of cash were generated from receipts from the sales of our products and services. Our days sales outstanding (“DSO”) which we calculate by dividing the accounts receivable balance, excluding unbilled and other receivables, by average daily revenues for the quarter, approximated 72 days for the first quarter of 2010 compared to 69 days for the first quarter of 2009 and 58 days for the fourth quarter of 2009. The increase in DSO compared to the fourth quarter of 2009 is associated with higher balances with several customers that were billed in advance during the first quarter of 2010 for annual fees rather than on a monthly subscription basis. Increases in deferred revenues, which represent progress billings in advance of revenue recognition, partially accounts for the increase in accounts receivable. The primary uses of cash to fund our operations for the three months ended March 31, 2010 and 2009 included personnel expenses, sales commissions, royalty payments, payments for contract labor and other direct expenses associated with delivery of our products and services, and general corporate expenses. The increase in accounts receivable negatively impacted our cash flows from operations for both the three months ended March 31, 2010 and 2009.</w:t>
      </w:r>
    </w:p>
    <w:p>
      <w:pPr>
        <w:spacing w:after="0" w:line="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Net cash used in investing activities was approximately $675,000 and $813,000 for the three months ended March 31, 2010 and 2009, respectively. The primary uses of cash for the three months ended March 31, 2010 were associated with capitalized software feature enhancements of $424,000 and property and equipment purchases of $250,000. The primary uses of cash for the three months ended March 31, 2009 were associated with property and equipment purchases of $541,000 and capitalized software feature enhancements of $272,000. These uses of cash were associated with technology investments in our platform products.</w:t>
      </w:r>
    </w:p>
    <w:p>
      <w:pPr>
        <w:spacing w:after="0" w:line="8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Cash provided by financing activities was approximately $57,000 for the three months ended March 31, 2010, while approximately $190,000 of cash was used during the three months ended March 31, 2009. The primary uses of cash for the three months ended March 31, 2010 and 2009 related to payments under a promissory note and capital lease obligations. The primary source of cash from financing activities for the three months ended March 31, 2010 resulted from proceeds associated with the exercise of employee stock options.</w:t>
      </w:r>
    </w:p>
    <w:p>
      <w:pPr>
        <w:spacing w:after="0" w:line="7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revenues increased and our operating income improved over the prior year period, and our balance sheet reflects positive working capital of $13.2 million at March 31, 2010 compared to $10.7 million at December 31, 2009. The improvement in working capital is primarily associated with increases in cash and cash equivalents resulting from the net cash provided by operating activities mentioned above. Current assets increased approximately $2.8 million during the first three months of 2010 primarily due to increases in cash balances and accounts receivable, while current liabilities increased approximately $350,000 during the first three months of 2010 resulting primarily from increases in deferred revenue, but was partially offset by reductions in accounts payable and accrued liabilites.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primary source of liquidity was $13.0 million of cash and cash equivalents. We also have a $15.0 million revolving credit facility loan agreement, all of which was available at March 31, 2010.</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believe that our existing cash and cash equivalents, restricted cash, related interest receivable, cash generated from operations, and available borrowings under our revolving credit facility will be sufficient to meet anticipated cash needs for working capital, new product development and capital expenditures for at least the next 12 months. As part of our growth strategy, we review possible acquisitions that complement our products and services. We anticipate that future acquisitions, if any, would be effected through a combination of stock and cash consideration. We may need to raise additional capital through the issuance of equity or debt securities and/or borrowings under our revolving credit facility, or another facility, to finance any future acquisitions. The issuance of our stock as consideration for an acquisition would have a dilutive effect and could adversely affect our stock price. The credit markets have been experiencing extreme volatility and disruption, and we cannot assure you that if we need additional financing that it will be available on terms favorable to us, or at all. Failure to generate sufficient cash flow from operations or raise additional capital when required in sufficient amounts and on terms acceptable to us could harm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We are exposed to market risk from changes in interest rates. We do not have any foreign currency exchange rate risk or commodity price risk. As of</w:t>
      </w:r>
    </w:p>
    <w:p>
      <w:pPr>
        <w:spacing w:after="0" w:line="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March 31, 2010, our outstanding indebtedness included a promissory note of approximately $123,000 and approximately $10,000 of capital lease obligations. We may become subject to interest rate market risk associated with any future borrowings under our revolving credit facility. The interest rate under the revolving credit facility is based on 30 Day LIBOR plus a margin of either 190 or 220 basis points determined in accordance with a pricing grid, but has a minimum interest rate of not less than three percent. We are also exposed to market risk with respect to our cash balances. At March 31, 2010, the Company had cash and cash equivalents totaling approximately $13.0 million. Current investment rates of return approximate 0.10%. Assuming a 0.10% rate of return on $13.0 million, a hypothetical 10% decrease in interest rates would decrease interest income and decrease net income on an annualized basis by approximately $1,300.</w:t>
      </w:r>
    </w:p>
    <w:p>
      <w:pPr>
        <w:spacing w:after="0" w:line="8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above market risk discussion and the estimated amounts presented are forward-looking statements of market risk assuming the occurrence of certain adverse market conditions. Actual results in the future may differ materially from those projected as a result of actual developments in the market.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4T. </w:t>
      </w:r>
      <w:r>
        <w:rPr>
          <w:rFonts w:ascii="Arial" w:cs="Arial" w:eastAsia="Arial" w:hAnsi="Arial"/>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Controls and Procedures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HealthStream’s chief executive officer and principal financial officer have reviewed and evaluated the effectiveness of the Company’s disclosure controls and procedures (as defined in Rules 13a-15(e) and 15d-15(e) promulgated under the Securities Exchange Act of 1934 (the “Exchange Act”)) as of the end of the period covered by this Quarterly Report. Based on that evaluation, the chief executive officer and principal financial officer have concluded that HealthStream’s disclosure controls and procedures were effective to ensure that the information required to be disclosed by the Company in the reports the Company files or submits under the Exchange Act is recorded, processed, summarized and reported within the time periods specified in the Securities and Exchange Commission’s rules and forms, and the information required to be disclosed in the reports the Company files or submits under the Exchange Act was accumulated and communicated to the Company’s management, including its chief executive and principal financial officer, or persons performing similar functions,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was no change in HealthStream’s internal control over financial reporting that occurred during the period covered by this Quarterly Report that has materially affected, or that is reasonably likely to materially affect, HealthStream’s internal control over financial reporting.</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On February 23, 2010, the Company’s Board of Directors authorized the Company to purchase up to $4,000,000 of its common stock over a one 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activity under the stock repurchase plan for the quarter ended March 31, 2010:</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color w:val="auto"/>
                <w:w w:val="93"/>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7"/>
              </w:rPr>
              <w:t>(c)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6"/>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Total number of shares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4"/>
              </w:rPr>
              <w:t>approximate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3"/>
              </w:rPr>
              <w:t>(a)</w:t>
            </w:r>
          </w:p>
        </w:tc>
        <w:tc>
          <w:tcPr>
            <w:tcW w:w="340" w:type="dxa"/>
            <w:vAlign w:val="bottom"/>
          </w:tcPr>
          <w:p>
            <w:pPr>
              <w:spacing w:after="0"/>
              <w:rPr>
                <w:sz w:val="12"/>
                <w:szCs w:val="12"/>
                <w:color w:val="auto"/>
              </w:rPr>
            </w:pPr>
          </w:p>
        </w:tc>
        <w:tc>
          <w:tcPr>
            <w:tcW w:w="1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(b)</w:t>
            </w: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1"/>
              </w:rPr>
              <w:t>units) purchased as part of</w:t>
            </w:r>
          </w:p>
        </w:tc>
        <w:tc>
          <w:tcPr>
            <w:tcW w:w="2120" w:type="dxa"/>
            <w:vAlign w:val="bottom"/>
            <w:gridSpan w:val="4"/>
          </w:tcPr>
          <w:p>
            <w:pPr>
              <w:jc w:val="center"/>
              <w:ind w:left="36"/>
              <w:spacing w:after="0" w:line="149" w:lineRule="exact"/>
              <w:rPr>
                <w:sz w:val="20"/>
                <w:szCs w:val="20"/>
                <w:color w:val="auto"/>
              </w:rPr>
            </w:pPr>
            <w:r>
              <w:rPr>
                <w:rFonts w:ascii="Arial" w:cs="Arial" w:eastAsia="Arial" w:hAnsi="Arial"/>
                <w:sz w:val="14"/>
                <w:szCs w:val="14"/>
                <w:color w:val="auto"/>
                <w:w w:val="91"/>
              </w:rPr>
              <w:t>shares (or units)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160" w:type="dxa"/>
            <w:vAlign w:val="bottom"/>
            <w:gridSpan w:val="3"/>
          </w:tcPr>
          <w:p>
            <w:pPr>
              <w:jc w:val="center"/>
              <w:ind w:left="8"/>
              <w:spacing w:after="0" w:line="149" w:lineRule="exact"/>
              <w:rPr>
                <w:sz w:val="20"/>
                <w:szCs w:val="20"/>
                <w:color w:val="auto"/>
              </w:rPr>
            </w:pPr>
            <w:r>
              <w:rPr>
                <w:rFonts w:ascii="Arial" w:cs="Arial" w:eastAsia="Arial" w:hAnsi="Arial"/>
                <w:sz w:val="14"/>
                <w:szCs w:val="14"/>
                <w:color w:val="auto"/>
                <w:w w:val="91"/>
              </w:rPr>
              <w:t>Total number of shares</w:t>
            </w:r>
          </w:p>
        </w:tc>
        <w:tc>
          <w:tcPr>
            <w:tcW w:w="2020" w:type="dxa"/>
            <w:vAlign w:val="bottom"/>
            <w:gridSpan w:val="3"/>
          </w:tcPr>
          <w:p>
            <w:pPr>
              <w:spacing w:after="0" w:line="149" w:lineRule="exact"/>
              <w:rPr>
                <w:sz w:val="20"/>
                <w:szCs w:val="20"/>
                <w:color w:val="auto"/>
              </w:rPr>
            </w:pPr>
            <w:r>
              <w:rPr>
                <w:rFonts w:ascii="Arial" w:cs="Arial" w:eastAsia="Arial" w:hAnsi="Arial"/>
                <w:sz w:val="14"/>
                <w:szCs w:val="14"/>
                <w:color w:val="auto"/>
              </w:rPr>
              <w:t>Average price paid per share</w:t>
            </w:r>
          </w:p>
        </w:tc>
        <w:tc>
          <w:tcPr>
            <w:tcW w:w="1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publicly announced plans or</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purchased under the plans or</w:t>
            </w:r>
          </w:p>
        </w:tc>
        <w:tc>
          <w:tcPr>
            <w:tcW w:w="0" w:type="dxa"/>
            <w:vAlign w:val="bottom"/>
          </w:tcPr>
          <w:p>
            <w:pPr>
              <w:spacing w:after="0"/>
              <w:rPr>
                <w:sz w:val="1"/>
                <w:szCs w:val="1"/>
                <w:color w:val="auto"/>
              </w:rPr>
            </w:pPr>
          </w:p>
        </w:tc>
      </w:tr>
      <w:tr>
        <w:trPr>
          <w:trHeight w:val="167"/>
        </w:trPr>
        <w:tc>
          <w:tcPr>
            <w:tcW w:w="3300" w:type="dxa"/>
            <w:vAlign w:val="bottom"/>
            <w:gridSpan w:val="2"/>
          </w:tcPr>
          <w:p>
            <w:pPr>
              <w:spacing w:after="0"/>
              <w:rPr>
                <w:sz w:val="20"/>
                <w:szCs w:val="20"/>
                <w:color w:val="auto"/>
              </w:rPr>
            </w:pPr>
            <w:r>
              <w:rPr>
                <w:rFonts w:ascii="Arial" w:cs="Arial" w:eastAsia="Arial" w:hAnsi="Arial"/>
                <w:sz w:val="14"/>
                <w:szCs w:val="14"/>
                <w:color w:val="auto"/>
              </w:rPr>
              <w:t>Period</w:t>
            </w:r>
          </w:p>
        </w:tc>
        <w:tc>
          <w:tcPr>
            <w:tcW w:w="460" w:type="dxa"/>
            <w:vAlign w:val="bottom"/>
          </w:tcPr>
          <w:p>
            <w:pPr>
              <w:spacing w:after="0"/>
              <w:rPr>
                <w:sz w:val="14"/>
                <w:szCs w:val="14"/>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4"/>
                <w:szCs w:val="14"/>
                <w:color w:val="auto"/>
                <w:w w:val="93"/>
              </w:rPr>
              <w:t>(or units) purchased</w:t>
            </w:r>
          </w:p>
        </w:tc>
        <w:tc>
          <w:tcPr>
            <w:tcW w:w="340" w:type="dxa"/>
            <w:vAlign w:val="bottom"/>
          </w:tcPr>
          <w:p>
            <w:pPr>
              <w:spacing w:after="0"/>
              <w:rPr>
                <w:sz w:val="14"/>
                <w:szCs w:val="14"/>
                <w:color w:val="auto"/>
              </w:rPr>
            </w:pPr>
          </w:p>
        </w:tc>
        <w:tc>
          <w:tcPr>
            <w:tcW w:w="1680" w:type="dxa"/>
            <w:vAlign w:val="bottom"/>
            <w:gridSpan w:val="2"/>
          </w:tcPr>
          <w:p>
            <w:pPr>
              <w:ind w:left="240"/>
              <w:spacing w:after="0"/>
              <w:rPr>
                <w:sz w:val="20"/>
                <w:szCs w:val="20"/>
                <w:color w:val="auto"/>
              </w:rPr>
            </w:pPr>
            <w:r>
              <w:rPr>
                <w:rFonts w:ascii="Arial" w:cs="Arial" w:eastAsia="Arial" w:hAnsi="Arial"/>
                <w:sz w:val="14"/>
                <w:szCs w:val="14"/>
                <w:color w:val="auto"/>
              </w:rPr>
              <w:t>(or unit)</w:t>
            </w: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programs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80"/>
              <w:spacing w:after="0"/>
              <w:rPr>
                <w:sz w:val="20"/>
                <w:szCs w:val="20"/>
                <w:color w:val="auto"/>
              </w:rPr>
            </w:pPr>
            <w:r>
              <w:rPr>
                <w:rFonts w:ascii="Arial" w:cs="Arial" w:eastAsia="Arial" w:hAnsi="Arial"/>
                <w:sz w:val="14"/>
                <w:szCs w:val="14"/>
                <w:color w:val="auto"/>
                <w:w w:val="94"/>
              </w:rPr>
              <w:t>programs</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Month #1 (January 1 — January 31) </w:t>
            </w:r>
            <w:r>
              <w:rPr>
                <w:rFonts w:ascii="Arial" w:cs="Arial" w:eastAsia="Arial" w:hAnsi="Arial"/>
                <w:sz w:val="15"/>
                <w:szCs w:val="15"/>
                <w:color w:val="auto"/>
              </w:rPr>
              <w:t>(1)</w:t>
            </w:r>
          </w:p>
        </w:tc>
        <w:tc>
          <w:tcPr>
            <w:tcW w:w="4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3300" w:type="dxa"/>
            <w:vAlign w:val="bottom"/>
            <w:gridSpan w:val="2"/>
          </w:tcPr>
          <w:p>
            <w:pPr>
              <w:spacing w:after="0"/>
              <w:rPr>
                <w:sz w:val="20"/>
                <w:szCs w:val="20"/>
                <w:color w:val="auto"/>
              </w:rPr>
            </w:pPr>
            <w:r>
              <w:rPr>
                <w:rFonts w:ascii="Arial" w:cs="Arial" w:eastAsia="Arial" w:hAnsi="Arial"/>
                <w:sz w:val="18"/>
                <w:szCs w:val="18"/>
                <w:color w:val="auto"/>
              </w:rPr>
              <w:t>Month #2 (February 1 — February 28)</w:t>
            </w:r>
          </w:p>
        </w:tc>
        <w:tc>
          <w:tcPr>
            <w:tcW w:w="460" w:type="dxa"/>
            <w:vAlign w:val="bottom"/>
          </w:tcPr>
          <w:p>
            <w:pPr>
              <w:spacing w:after="0"/>
              <w:rPr>
                <w:sz w:val="24"/>
                <w:szCs w:val="24"/>
                <w:color w:val="auto"/>
              </w:rPr>
            </w:pPr>
          </w:p>
        </w:tc>
        <w:tc>
          <w:tcPr>
            <w:tcW w:w="17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16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Month # 3 (March 1 — March 31)</w:t>
            </w:r>
          </w:p>
        </w:tc>
        <w:tc>
          <w:tcPr>
            <w:tcW w:w="46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114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3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24"/>
                <w:szCs w:val="24"/>
                <w:color w:val="auto"/>
              </w:rPr>
            </w:pPr>
          </w:p>
        </w:tc>
        <w:tc>
          <w:tcPr>
            <w:tcW w:w="170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8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 The stock repurchase plan was not in place during this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31.1 — Certification of the Chief Executive Officer Pursuant to Section 302 of the Sarbanes-Oxley Act of 2002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31.2 — Certification of the Principal Financial Officer Pursuant to Section 302 of the Sarbanes-Oxley Act of 2002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32.1 — Certification Pursuant to 18 U.S.C. Section 1350, as Adopted Pursuant to Section 906 of the Sarbanes-Oxley Act of 2002</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32.2 — Certification Pursuant to 18 U.S.C. Section 1350, as Adopted Pursuant to Section 906 of the Sarbanes-Oxley Act of 2002</w:t>
      </w:r>
    </w:p>
    <w:p>
      <w:pPr>
        <w:spacing w:after="0" w:line="18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4400" w:type="dxa"/>
            <w:vAlign w:val="bottom"/>
          </w:tcPr>
          <w:p>
            <w:pPr>
              <w:ind w:left="2180"/>
              <w:spacing w:after="0"/>
              <w:rPr>
                <w:sz w:val="20"/>
                <w:szCs w:val="20"/>
                <w:color w:val="auto"/>
              </w:rPr>
            </w:pPr>
            <w:r>
              <w:rPr>
                <w:rFonts w:ascii="Arial" w:cs="Arial" w:eastAsia="Arial" w:hAnsi="Arial"/>
                <w:sz w:val="18"/>
                <w:szCs w:val="18"/>
                <w:color w:val="auto"/>
              </w:rPr>
              <w:t>HEALTHSTREAM, INC.</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May 10, 2010</w:t>
            </w:r>
          </w:p>
        </w:tc>
        <w:tc>
          <w:tcPr>
            <w:tcW w:w="4400" w:type="dxa"/>
            <w:vAlign w:val="bottom"/>
          </w:tcPr>
          <w:p>
            <w:pPr>
              <w:ind w:left="2180"/>
              <w:spacing w:after="0"/>
              <w:rPr>
                <w:sz w:val="20"/>
                <w:szCs w:val="20"/>
                <w:color w:val="auto"/>
              </w:rPr>
            </w:pPr>
            <w:r>
              <w:rPr>
                <w:rFonts w:ascii="Arial" w:cs="Arial" w:eastAsia="Arial" w:hAnsi="Arial"/>
                <w:sz w:val="18"/>
                <w:szCs w:val="18"/>
                <w:color w:val="auto"/>
                <w:w w:val="96"/>
              </w:rPr>
              <w:t>By: /s/ G</w:t>
            </w:r>
            <w:r>
              <w:rPr>
                <w:rFonts w:ascii="Arial" w:cs="Arial" w:eastAsia="Arial" w:hAnsi="Arial"/>
                <w:sz w:val="12"/>
                <w:szCs w:val="12"/>
                <w:color w:val="auto"/>
                <w:w w:val="96"/>
              </w:rPr>
              <w:t>ERARD</w:t>
            </w:r>
            <w:r>
              <w:rPr>
                <w:rFonts w:ascii="Arial" w:cs="Arial" w:eastAsia="Arial" w:hAnsi="Arial"/>
                <w:sz w:val="18"/>
                <w:szCs w:val="18"/>
                <w:color w:val="auto"/>
                <w:w w:val="96"/>
              </w:rPr>
              <w:t xml:space="preserve"> M. H</w:t>
            </w:r>
            <w:r>
              <w:rPr>
                <w:rFonts w:ascii="Arial" w:cs="Arial" w:eastAsia="Arial" w:hAnsi="Arial"/>
                <w:sz w:val="12"/>
                <w:szCs w:val="12"/>
                <w:color w:val="auto"/>
                <w:w w:val="96"/>
              </w:rPr>
              <w:t>AYDEN</w:t>
            </w:r>
            <w:r>
              <w:rPr>
                <w:rFonts w:ascii="Arial" w:cs="Arial" w:eastAsia="Arial" w:hAnsi="Arial"/>
                <w:sz w:val="18"/>
                <w:szCs w:val="18"/>
                <w:color w:val="auto"/>
                <w:w w:val="96"/>
              </w:rPr>
              <w:t>, J</w:t>
            </w:r>
            <w:r>
              <w:rPr>
                <w:rFonts w:ascii="Arial" w:cs="Arial" w:eastAsia="Arial" w:hAnsi="Arial"/>
                <w:sz w:val="12"/>
                <w:szCs w:val="12"/>
                <w:color w:val="auto"/>
                <w:w w:val="96"/>
              </w:rPr>
              <w:t>R</w:t>
            </w:r>
            <w:r>
              <w:rPr>
                <w:rFonts w:ascii="Arial" w:cs="Arial" w:eastAsia="Arial" w:hAnsi="Arial"/>
                <w:sz w:val="18"/>
                <w:szCs w:val="18"/>
                <w:color w:val="auto"/>
                <w:w w:val="96"/>
              </w:rPr>
              <w:t>.</w:t>
            </w:r>
          </w:p>
        </w:tc>
      </w:tr>
    </w:tbl>
    <w:p>
      <w:pPr>
        <w:ind w:left="5700"/>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pacing w:after="0" w:line="18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80"/>
          </w:cols>
          <w:pgMar w:left="240" w:top="419" w:right="10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HEALTHSTREAM, INC.</w:t>
      </w:r>
    </w:p>
    <w:p>
      <w:pPr>
        <w:spacing w:after="0" w:line="11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of the Chief Executive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of the Principal Financial Officer Pursuant to Section 302 of the Sarbanes-Oxley Act of 2002</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color w:val="auto"/>
        </w:rPr>
        <w:t>32.1  Certification Pursuant to 18 U.S.C. Section 1350, as Adopted Pursuant to Section 906 of the Sarbanes-Oxley Act of 2002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32.2  Certification Pursuant to 18 U.S.C. Section 1350, as Adopted Pursuant to Section 906 of the Sarbanes-Oxley Act of 2002</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19" w:right="1440"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u w:val="single" w:color="auto"/>
          <w:color w:val="auto"/>
        </w:rPr>
        <w:t>Exhibit 31.1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Robert A. Frist, Jr., certify that:</w:t>
      </w:r>
    </w:p>
    <w:p>
      <w:pPr>
        <w:spacing w:after="0" w:line="117"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10,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Robert A. Frist,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00"/>
          </w:cols>
          <w:pgMar w:left="240" w:top="125" w:right="259" w:bottom="1440" w:gutter="0" w:footer="0" w:header="0"/>
        </w:sectPr>
      </w:pPr>
    </w:p>
    <w:bookmarkStart w:id="19" w:name="page20"/>
    <w:bookmarkEnd w:id="19"/>
    <w:p>
      <w:pPr>
        <w:jc w:val="center"/>
        <w:ind w:right="-39"/>
        <w:spacing w:after="0"/>
        <w:rPr>
          <w:sz w:val="20"/>
          <w:szCs w:val="20"/>
          <w:color w:val="auto"/>
        </w:rPr>
      </w:pPr>
      <w:r>
        <w:rPr>
          <w:rFonts w:ascii="Arial" w:cs="Arial" w:eastAsia="Arial" w:hAnsi="Arial"/>
          <w:sz w:val="18"/>
          <w:szCs w:val="18"/>
          <w:u w:val="single" w:color="auto"/>
          <w:color w:val="auto"/>
        </w:rPr>
        <w:t>Exhibit 31.2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Gerard M. Hayden, Jr., certify that:</w:t>
      </w:r>
    </w:p>
    <w:p>
      <w:pPr>
        <w:spacing w:after="0" w:line="11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HealthStream, Inc.;</w:t>
      </w:r>
    </w:p>
    <w:p>
      <w:pPr>
        <w:spacing w:after="0" w:line="117" w:lineRule="exact"/>
        <w:rPr>
          <w:rFonts w:ascii="Arial" w:cs="Arial" w:eastAsia="Arial" w:hAnsi="Arial"/>
          <w:sz w:val="18"/>
          <w:szCs w:val="18"/>
          <w:color w:val="auto"/>
        </w:rPr>
      </w:pPr>
    </w:p>
    <w:p>
      <w:pPr>
        <w:ind w:right="42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firstLine="8"/>
        <w:spacing w:after="0" w:line="264"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60" w:hanging="4"/>
        <w:spacing w:after="0" w:line="264"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240" w:right="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0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20" w:hanging="4"/>
        <w:spacing w:after="0" w:line="264"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2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240" w:right="20" w:hanging="4"/>
        <w:spacing w:after="0" w:line="277" w:lineRule="auto"/>
        <w:tabs>
          <w:tab w:leader="none" w:pos="425"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260" w:hanging="4"/>
        <w:spacing w:after="0" w:line="277" w:lineRule="auto"/>
        <w:tabs>
          <w:tab w:leader="none" w:pos="435"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May 10, 2010</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Gerard M. Hayden, Jr.</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00"/>
          </w:cols>
          <w:pgMar w:left="240" w:top="665" w:right="259" w:bottom="1440" w:gutter="0" w:footer="0" w:header="0"/>
        </w:sectPr>
      </w:pPr>
    </w:p>
    <w:bookmarkStart w:id="20" w:name="page21"/>
    <w:bookmarkEnd w:id="20"/>
    <w:p>
      <w:pPr>
        <w:ind w:left="5260"/>
        <w:spacing w:after="0"/>
        <w:rPr>
          <w:sz w:val="20"/>
          <w:szCs w:val="20"/>
          <w:color w:val="auto"/>
        </w:rPr>
      </w:pPr>
      <w:r>
        <w:rPr>
          <w:rFonts w:ascii="Arial" w:cs="Arial" w:eastAsia="Arial" w:hAnsi="Arial"/>
          <w:sz w:val="18"/>
          <w:szCs w:val="18"/>
          <w:u w:val="single" w:color="auto"/>
          <w:color w:val="auto"/>
        </w:rPr>
        <w:t>Exhibit 32.1</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2010, as filed with the Securities and Exchange Commission on the date hereof (the “Report”), Robert A. Frist, Jr., Chief Executive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2"/>
          <w:szCs w:val="12"/>
          <w:color w:val="auto"/>
        </w:rPr>
        <w:t>ROBERT A</w:t>
      </w:r>
      <w:r>
        <w:rPr>
          <w:rFonts w:ascii="Arial" w:cs="Arial" w:eastAsia="Arial" w:hAnsi="Arial"/>
          <w:sz w:val="18"/>
          <w:szCs w:val="18"/>
          <w:color w:val="auto"/>
        </w:rPr>
        <w:t xml:space="preserve">. </w:t>
      </w:r>
      <w:r>
        <w:rPr>
          <w:rFonts w:ascii="Arial" w:cs="Arial" w:eastAsia="Arial" w:hAnsi="Arial"/>
          <w:sz w:val="12"/>
          <w:szCs w:val="12"/>
          <w:color w:val="auto"/>
        </w:rPr>
        <w:t>FRIST</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Robert A. Frist,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10, 2010</w:t>
      </w:r>
    </w:p>
    <w:p>
      <w:pPr>
        <w:sectPr>
          <w:pgSz w:w="11900" w:h="16838" w:orient="portrait"/>
          <w:cols w:equalWidth="0" w:num="1">
            <w:col w:w="11380"/>
          </w:cols>
          <w:pgMar w:left="240" w:top="665" w:right="279" w:bottom="1440" w:gutter="0" w:footer="0" w:header="0"/>
        </w:sectPr>
      </w:pPr>
    </w:p>
    <w:bookmarkStart w:id="21" w:name="page22"/>
    <w:bookmarkEnd w:id="21"/>
    <w:p>
      <w:pPr>
        <w:ind w:left="5260"/>
        <w:spacing w:after="0"/>
        <w:rPr>
          <w:sz w:val="20"/>
          <w:szCs w:val="20"/>
          <w:color w:val="auto"/>
        </w:rPr>
      </w:pPr>
      <w:r>
        <w:rPr>
          <w:rFonts w:ascii="Arial" w:cs="Arial" w:eastAsia="Arial" w:hAnsi="Arial"/>
          <w:sz w:val="18"/>
          <w:szCs w:val="18"/>
          <w:u w:val="single" w:color="auto"/>
          <w:color w:val="auto"/>
        </w:rPr>
        <w:t>Exhibit 32.2</w:t>
      </w:r>
    </w:p>
    <w:p>
      <w:pPr>
        <w:spacing w:after="0" w:line="113"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connection with the Quarterly Report of HealthStream, Inc. (the “Company”) on Form 10-Q for the period ending March 31, 2010, as filed with the Securities and Exchange Commission on the date hereof (the “Report”), Gerard M. Hayden, Jr., Chief Financial Officer of the Company, certifies, pursuant to 18 U.S.C. Section 1350, as adopted pursuant to Section 906 of the Sarbanes-Oxley Act of 2002, that:</w:t>
      </w:r>
    </w:p>
    <w:p>
      <w:pPr>
        <w:spacing w:after="0" w:line="73"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G</w:t>
      </w:r>
      <w:r>
        <w:rPr>
          <w:rFonts w:ascii="Arial" w:cs="Arial" w:eastAsia="Arial" w:hAnsi="Arial"/>
          <w:sz w:val="12"/>
          <w:szCs w:val="12"/>
          <w:color w:val="auto"/>
        </w:rPr>
        <w:t>ERARD</w:t>
      </w:r>
      <w:r>
        <w:rPr>
          <w:rFonts w:ascii="Arial" w:cs="Arial" w:eastAsia="Arial" w:hAnsi="Arial"/>
          <w:sz w:val="18"/>
          <w:szCs w:val="18"/>
          <w:color w:val="auto"/>
        </w:rPr>
        <w:t xml:space="preserve"> M. H</w:t>
      </w:r>
      <w:r>
        <w:rPr>
          <w:rFonts w:ascii="Arial" w:cs="Arial" w:eastAsia="Arial" w:hAnsi="Arial"/>
          <w:sz w:val="12"/>
          <w:szCs w:val="12"/>
          <w:color w:val="auto"/>
        </w:rPr>
        <w:t>AYDEN</w:t>
      </w:r>
      <w:r>
        <w:rPr>
          <w:rFonts w:ascii="Arial" w:cs="Arial" w:eastAsia="Arial" w:hAnsi="Arial"/>
          <w:sz w:val="18"/>
          <w:szCs w:val="18"/>
          <w:color w:val="auto"/>
        </w:rPr>
        <w:t>, J</w:t>
      </w:r>
      <w:r>
        <w:rPr>
          <w:rFonts w:ascii="Arial" w:cs="Arial" w:eastAsia="Arial" w:hAnsi="Arial"/>
          <w:sz w:val="12"/>
          <w:szCs w:val="12"/>
          <w:color w:val="auto"/>
        </w:rPr>
        <w:t>R</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Gerard M. Hayden,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930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10, 2010</w:t>
      </w:r>
    </w:p>
    <w:sectPr>
      <w:pgSz w:w="11900" w:h="16838" w:orient="portrait"/>
      <w:cols w:equalWidth="0" w:num="1">
        <w:col w:w="11380"/>
      </w:cols>
      <w:pgMar w:left="240" w:top="66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2019-12-10T18:58:37Z</dcterms:created>
  <dcterms:modified xsi:type="dcterms:W3CDTF">2019-12-10T18:58:37Z</dcterms:modified>
</cp:coreProperties>
</file>