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3"/>
              </w:rPr>
              <w:t>Tennessee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6100" w:type="dxa"/>
            <w:vAlign w:val="bottom"/>
          </w:tcPr>
          <w:p>
            <w:pPr>
              <w:jc w:val="center"/>
              <w:ind w:right="34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00" w:type="dxa"/>
            <w:vAlign w:val="bottom"/>
          </w:tcPr>
          <w:p>
            <w:pPr>
              <w:jc w:val="center"/>
              <w:ind w:right="345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8"/>
              </w:rPr>
              <w:t>209 10th Avenue South, Suite 450</w:t>
            </w:r>
          </w:p>
        </w:tc>
        <w:tc>
          <w:tcPr>
            <w:tcW w:w="1500" w:type="dxa"/>
            <w:vAlign w:val="bottom"/>
          </w:tcPr>
          <w:p>
            <w:pPr>
              <w:spacing w:after="0"/>
              <w:rPr>
                <w:sz w:val="24"/>
                <w:szCs w:val="24"/>
                <w:color w:val="auto"/>
              </w:rPr>
            </w:pPr>
          </w:p>
        </w:tc>
      </w:tr>
      <w:tr>
        <w:trPr>
          <w:trHeight w:val="2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6"/>
              </w:rPr>
              <w:t>Nashville, Tennessee</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37203</w:t>
            </w:r>
          </w:p>
        </w:tc>
      </w:tr>
      <w:tr>
        <w:trPr>
          <w:trHeight w:val="186"/>
        </w:trPr>
        <w:tc>
          <w:tcPr>
            <w:tcW w:w="6100" w:type="dxa"/>
            <w:vAlign w:val="bottom"/>
          </w:tcPr>
          <w:p>
            <w:pPr>
              <w:jc w:val="center"/>
              <w:ind w:right="3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00" w:type="dxa"/>
            <w:vAlign w:val="bottom"/>
          </w:tcPr>
          <w:p>
            <w:pPr>
              <w:jc w:val="right"/>
              <w:ind w:right="1359"/>
              <w:spacing w:after="0"/>
              <w:rPr>
                <w:sz w:val="20"/>
                <w:szCs w:val="20"/>
                <w:color w:val="auto"/>
              </w:rPr>
            </w:pPr>
            <w:r>
              <w:rPr>
                <w:rFonts w:ascii="Arial" w:cs="Arial" w:eastAsia="Arial" w:hAnsi="Arial"/>
                <w:sz w:val="18"/>
                <w:szCs w:val="18"/>
                <w:b w:val="1"/>
                <w:bCs w:val="1"/>
                <w:color w:val="auto"/>
              </w:rPr>
              <w:t>(615) 301-3100</w:t>
            </w:r>
          </w:p>
        </w:tc>
        <w:tc>
          <w:tcPr>
            <w:tcW w:w="1500" w:type="dxa"/>
            <w:vAlign w:val="bottom"/>
          </w:tcPr>
          <w:p>
            <w:pPr>
              <w:spacing w:after="0"/>
              <w:rPr>
                <w:sz w:val="24"/>
                <w:szCs w:val="24"/>
                <w:color w:val="auto"/>
              </w:rPr>
            </w:pPr>
          </w:p>
        </w:tc>
      </w:tr>
      <w:tr>
        <w:trPr>
          <w:trHeight w:val="186"/>
        </w:trPr>
        <w:tc>
          <w:tcPr>
            <w:tcW w:w="6100" w:type="dxa"/>
            <w:vAlign w:val="bottom"/>
          </w:tcPr>
          <w:p>
            <w:pPr>
              <w:jc w:val="center"/>
              <w:ind w:left="1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As of July 27, 2016, there were 31,739,034 shares of the registrant’s common stock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32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1580" w:type="dxa"/>
            <w:vAlign w:val="bottom"/>
            <w:gridSpan w:val="7"/>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7920" w:type="dxa"/>
            <w:vAlign w:val="bottom"/>
            <w:gridSpan w:val="11"/>
            <w:vMerge w:val="restart"/>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61"/>
        </w:trPr>
        <w:tc>
          <w:tcPr>
            <w:tcW w:w="1320" w:type="dxa"/>
            <w:vAlign w:val="bottom"/>
            <w:vMerge w:val="continue"/>
          </w:tcPr>
          <w:p>
            <w:pPr>
              <w:spacing w:after="0"/>
              <w:rPr>
                <w:sz w:val="13"/>
                <w:szCs w:val="13"/>
                <w:color w:val="auto"/>
              </w:rPr>
            </w:pPr>
          </w:p>
        </w:tc>
        <w:tc>
          <w:tcPr>
            <w:tcW w:w="1580" w:type="dxa"/>
            <w:vAlign w:val="bottom"/>
            <w:tcBorders>
              <w:bottom w:val="single" w:sz="8" w:color="0000EE"/>
            </w:tcBorders>
            <w:gridSpan w:val="7"/>
            <w:vMerge w:val="continue"/>
          </w:tcPr>
          <w:p>
            <w:pPr>
              <w:spacing w:after="0"/>
              <w:rPr>
                <w:sz w:val="13"/>
                <w:szCs w:val="13"/>
                <w:color w:val="auto"/>
              </w:rPr>
            </w:pPr>
          </w:p>
        </w:tc>
        <w:tc>
          <w:tcPr>
            <w:tcW w:w="7920" w:type="dxa"/>
            <w:vAlign w:val="bottom"/>
            <w:gridSpan w:val="11"/>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2016 (Unaudited) and December 31, 2015</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and Six Months ended June 30, 2016 and 2015</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Comprehensive Income (Unaudited)—Three and Six Months ended June 30, 2016 and</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2015</w:t>
              </w:r>
            </w:hyperlink>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77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Shareholders’ Equity (Unaudited) – Six Months ended June 30, 2016</w:t>
              </w:r>
            </w:hyperlink>
          </w:p>
        </w:tc>
        <w:tc>
          <w:tcPr>
            <w:tcW w:w="172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 - Six Months ended June 30, 2016 and 2015</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4"/>
                <w:szCs w:val="24"/>
                <w:color w:val="auto"/>
              </w:rPr>
            </w:pPr>
          </w:p>
        </w:tc>
        <w:tc>
          <w:tcPr>
            <w:tcW w:w="7840" w:type="dxa"/>
            <w:vAlign w:val="bottom"/>
            <w:tcBorders>
              <w:top w:val="single" w:sz="8" w:color="0000EE"/>
            </w:tcBorders>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66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04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514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Part II.</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74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Exhibits</w:t>
              </w:r>
            </w:hyperlink>
          </w:p>
        </w:tc>
        <w:tc>
          <w:tcPr>
            <w:tcW w:w="3740" w:type="dxa"/>
            <w:vAlign w:val="bottom"/>
            <w:tcBorders>
              <w:top w:val="single" w:sz="8" w:color="0000EE"/>
            </w:tcBorders>
            <w:gridSpan w:val="6"/>
          </w:tcPr>
          <w:p>
            <w:pPr>
              <w:spacing w:after="0"/>
              <w:rPr>
                <w:sz w:val="24"/>
                <w:szCs w:val="24"/>
                <w:color w:val="auto"/>
              </w:rPr>
            </w:pPr>
          </w:p>
        </w:tc>
        <w:tc>
          <w:tcPr>
            <w:tcW w:w="516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80" w:type="dxa"/>
            <w:vAlign w:val="bottom"/>
            <w:shd w:val="clear" w:color="auto" w:fill="CCEEFF"/>
          </w:tcPr>
          <w:p>
            <w:pPr>
              <w:ind w:left="41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66,803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82,010</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72,006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66,976</w:t>
            </w:r>
          </w:p>
        </w:tc>
      </w:tr>
      <w:tr>
        <w:trPr>
          <w:trHeight w:val="202"/>
        </w:trPr>
        <w:tc>
          <w:tcPr>
            <w:tcW w:w="9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$510 and $303 at June 30, 2016 and December 31,</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2015, respectively</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42,014</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36,348</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Accounts receivable - unbilled</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2,119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1,998</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royalties, net of amortization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13,242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14,036</w:t>
            </w: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Other prepaid expenses and other current assets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8,312</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204,496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209,537</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11,138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12,471</w:t>
            </w:r>
          </w:p>
        </w:tc>
      </w:tr>
      <w:tr>
        <w:trPr>
          <w:trHeight w:val="202"/>
        </w:trPr>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software development, net of accumulated amortization of $27,806 and $24,130 at June 30, 2016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2015, respectively</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14,716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13,955</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88,628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83,073</w:t>
            </w:r>
          </w:p>
        </w:tc>
      </w:tr>
      <w:tr>
        <w:trPr>
          <w:trHeight w:val="202"/>
        </w:trPr>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Intangible assets, net of accumulated amortization of $11,885 and $8,685 at June 30, 2016 and December 31, 2015,</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54,266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55,966</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Non-marketable equity investments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3,640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377,183</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379,569</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280" w:type="dxa"/>
            <w:vAlign w:val="bottom"/>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4,616</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Accrued royalties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8,134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9,053</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10,960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7,003</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Accrued compensation and related expenses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3,308</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58,971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65,098</w:t>
            </w: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81,742</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89,078</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4,763</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4,350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28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no par value, 75,000 shares authorized; 31,739 and 31,647 shares issued and outstanding at June 30,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280" w:type="dxa"/>
            <w:vAlign w:val="bottom"/>
          </w:tcPr>
          <w:p>
            <w:pPr>
              <w:ind w:left="540"/>
              <w:spacing w:after="0"/>
              <w:rPr>
                <w:sz w:val="20"/>
                <w:szCs w:val="20"/>
                <w:color w:val="auto"/>
              </w:rPr>
            </w:pPr>
            <w:r>
              <w:rPr>
                <w:rFonts w:ascii="Arial" w:cs="Arial" w:eastAsia="Arial" w:hAnsi="Arial"/>
                <w:sz w:val="18"/>
                <w:szCs w:val="18"/>
                <w:color w:val="auto"/>
              </w:rPr>
              <w:t>2016 and December 31, 2015, respectively</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279,595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278,799</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284,075</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280,320</w:t>
            </w:r>
          </w:p>
        </w:tc>
        <w:tc>
          <w:tcPr>
            <w:tcW w:w="100" w:type="dxa"/>
            <w:vAlign w:val="bottom"/>
            <w:shd w:val="clear" w:color="auto" w:fill="CCEEFF"/>
          </w:tcPr>
          <w:p>
            <w:pPr>
              <w:spacing w:after="0"/>
              <w:rPr>
                <w:sz w:val="18"/>
                <w:szCs w:val="18"/>
                <w:color w:val="auto"/>
              </w:rPr>
            </w:pPr>
          </w:p>
        </w:tc>
      </w:tr>
      <w:tr>
        <w:trPr>
          <w:trHeight w:val="223"/>
        </w:trPr>
        <w:tc>
          <w:tcPr>
            <w:tcW w:w="9280" w:type="dxa"/>
            <w:vAlign w:val="bottom"/>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377,183</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379,569</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90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w w:val="99"/>
              </w:rPr>
              <w:t>June 30,</w:t>
            </w: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6"/>
              </w:rPr>
              <w:t>June 30,</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54,793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52,145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108,871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22,622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22,432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5,815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8,529</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5,081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1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52,477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49,581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104,069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91,947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Basic</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31,736</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29,234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31,701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32,071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29,617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4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2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June 30,</w:t>
            </w: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June 30,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4"/>
                <w:szCs w:val="14"/>
                <w:color w:val="auto"/>
              </w:rPr>
            </w:pPr>
          </w:p>
        </w:tc>
        <w:tc>
          <w:tcPr>
            <w:tcW w:w="64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6"/>
              </w:rPr>
              <w:t>2016</w:t>
            </w:r>
          </w:p>
        </w:tc>
        <w:tc>
          <w:tcPr>
            <w:tcW w:w="32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$ 1,403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$2,903</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$4,195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marketable securities</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9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56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56</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$ 1,403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1,411</w:t>
            </w:r>
          </w:p>
        </w:tc>
        <w:tc>
          <w:tcPr>
            <w:tcW w:w="96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2,959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4,154</w:t>
            </w: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202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Retained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2020" w:type="dxa"/>
            <w:vAlign w:val="bottom"/>
            <w:gridSpan w:val="5"/>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31,647</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$278,799</w:t>
            </w: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$ 1,591</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2,903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1,004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issued under stock plans, net of shares withheld for employee</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3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31,739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279,595</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$ 4,494</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71"/>
        </w:trPr>
        <w:tc>
          <w:tcPr>
            <w:tcW w:w="20" w:type="dxa"/>
            <w:vAlign w:val="bottom"/>
          </w:tcPr>
          <w:p>
            <w:pPr>
              <w:spacing w:after="0"/>
              <w:rPr>
                <w:sz w:val="14"/>
                <w:szCs w:val="14"/>
                <w:color w:val="auto"/>
              </w:rPr>
            </w:pPr>
          </w:p>
        </w:tc>
        <w:tc>
          <w:tcPr>
            <w:tcW w:w="87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2,903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4,195</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10,221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7,509</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r>
      <w:tr>
        <w:trPr>
          <w:trHeight w:val="216"/>
        </w:trPr>
        <w:tc>
          <w:tcPr>
            <w:tcW w:w="20" w:type="dxa"/>
            <w:vAlign w:val="bottom"/>
          </w:tcPr>
          <w:p>
            <w:pPr>
              <w:spacing w:after="0"/>
              <w:rPr>
                <w:sz w:val="18"/>
                <w:szCs w:val="18"/>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Stock based compensation expense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2,347</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Loss on non-marketable equity investments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and unbilled receivables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w:t>
            </w:r>
          </w:p>
        </w:tc>
      </w:tr>
      <w:tr>
        <w:trPr>
          <w:trHeight w:val="216"/>
        </w:trPr>
        <w:tc>
          <w:tcPr>
            <w:tcW w:w="20" w:type="dxa"/>
            <w:vAlign w:val="bottom"/>
          </w:tcPr>
          <w:p>
            <w:pPr>
              <w:spacing w:after="0"/>
              <w:rPr>
                <w:sz w:val="18"/>
                <w:szCs w:val="18"/>
                <w:color w:val="auto"/>
              </w:rPr>
            </w:pPr>
          </w:p>
        </w:tc>
        <w:tc>
          <w:tcPr>
            <w:tcW w:w="8700" w:type="dxa"/>
            <w:vAlign w:val="bottom"/>
          </w:tcPr>
          <w:p>
            <w:pPr>
              <w:ind w:left="1060"/>
              <w:spacing w:after="0"/>
              <w:rPr>
                <w:sz w:val="20"/>
                <w:szCs w:val="20"/>
                <w:color w:val="auto"/>
              </w:rPr>
            </w:pPr>
            <w:r>
              <w:rPr>
                <w:rFonts w:ascii="Arial" w:cs="Arial" w:eastAsia="Arial" w:hAnsi="Arial"/>
                <w:sz w:val="18"/>
                <w:szCs w:val="18"/>
                <w:color w:val="auto"/>
              </w:rPr>
              <w:t>Prepaid royalties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(2,578)</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prepaid expenses and other current assets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w:t>
            </w:r>
          </w:p>
        </w:tc>
      </w:tr>
      <w:tr>
        <w:trPr>
          <w:trHeight w:val="216"/>
        </w:trPr>
        <w:tc>
          <w:tcPr>
            <w:tcW w:w="20" w:type="dxa"/>
            <w:vAlign w:val="bottom"/>
          </w:tcPr>
          <w:p>
            <w:pPr>
              <w:spacing w:after="0"/>
              <w:rPr>
                <w:sz w:val="18"/>
                <w:szCs w:val="18"/>
                <w:color w:val="auto"/>
              </w:rPr>
            </w:pPr>
          </w:p>
        </w:tc>
        <w:tc>
          <w:tcPr>
            <w:tcW w:w="870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(1,703)</w:t>
            </w:r>
          </w:p>
        </w:tc>
      </w:tr>
      <w:tr>
        <w:trPr>
          <w:trHeight w:val="216"/>
        </w:trPr>
        <w:tc>
          <w:tcPr>
            <w:tcW w:w="20" w:type="dxa"/>
            <w:vAlign w:val="bottom"/>
          </w:tcPr>
          <w:p>
            <w:pPr>
              <w:spacing w:after="0"/>
              <w:rPr>
                <w:sz w:val="18"/>
                <w:szCs w:val="18"/>
                <w:color w:val="auto"/>
              </w:rPr>
            </w:pPr>
          </w:p>
        </w:tc>
        <w:tc>
          <w:tcPr>
            <w:tcW w:w="8700" w:type="dxa"/>
            <w:vAlign w:val="bottom"/>
          </w:tcPr>
          <w:p>
            <w:pPr>
              <w:ind w:left="1060"/>
              <w:spacing w:after="0"/>
              <w:rPr>
                <w:sz w:val="20"/>
                <w:szCs w:val="20"/>
                <w:color w:val="auto"/>
              </w:rPr>
            </w:pPr>
            <w:r>
              <w:rPr>
                <w:rFonts w:ascii="Arial" w:cs="Arial" w:eastAsia="Arial" w:hAnsi="Arial"/>
                <w:sz w:val="18"/>
                <w:szCs w:val="18"/>
                <w:color w:val="auto"/>
              </w:rPr>
              <w:t>Accrued royalties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(1,776)</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8"/>
              </w:rPr>
              <w:t>Accrued liabilities and accrued compensation and related expenses and other long-term liabilities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r>
      <w:tr>
        <w:trPr>
          <w:trHeight w:val="223"/>
        </w:trPr>
        <w:tc>
          <w:tcPr>
            <w:tcW w:w="20" w:type="dxa"/>
            <w:vAlign w:val="bottom"/>
          </w:tcPr>
          <w:p>
            <w:pPr>
              <w:spacing w:after="0"/>
              <w:rPr>
                <w:sz w:val="19"/>
                <w:szCs w:val="19"/>
                <w:color w:val="auto"/>
              </w:rPr>
            </w:pPr>
          </w:p>
        </w:tc>
        <w:tc>
          <w:tcPr>
            <w:tcW w:w="870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(6,474)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5,713</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19,131</w:t>
            </w:r>
          </w:p>
        </w:tc>
        <w:tc>
          <w:tcPr>
            <w:tcW w:w="100" w:type="dxa"/>
            <w:vAlign w:val="bottom"/>
            <w:shd w:val="clear" w:color="auto" w:fill="CCEEFF"/>
          </w:tcPr>
          <w:p>
            <w:pPr>
              <w:spacing w:after="0"/>
              <w:rPr>
                <w:sz w:val="18"/>
                <w:szCs w:val="18"/>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combinations, net of cash acquired</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(88,075)</w:t>
            </w: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Proceeds from maturities of marketable securities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65,639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29,915</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(71,220)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(76,768)</w:t>
            </w: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Payments to acquire equity method investments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long-lived assets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(4,303)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(3,566)</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(4,054)</w:t>
            </w:r>
          </w:p>
        </w:tc>
      </w:tr>
      <w:tr>
        <w:trPr>
          <w:trHeight w:val="230"/>
        </w:trPr>
        <w:tc>
          <w:tcPr>
            <w:tcW w:w="20" w:type="dxa"/>
            <w:vAlign w:val="bottom"/>
          </w:tcPr>
          <w:p>
            <w:pPr>
              <w:spacing w:after="0"/>
              <w:rPr>
                <w:sz w:val="20"/>
                <w:szCs w:val="20"/>
                <w:color w:val="auto"/>
              </w:rPr>
            </w:pPr>
          </w:p>
        </w:tc>
        <w:tc>
          <w:tcPr>
            <w:tcW w:w="8700" w:type="dxa"/>
            <w:vAlign w:val="bottom"/>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(15,284)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(143,548)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98,014</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Proceeds from borrowings under revolving line of credit facility</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28,000</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revolving line of credit facility</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(28,000)</w:t>
            </w: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Payment of earn-outs related to business combinations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(628)</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w:t>
            </w:r>
          </w:p>
        </w:tc>
      </w:tr>
      <w:tr>
        <w:trPr>
          <w:trHeight w:val="230"/>
        </w:trPr>
        <w:tc>
          <w:tcPr>
            <w:tcW w:w="20" w:type="dxa"/>
            <w:vAlign w:val="bottom"/>
          </w:tcPr>
          <w:p>
            <w:pPr>
              <w:spacing w:after="0"/>
              <w:rPr>
                <w:sz w:val="20"/>
                <w:szCs w:val="20"/>
                <w:color w:val="auto"/>
              </w:rPr>
            </w:pPr>
          </w:p>
        </w:tc>
        <w:tc>
          <w:tcPr>
            <w:tcW w:w="8700" w:type="dxa"/>
            <w:vAlign w:val="bottom"/>
          </w:tcPr>
          <w:p>
            <w:pPr>
              <w:ind w:left="1420"/>
              <w:spacing w:after="0"/>
              <w:rPr>
                <w:sz w:val="20"/>
                <w:szCs w:val="20"/>
                <w:color w:val="auto"/>
              </w:rPr>
            </w:pPr>
            <w:r>
              <w:rPr>
                <w:rFonts w:ascii="Arial" w:cs="Arial" w:eastAsia="Arial" w:hAnsi="Arial"/>
                <w:sz w:val="18"/>
                <w:szCs w:val="18"/>
                <w:color w:val="auto"/>
              </w:rPr>
              <w:t>Net cash (used in) provided by financing activities</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(15,207)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(27,502)</w:t>
            </w: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66,803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54,493</w:t>
            </w: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six months ended June 30, 2016 are not necessarily indicative of the results that may be expected for the year ending December 31, 2016.</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balance sheet at December 31, 2015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2015 included in the Company’s Annual Report on Form 10-K (the “Form 10-K”), filed with the Securities and Exchange Commission on February 26,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The Company has adopted Accounting Standards Update (“ASU”) 2015-16,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Under the provisions of the revised guidance, acquirers in a business combination must recognize adjustments to provisional amounts that are identified during the measurement period in the reporting period in which the adjustment amounts are determined. The acquirer must record, in the same period’s financial statements, the effect on earnings of changes in depreciation, amortization, or other income effects, if any, as a result of the change to the provisional amounts, calculated as if the accounting had been completed at the acquisition date. The Company recorded a measurement period adjustment during the period ended March 31, 2016. See Note 7 Business Combinations for further discussion.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supersedes the revenue recognition requirements in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and most industry-specific revenue 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early adoption is permitted for the first interim period within annual reporting periods beginning after December 15, 2016. The Company is currently reviewing this standard to determine the method of adoption and to assess the impact on its future consolidated financial statements.</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lessees to recognize assets and liabilities for most leases. The recognition, measurement and presentation of expenses and cash flows arising from a lease by a lessee is not expected to significantly change under such guidance; however, the Company is currently reviewing this standard to determine the method of adoption and to assess the impact on its future consolidated financial statements. The standard will be effective for the first interim period within annual reporting periods beginning after December 15, 2018, and early adoption is permitted.</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which serves to simplify several aspects of the accounting for share-based payment transactions, including the income tax consequences, classification of awards as either equity or liabilities, and classification on the statement of cash flows. The standard will be effective for the first interim period within annual reporting periods beginning after December 15, 2016, and early adoption is permitted in any interim or annual period. The Company is currently reviewing this standard to determine the method of adoption and to assess the impact on its future consolidated financial statements.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March 2016, the FASB issued ASU 2016-01, </w:t>
      </w:r>
      <w:r>
        <w:rPr>
          <w:rFonts w:ascii="Arial" w:cs="Arial" w:eastAsia="Arial" w:hAnsi="Arial"/>
          <w:sz w:val="17"/>
          <w:szCs w:val="17"/>
          <w:i w:val="1"/>
          <w:iCs w:val="1"/>
          <w:color w:val="auto"/>
        </w:rPr>
        <w:t>Financial Instruments – Overall (Sub Topic 825-10)</w:t>
      </w:r>
      <w:r>
        <w:rPr>
          <w:rFonts w:ascii="Arial" w:cs="Arial" w:eastAsia="Arial" w:hAnsi="Arial"/>
          <w:sz w:val="17"/>
          <w:szCs w:val="17"/>
          <w:color w:val="auto"/>
        </w:rPr>
        <w:t>, which addresses certain aspects of the recognition, measurement, presentation, and disclosure of financial instruments. The guidance will, among other things, require equity method investments (except those accounted for under the equity method of accounting or those that result in consolidation of the investee) to be measured at fair value with changes in fair value recognized in net income. The standard will be effective for the first interim period within annual reporting periods beginning after December 15, 2017, and early adoption is permitted for only limited aspects of such guidance. The Company is currently reviewing this standard to determine the method of adoption and to assess the impact on its future consolidated financial statements.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During the six months ended June 30, 2016 and 2015, the Company recorded a provision for income taxes of approximately $2.0 million and $3.1 million, respectively. The Company’s effective tax rate for the six months ended June 30, 2016 and 2015 was 41.1% and 42.7%, respectively. The Company’s effective tax rate primarily reflects the statutory corporate income tax rate, the net effect of state taxes, and the effect of various permanent tax differences.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has stock awards outstanding under two stock incentive plans, the Company’s 2010 Stock Incentive Plan and the Company’s 2000 Stock Incentive Plan, as amended. In addition, the Company’s shareholders approved the Company’s 2016 Omnibus Incentive Plan at the annual meeting of shareholders held on May 26, 2016; however, no awards were granted under such plan during the three months ended June 30, 2016. The Company accounts for its stock based compensation plans using the fair-value based method for costs related to share-based payments, including stock options and restricted share units (RSUs). During the six months ended June 30, 2016, the Company issued 103,210 RSUs, subject to service-based vesting, with a weighted average grant date fair value of $20.20 per share, measured based on the closing fair market value of the Company’s stock on the date of grant. During the six months ended June 30, 2015, the Company issued 76,855 RSUs with a weighted average grant date fair value of $25.64 per share, and the Company issued 49,310 stock awards with a weighted average grant date fair value of $30.42 per share. Both measurements were based on the closing fair market value of the Company’s stock on the date of grant.</w:t>
      </w:r>
    </w:p>
    <w:p>
      <w:pPr>
        <w:spacing w:after="0" w:line="18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Total stock based compensation expense recorded for the three and six months ended June 30, 2016 and 2015, which is recorded in the condensed consolidated statements of income, is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300"/>
              <w:spacing w:after="0"/>
              <w:rPr>
                <w:sz w:val="20"/>
                <w:szCs w:val="20"/>
                <w:color w:val="auto"/>
              </w:rPr>
            </w:pPr>
            <w:r>
              <w:rPr>
                <w:rFonts w:ascii="Arial" w:cs="Arial" w:eastAsia="Arial" w:hAnsi="Arial"/>
                <w:sz w:val="14"/>
                <w:szCs w:val="14"/>
                <w:color w:val="auto"/>
                <w:w w:val="90"/>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260"/>
              <w:spacing w:after="0"/>
              <w:rPr>
                <w:sz w:val="20"/>
                <w:szCs w:val="20"/>
                <w:color w:val="auto"/>
              </w:rPr>
            </w:pPr>
            <w:r>
              <w:rPr>
                <w:rFonts w:ascii="Arial" w:cs="Arial" w:eastAsia="Arial" w:hAnsi="Arial"/>
                <w:sz w:val="14"/>
                <w:szCs w:val="14"/>
                <w:color w:val="auto"/>
                <w:w w:val="98"/>
              </w:rPr>
              <w:t>Six Months Ended</w:t>
            </w:r>
          </w:p>
        </w:tc>
      </w:tr>
      <w:tr>
        <w:trPr>
          <w:trHeight w:val="167"/>
        </w:trPr>
        <w:tc>
          <w:tcPr>
            <w:tcW w:w="5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89"/>
              </w:rPr>
              <w:t>2015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9"/>
              </w:rPr>
              <w:t>2016</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Product development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335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r>
      <w:tr>
        <w:trPr>
          <w:trHeight w:val="27"/>
        </w:trPr>
        <w:tc>
          <w:tcPr>
            <w:tcW w:w="5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 based compensation expense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1,938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2,347</w:t>
            </w:r>
          </w:p>
        </w:tc>
      </w:tr>
      <w:tr>
        <w:trPr>
          <w:trHeight w:val="20"/>
        </w:trPr>
        <w:tc>
          <w:tcPr>
            <w:tcW w:w="5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Awards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June 2015, the Company’s Chief Executive Officer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HealthStream, Inc. common stock to over 600 employees who were not otherwise eligible to receive equity awards and had at least one year of service with the Company. The Company recognized approximately $1.5 million of stock based compensation expense for these stock awards during the three months ended June 30, 2015 based on the closing fair market value of the Company’s stock on the date of the Company’s approval of these grants. In connection with these equity awards, effective in the second quarter of 2015, the Company withheld shares with value equivalent to the employees’ minimum statutory obligation for the applicable income and other employment taxes, and remitted the cash to the appropriate taxing authorities. The total shares withheld were 17,279, and were based on the value of the stock awards on the date of the Company’s approval of these grants, as determined by the Company’s closing stock price on that date. Total payments related to the employees’ tax obligations to taxing authorities for these stock awards were approximately $526,000, and are reflected as a financing activity within the condensed consolidated statements of cash flows for the six months ended June 30, 2015. These share withholdings had the effect of share repurchases by the Company as they reduced and retired the number of shares otherwise issuable as a result of the stock awards and did not represent an expense to the Company.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Basic earnings per share is computed by dividing the net income available to common shareholders for the period by the weighted-average number of common shares outstanding during the period. Diluted earnings per share is computed by dividing the net income for the period by the weighted average number of potentially dilutive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was approximately 21,250 and -0- for the three months ended June 30, 2016 and 2015, respectively, and approximately 53,000 and 7,000 for the six months ended June 30, 2016 and 2015, respectively.</w:t>
      </w:r>
    </w:p>
    <w:p>
      <w:pPr>
        <w:spacing w:after="0" w:line="16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six months ended June 30, 2016 and 2015 (in thousands, except per share data):</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6"/>
          </w:tcPr>
          <w:p>
            <w:pPr>
              <w:ind w:left="14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3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2015</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1,403</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1,473</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2,903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720"/>
              <w:spacing w:after="0"/>
              <w:rPr>
                <w:sz w:val="20"/>
                <w:szCs w:val="20"/>
                <w:color w:val="auto"/>
              </w:rPr>
            </w:pPr>
            <w:r>
              <w:rPr>
                <w:rFonts w:ascii="Arial" w:cs="Arial" w:eastAsia="Arial" w:hAnsi="Arial"/>
                <w:sz w:val="18"/>
                <w:szCs w:val="18"/>
                <w:color w:val="auto"/>
              </w:rPr>
              <w:t>Weighted-average shares outstanding</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31,736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29,234</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31,701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28,469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6620" w:type="dxa"/>
            <w:vAlign w:val="bottom"/>
          </w:tcPr>
          <w:p>
            <w:pPr>
              <w:ind w:left="720"/>
              <w:spacing w:after="0"/>
              <w:rPr>
                <w:sz w:val="20"/>
                <w:szCs w:val="20"/>
                <w:color w:val="auto"/>
              </w:rPr>
            </w:pPr>
            <w:r>
              <w:rPr>
                <w:rFonts w:ascii="Arial" w:cs="Arial" w:eastAsia="Arial" w:hAnsi="Arial"/>
                <w:sz w:val="18"/>
                <w:szCs w:val="18"/>
                <w:color w:val="auto"/>
              </w:rPr>
              <w:t>Weighted-average diluted shares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32,071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29,617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32,021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June 30, 2016 and December 31, 2015, the fair value of marketable securities, which were all classified as available for sale, included the following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117"/>
              <w:spacing w:after="0"/>
              <w:rPr>
                <w:sz w:val="20"/>
                <w:szCs w:val="20"/>
                <w:color w:val="auto"/>
              </w:rPr>
            </w:pPr>
            <w:r>
              <w:rPr>
                <w:rFonts w:ascii="Arial" w:cs="Arial" w:eastAsia="Arial" w:hAnsi="Arial"/>
                <w:sz w:val="14"/>
                <w:szCs w:val="14"/>
                <w:color w:val="auto"/>
                <w:w w:val="90"/>
              </w:rPr>
              <w:t>June 30, 2016</w:t>
            </w: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0" w:type="dxa"/>
            <w:vAlign w:val="bottom"/>
          </w:tcPr>
          <w:p>
            <w:pPr>
              <w:spacing w:after="0"/>
              <w:rPr>
                <w:sz w:val="10"/>
                <w:szCs w:val="10"/>
                <w:color w:val="auto"/>
              </w:rPr>
            </w:pP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Adjusted Cost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w w:val="90"/>
              </w:rPr>
              <w:t>Losses</w:t>
            </w:r>
          </w:p>
        </w:tc>
        <w:tc>
          <w:tcPr>
            <w:tcW w:w="2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51,397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Government-sponsored enterprise debt securities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19,623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19,633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72,019</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4"/>
                <w:szCs w:val="14"/>
                <w:color w:val="auto"/>
                <w:w w:val="91"/>
              </w:rPr>
              <w:t>December 31, 2015</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gridSpan w:val="4"/>
          </w:tcPr>
          <w:p>
            <w:pPr>
              <w:spacing w:after="0" w:line="123" w:lineRule="exact"/>
              <w:rPr>
                <w:sz w:val="20"/>
                <w:szCs w:val="20"/>
                <w:color w:val="auto"/>
              </w:rPr>
            </w:pPr>
            <w:r>
              <w:rPr>
                <w:rFonts w:ascii="Arial" w:cs="Arial" w:eastAsia="Arial" w:hAnsi="Arial"/>
                <w:sz w:val="14"/>
                <w:szCs w:val="14"/>
                <w:color w:val="auto"/>
              </w:rPr>
              <w:t>Unrealized</w:t>
            </w:r>
          </w:p>
        </w:tc>
        <w:tc>
          <w:tcPr>
            <w:tcW w:w="960" w:type="dxa"/>
            <w:vAlign w:val="bottom"/>
            <w:gridSpan w:val="4"/>
          </w:tcPr>
          <w:p>
            <w:pPr>
              <w:spacing w:after="0" w:line="123" w:lineRule="exact"/>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Adjusted Cost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w w:val="85"/>
              </w:rPr>
              <w:t>Losses</w:t>
            </w:r>
          </w:p>
        </w:tc>
        <w:tc>
          <w:tcPr>
            <w:tcW w:w="2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66,046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65,976</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67,046</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jc w:val="right"/>
              <w:ind w:right="22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66,976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June 30, 2016, the Company does not consider any of its marketable securities to be other than temporarily impaired. During the six months ended June 30, 2016 and 2015,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HealthLine Systems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March 16, 2015, the Company acquired all of the membership interests of HealthLine Systems, LLC (“HLS”), a San Diego, California based company that specializes in credentialing, privileging, call center, and quality management solutions for the healthcare industry. The acquisition of HLS enables the Company to provide a comprehensive solution set for healthcare provider credentialing, privileging, enrollment, referral, onboarding, and analytics in support of HealthStream’s approach to talent management for healthcare organizations. The consideration paid for HLS consisted of approximately $90.3 million in cash (taking into account an estimated closing working capital adjustment and amounts due to the seller as of June 30, 2016). The Company incurred approximately $1.3 million in transaction costs associated with the acquisition, of which $965,000 were incurred during the three months ended March 31, 2015 and $329,000 were incurred during the year ended December 31, 2014. The transaction costs were recorded in other general and administrative expenses in the condensed consolidated statement of income for such periods. The results of operations for HLS have been included in the Company’s condensed consolidated financial statements from the date of acquisition, and are also included in the HealthStream Provider Solutions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A summary of the purchase price is as follows (in thousands):</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7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paid at closing</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$ 81,379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Consideration due to the seller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held in escrow</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Total consideration paid</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$ 90,309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assets acquired and liabilities assumed as of the date of acquisition (in thousands):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3,052</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Prepaid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43,798</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47,200</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(1,085)</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(5,979)</w:t>
            </w:r>
          </w:p>
        </w:tc>
      </w:tr>
      <w:tr>
        <w:trPr>
          <w:trHeight w:val="223"/>
        </w:trPr>
        <w:tc>
          <w:tcPr>
            <w:tcW w:w="7040" w:type="dxa"/>
            <w:vAlign w:val="bottom"/>
          </w:tcPr>
          <w:p>
            <w:pPr>
              <w:ind w:left="36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90,309</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excess of purchase price over the fair values of net tangible and intangible assets has been recorded as goodwill. The fair values of tangible and identifiable intangible assets, deferred tax assets, deferred revenue, and other liabilities are based on management’s estimates and assumptions. Included in the assets and liabilities assumed is an estimated indemnification asset of $300,000 and a contingent liability of $700,000, both of which are associated with tax liabilities. The contingent liability is measured based on management’s estimate of a range of probable outcomes. The goodwill balance is primarily attributed to the assembled workforce, additional market opportunities from offering HLS’s products, and expected synergies from integrating HLS with other products or other combined functional areas within the Company. During the three months ended March 31, 2016, the Company received notice of an indemnification claim from the former owners of HLS pursuant to the terms of the membership purchase agreement. The terms of such agreement require the Company to indemnify such owners for incremental taxes incurred as the result of the structure of the acquisition, which had favorable tax aspects to the Company. Although the amount of such claim has not been agreed to by the Company, the Company recorded a measurement period adjustment in relation to the claim that increased goodwill by approximately $2.2 million during the three months ended March 31, 2016. This additional goodwill will be deductible for U.S. income tax purposes when any amounts underlying the indemnification claim are paid. Accordingly, this measurement period adjustment has no effect on current or prior period earnings. The goodwill balance excluding such measurement period adjustment is also deductible for U.S. income tax purposes. The Company surpassed the one year measurement period as of the period ended March 31, 2016; therefore, in accordance with requisite accounting guidance, at such time that the amount of the indemnification claim is agreed to by the Company, the difference, if any, of the agreed to indemnification amount in comparison to the $2.2 million measurement period adjustment noted above will be reflected in net income, thus impacting the Company’s results of operations in the period of settlement. The net tangible assets include deferred revenue, which was adjusted down from a book value at the acquisition date of $15.0 million to an estimated fair value of $6.0 million. The $9.0 million write-down of deferred revenue will result in lower revenues than would have otherwise been recognized for such services.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and their estimated useful lives as of the acquisition date (in thousands):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Fair value</w:t>
            </w:r>
          </w:p>
        </w:tc>
        <w:tc>
          <w:tcPr>
            <w:tcW w:w="4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Useful life</w:t>
            </w: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$ 42,600</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Developed technology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3,700</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 years</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years</w:t>
            </w:r>
          </w:p>
        </w:tc>
      </w:tr>
      <w:tr>
        <w:trPr>
          <w:trHeight w:val="223"/>
        </w:trPr>
        <w:tc>
          <w:tcPr>
            <w:tcW w:w="6840" w:type="dxa"/>
            <w:vAlign w:val="bottom"/>
          </w:tcPr>
          <w:p>
            <w:pPr>
              <w:ind w:left="360"/>
              <w:spacing w:after="0"/>
              <w:rPr>
                <w:sz w:val="20"/>
                <w:szCs w:val="20"/>
                <w:color w:val="auto"/>
              </w:rPr>
            </w:pPr>
            <w:r>
              <w:rPr>
                <w:rFonts w:ascii="Arial" w:cs="Arial" w:eastAsia="Arial" w:hAnsi="Arial"/>
                <w:sz w:val="18"/>
                <w:szCs w:val="18"/>
                <w:color w:val="auto"/>
              </w:rPr>
              <w:t>Total intangible assets subject to amortization</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$ 47,200</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amounts of revenue and operating income (loss) of HLS included in the Company’s condensed consolidated statement of income from the date of acquisition of March 16, 2015 to the period ending June 30, 2015 are as follows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unaudited pro forma financial information summarizes the combined results of operations of the Company and HLS as though the companies were combined as of January 1, 2014 (in thousands, except per share data):</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ind w:left="8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1760" w:type="dxa"/>
            <w:vAlign w:val="bottom"/>
            <w:gridSpan w:val="6"/>
          </w:tcPr>
          <w:p>
            <w:pPr>
              <w:jc w:val="right"/>
              <w:ind w:right="4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2015</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color w:val="auto"/>
              </w:rPr>
              <w:t>2016</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55,231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54,604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110,265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w:t>
            </w: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adjustment for amortization of intangible assets, depreciation of property and equipment, fair value adjustments of acquired deferred revenue balances, and interest expense associated with borrowings under a revolving credit facility by the Company to partially fund the acquisition. The unaudited pro forma combined results of operations is for informational purposes only and is not indicative of what the Company’s results of operations would have been had the transaction occurred at the beginning of the period presented or to project the Company’s results of operations in any future period.</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unaudited pro forma financial information for the three and six months ended June 30, 2016 and 2015 combines the historical results of the Company and HLS for the three and six months ended June 30, 2016 and 2015, and the pro forma adjustments listed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 Combination</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June 30, 2016, the Company completed the acquisition of Performance Management Services, Inc. (“PMSI”), a Company based in Tustin, California focused on competency-based performance development for nurses, for $4.0 million in cash and up to an additional $500,000 of contingent consideration. The acquisition, including associated transaction costs, is not considered material to the Company’s financial statements. The Company accounted for the acquisition as a business combination and has allocated purchase consideration based on preliminary estimates of fair value. The Company expects to finalize estimates of fair value as soon as practicable, but not later than one year from the date of acquisition. The results of operations for PMSI are included in the Company’s condensed consolidated financial statements from the date of acquisition and are included in the HealthStream Workforce Solutions segment.</w:t>
      </w:r>
    </w:p>
    <w:p>
      <w:pPr>
        <w:sectPr>
          <w:pgSz w:w="11900" w:h="16838" w:orient="portrait"/>
          <w:cols w:equalWidth="0" w:num="1">
            <w:col w:w="11400"/>
          </w:cols>
          <w:pgMar w:left="240" w:top="459"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six months ended June 30, 2016 are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Workforce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Patient</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Provider</w:t>
            </w:r>
          </w:p>
        </w:tc>
        <w:tc>
          <w:tcPr>
            <w:tcW w:w="26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Experience</w:t>
            </w:r>
          </w:p>
        </w:tc>
        <w:tc>
          <w:tcPr>
            <w:tcW w:w="8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12,336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24,154</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$46,583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$83,073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business combinations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3,375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HealthLine Systems,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15,711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24,154</w:t>
            </w: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48,763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three months ended March 31, 2016, the Company recorded approximately $2.2 million of additional goodwill in relation to the March 2015 acquisition of HealthLine Systems, LLC. Such amount relates to the measurement period adjustment previously discussed under the above caption “</w:t>
      </w:r>
      <w:r>
        <w:rPr>
          <w:rFonts w:ascii="Arial" w:cs="Arial" w:eastAsia="Arial" w:hAnsi="Arial"/>
          <w:sz w:val="18"/>
          <w:szCs w:val="18"/>
          <w:i w:val="1"/>
          <w:iCs w:val="1"/>
          <w:color w:val="auto"/>
        </w:rPr>
        <w:t>HealthLine Systems.</w:t>
      </w:r>
      <w:r>
        <w:rPr>
          <w:rFonts w:ascii="Arial" w:cs="Arial" w:eastAsia="Arial" w:hAnsi="Arial"/>
          <w:sz w:val="18"/>
          <w:szCs w:val="18"/>
          <w:color w:val="auto"/>
        </w:rPr>
        <w:t>”</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240" w:top="125"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Company provides services to healthcare organizations and other members within the healthcare industry. The Company’s services are focused on the delivery of workforce development products and services (HealthStream Workforce Solutions), survey and research services (HealthStream Patient Experience Solutions), and provider credentialing, privileging, call center and enrollment products and services (HealthStream Provider Solutions).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three and six months ended June 30, 2016 and 2015 (in thousands).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9"/>
          </w:tcPr>
          <w:p>
            <w:pPr>
              <w:jc w:val="right"/>
              <w:ind w:right="200"/>
              <w:spacing w:after="0"/>
              <w:rPr>
                <w:sz w:val="20"/>
                <w:szCs w:val="20"/>
                <w:color w:val="auto"/>
              </w:rPr>
            </w:pPr>
            <w:r>
              <w:rPr>
                <w:rFonts w:ascii="Arial" w:cs="Arial" w:eastAsia="Arial" w:hAnsi="Arial"/>
                <w:sz w:val="14"/>
                <w:szCs w:val="14"/>
                <w:color w:val="auto"/>
                <w:w w:val="91"/>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8"/>
          </w:tcPr>
          <w:p>
            <w:pPr>
              <w:jc w:val="right"/>
              <w:ind w:right="4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7"/>
          </w:tcPr>
          <w:p>
            <w:pPr>
              <w:jc w:val="right"/>
              <w:ind w:right="580"/>
              <w:spacing w:after="0"/>
              <w:rPr>
                <w:sz w:val="20"/>
                <w:szCs w:val="20"/>
                <w:color w:val="auto"/>
              </w:rPr>
            </w:pPr>
            <w:r>
              <w:rPr>
                <w:rFonts w:ascii="Arial" w:cs="Arial" w:eastAsia="Arial" w:hAnsi="Arial"/>
                <w:sz w:val="14"/>
                <w:szCs w:val="14"/>
                <w:color w:val="auto"/>
              </w:rPr>
              <w:t>June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7"/>
          </w:tcPr>
          <w:p>
            <w:pPr>
              <w:jc w:val="right"/>
              <w:ind w:right="70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 net:</w:t>
            </w:r>
          </w:p>
        </w:tc>
        <w:tc>
          <w:tcPr>
            <w:tcW w:w="1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gridSpan w:val="3"/>
            <w:shd w:val="clear" w:color="auto" w:fill="CCEEFF"/>
          </w:tcPr>
          <w:p>
            <w:pPr>
              <w:jc w:val="right"/>
              <w:ind w:right="48"/>
              <w:spacing w:after="0"/>
              <w:rPr>
                <w:sz w:val="20"/>
                <w:szCs w:val="20"/>
                <w:color w:val="auto"/>
              </w:rPr>
            </w:pPr>
            <w:r>
              <w:rPr>
                <w:rFonts w:ascii="Arial" w:cs="Arial" w:eastAsia="Arial" w:hAnsi="Arial"/>
                <w:sz w:val="14"/>
                <w:szCs w:val="14"/>
                <w:color w:val="auto"/>
                <w:w w:val="89"/>
              </w:rPr>
              <w:t>2016</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2015</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2016</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2015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60" w:type="dxa"/>
            <w:vAlign w:val="bottom"/>
            <w:gridSpan w:val="2"/>
          </w:tcPr>
          <w:p>
            <w:pPr>
              <w:ind w:left="360"/>
              <w:spacing w:after="0"/>
              <w:rPr>
                <w:sz w:val="20"/>
                <w:szCs w:val="20"/>
                <w:color w:val="auto"/>
              </w:rPr>
            </w:pPr>
            <w:r>
              <w:rPr>
                <w:rFonts w:ascii="Arial" w:cs="Arial" w:eastAsia="Arial" w:hAnsi="Arial"/>
                <w:sz w:val="18"/>
                <w:szCs w:val="18"/>
                <w:color w:val="auto"/>
              </w:rPr>
              <w:t>Workforce</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w w:val="89"/>
              </w:rPr>
              <w:t>$40,157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$39,803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81,473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$77,396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8"/>
              </w:rPr>
              <w:t>8,968</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8,766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16,932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16,753</w:t>
            </w:r>
          </w:p>
        </w:tc>
        <w:tc>
          <w:tcPr>
            <w:tcW w:w="0" w:type="dxa"/>
            <w:vAlign w:val="bottom"/>
          </w:tcPr>
          <w:p>
            <w:pPr>
              <w:spacing w:after="0"/>
              <w:rPr>
                <w:sz w:val="1"/>
                <w:szCs w:val="1"/>
                <w:color w:val="auto"/>
              </w:rPr>
            </w:pPr>
          </w:p>
        </w:tc>
      </w:tr>
      <w:tr>
        <w:trPr>
          <w:trHeight w:val="216"/>
        </w:trPr>
        <w:tc>
          <w:tcPr>
            <w:tcW w:w="4560" w:type="dxa"/>
            <w:vAlign w:val="bottom"/>
            <w:gridSpan w:val="2"/>
          </w:tcPr>
          <w:p>
            <w:pPr>
              <w:ind w:left="360"/>
              <w:spacing w:after="0"/>
              <w:rPr>
                <w:sz w:val="20"/>
                <w:szCs w:val="20"/>
                <w:color w:val="auto"/>
              </w:rPr>
            </w:pPr>
            <w:r>
              <w:rPr>
                <w:rFonts w:ascii="Arial" w:cs="Arial" w:eastAsia="Arial" w:hAnsi="Arial"/>
                <w:sz w:val="18"/>
                <w:szCs w:val="18"/>
                <w:color w:val="auto"/>
              </w:rPr>
              <w:t>Provider</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5,668</w:t>
            </w: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3,576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10,466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2960" w:type="dxa"/>
            <w:vAlign w:val="bottom"/>
            <w:gridSpan w:val="8"/>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54,793</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52,145</w:t>
            </w:r>
          </w:p>
        </w:tc>
        <w:tc>
          <w:tcPr>
            <w:tcW w:w="11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108,871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99,301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80" w:type="dxa"/>
            <w:vAlign w:val="bottom"/>
            <w:gridSpan w:val="12"/>
          </w:tcPr>
          <w:p>
            <w:pPr>
              <w:jc w:val="center"/>
              <w:ind w:right="260"/>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8"/>
          </w:tcPr>
          <w:p>
            <w:pPr>
              <w:jc w:val="center"/>
              <w:ind w:right="360"/>
              <w:spacing w:after="0"/>
              <w:rPr>
                <w:sz w:val="20"/>
                <w:szCs w:val="20"/>
                <w:color w:val="auto"/>
              </w:rPr>
            </w:pPr>
            <w:r>
              <w:rPr>
                <w:rFonts w:ascii="Arial" w:cs="Arial" w:eastAsia="Arial" w:hAnsi="Arial"/>
                <w:sz w:val="14"/>
                <w:szCs w:val="14"/>
                <w:color w:val="auto"/>
                <w:w w:val="93"/>
              </w:rPr>
              <w:t>Six Months Ended</w:t>
            </w:r>
          </w:p>
        </w:tc>
        <w:tc>
          <w:tcPr>
            <w:tcW w:w="0" w:type="dxa"/>
            <w:vAlign w:val="bottom"/>
          </w:tcPr>
          <w:p>
            <w:pPr>
              <w:spacing w:after="0"/>
              <w:rPr>
                <w:sz w:val="1"/>
                <w:szCs w:val="1"/>
                <w:color w:val="auto"/>
              </w:rPr>
            </w:pPr>
          </w:p>
        </w:tc>
      </w:tr>
      <w:tr>
        <w:trPr>
          <w:trHeight w:val="167"/>
        </w:trPr>
        <w:tc>
          <w:tcPr>
            <w:tcW w:w="920" w:type="dxa"/>
            <w:vAlign w:val="bottom"/>
            <w:tcBorders>
              <w:bottom w:val="single" w:sz="8" w:color="CCEEFF"/>
            </w:tcBorders>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5"/>
              </w:rPr>
              <w:t>June 30,</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89"/>
              </w:rPr>
              <w:t>June 30,</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4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
              <w:spacing w:after="0"/>
              <w:rPr>
                <w:sz w:val="20"/>
                <w:szCs w:val="20"/>
                <w:color w:val="auto"/>
              </w:rPr>
            </w:pPr>
            <w:r>
              <w:rPr>
                <w:rFonts w:ascii="Arial" w:cs="Arial" w:eastAsia="Arial" w:hAnsi="Arial"/>
                <w:sz w:val="14"/>
                <w:szCs w:val="14"/>
                <w:color w:val="auto"/>
              </w:rPr>
              <w:t>2015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54"/>
              <w:spacing w:after="0"/>
              <w:rPr>
                <w:sz w:val="20"/>
                <w:szCs w:val="20"/>
                <w:color w:val="auto"/>
              </w:rPr>
            </w:pPr>
            <w:r>
              <w:rPr>
                <w:rFonts w:ascii="Arial" w:cs="Arial" w:eastAsia="Arial" w:hAnsi="Arial"/>
                <w:sz w:val="14"/>
                <w:szCs w:val="14"/>
                <w:color w:val="auto"/>
              </w:rPr>
              <w:t>2016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2015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60" w:type="dxa"/>
            <w:vAlign w:val="bottom"/>
            <w:gridSpan w:val="2"/>
          </w:tcPr>
          <w:p>
            <w:pPr>
              <w:ind w:left="360"/>
              <w:spacing w:after="0"/>
              <w:rPr>
                <w:sz w:val="20"/>
                <w:szCs w:val="20"/>
                <w:color w:val="auto"/>
              </w:rPr>
            </w:pPr>
            <w:r>
              <w:rPr>
                <w:rFonts w:ascii="Arial" w:cs="Arial" w:eastAsia="Arial" w:hAnsi="Arial"/>
                <w:sz w:val="18"/>
                <w:szCs w:val="18"/>
                <w:color w:val="auto"/>
              </w:rPr>
              <w:t>Workforce</w:t>
            </w:r>
          </w:p>
        </w:tc>
        <w:tc>
          <w:tcPr>
            <w:tcW w:w="1920" w:type="dxa"/>
            <w:vAlign w:val="bottom"/>
          </w:tcPr>
          <w:p>
            <w:pPr>
              <w:spacing w:after="0"/>
              <w:rPr>
                <w:sz w:val="18"/>
                <w:szCs w:val="18"/>
                <w:color w:val="auto"/>
              </w:rPr>
            </w:pPr>
          </w:p>
        </w:tc>
        <w:tc>
          <w:tcPr>
            <w:tcW w:w="5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89"/>
              </w:rPr>
              <w:t>$ 9,242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3"/>
              </w:rPr>
              <w:t>$ 8,654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1"/>
              </w:rPr>
              <w:t>$ 19,647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$ 19,404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2800" w:type="dxa"/>
            <w:vAlign w:val="bottom"/>
            <w:gridSpan w:val="7"/>
            <w:shd w:val="clear" w:color="auto" w:fill="CCEEFF"/>
          </w:tcPr>
          <w:p>
            <w:pPr>
              <w:jc w:val="right"/>
              <w:ind w:right="188"/>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360"/>
              <w:spacing w:after="0"/>
              <w:rPr>
                <w:sz w:val="20"/>
                <w:szCs w:val="20"/>
                <w:color w:val="auto"/>
              </w:rPr>
            </w:pPr>
            <w:r>
              <w:rPr>
                <w:rFonts w:ascii="Arial" w:cs="Arial" w:eastAsia="Arial" w:hAnsi="Arial"/>
                <w:sz w:val="18"/>
                <w:szCs w:val="18"/>
                <w:color w:val="auto"/>
              </w:rPr>
              <w:t>Provider</w:t>
            </w:r>
          </w:p>
        </w:tc>
        <w:tc>
          <w:tcPr>
            <w:tcW w:w="2500" w:type="dxa"/>
            <w:vAlign w:val="bottom"/>
            <w:gridSpan w:val="6"/>
          </w:tcPr>
          <w:p>
            <w:pPr>
              <w:jc w:val="right"/>
              <w:ind w:right="20"/>
              <w:spacing w:after="0"/>
              <w:rPr>
                <w:sz w:val="20"/>
                <w:szCs w:val="20"/>
                <w:color w:val="auto"/>
              </w:rPr>
            </w:pPr>
            <w:r>
              <w:rPr>
                <w:rFonts w:ascii="Arial" w:cs="Arial" w:eastAsia="Arial" w:hAnsi="Arial"/>
                <w:sz w:val="18"/>
                <w:szCs w:val="18"/>
                <w:color w:val="auto"/>
              </w:rPr>
              <w:t>445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2800" w:type="dxa"/>
            <w:vAlign w:val="bottom"/>
            <w:gridSpan w:val="7"/>
            <w:shd w:val="clear" w:color="auto" w:fill="CCEEFF"/>
          </w:tcPr>
          <w:p>
            <w:pPr>
              <w:jc w:val="right"/>
              <w:ind w:right="188"/>
              <w:spacing w:after="0"/>
              <w:rPr>
                <w:sz w:val="20"/>
                <w:szCs w:val="20"/>
                <w:color w:val="auto"/>
              </w:rPr>
            </w:pPr>
            <w:r>
              <w:rPr>
                <w:rFonts w:ascii="Arial" w:cs="Arial" w:eastAsia="Arial" w:hAnsi="Arial"/>
                <w:sz w:val="18"/>
                <w:szCs w:val="18"/>
                <w:color w:val="auto"/>
              </w:rPr>
              <w:t>(7,237)</w:t>
            </w:r>
          </w:p>
        </w:tc>
        <w:tc>
          <w:tcPr>
            <w:tcW w:w="1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(5,772)</w:t>
            </w:r>
          </w:p>
        </w:tc>
        <w:tc>
          <w:tcPr>
            <w:tcW w:w="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48"/>
              <w:spacing w:after="0"/>
              <w:rPr>
                <w:sz w:val="20"/>
                <w:szCs w:val="20"/>
                <w:color w:val="auto"/>
              </w:rPr>
            </w:pPr>
            <w:r>
              <w:rPr>
                <w:rFonts w:ascii="Arial" w:cs="Arial" w:eastAsia="Arial" w:hAnsi="Arial"/>
                <w:sz w:val="18"/>
                <w:szCs w:val="18"/>
                <w:color w:val="auto"/>
              </w:rPr>
              <w:t>(14,333)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(12,193)</w:t>
            </w:r>
          </w:p>
        </w:tc>
        <w:tc>
          <w:tcPr>
            <w:tcW w:w="0" w:type="dxa"/>
            <w:vAlign w:val="bottom"/>
          </w:tcPr>
          <w:p>
            <w:pPr>
              <w:spacing w:after="0"/>
              <w:rPr>
                <w:sz w:val="1"/>
                <w:szCs w:val="1"/>
                <w:color w:val="auto"/>
              </w:rPr>
            </w:pPr>
          </w:p>
        </w:tc>
      </w:tr>
      <w:tr>
        <w:trPr>
          <w:trHeight w:val="223"/>
        </w:trPr>
        <w:tc>
          <w:tcPr>
            <w:tcW w:w="4560" w:type="dxa"/>
            <w:vAlign w:val="bottom"/>
            <w:gridSpan w:val="2"/>
          </w:tcPr>
          <w:p>
            <w:pPr>
              <w:ind w:left="720"/>
              <w:spacing w:after="0"/>
              <w:rPr>
                <w:sz w:val="20"/>
                <w:szCs w:val="20"/>
                <w:color w:val="auto"/>
              </w:rPr>
            </w:pPr>
            <w:r>
              <w:rPr>
                <w:rFonts w:ascii="Arial" w:cs="Arial" w:eastAsia="Arial" w:hAnsi="Arial"/>
                <w:sz w:val="18"/>
                <w:szCs w:val="18"/>
                <w:color w:val="auto"/>
              </w:rPr>
              <w:t>Total operating income</w:t>
            </w:r>
          </w:p>
        </w:tc>
        <w:tc>
          <w:tcPr>
            <w:tcW w:w="1920" w:type="dxa"/>
            <w:vAlign w:val="bottom"/>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$ 2,316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$ 2,564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4,802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  7,354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ind w:left="920"/>
              <w:spacing w:after="0"/>
              <w:rPr>
                <w:sz w:val="20"/>
                <w:szCs w:val="20"/>
                <w:color w:val="auto"/>
              </w:rPr>
            </w:pPr>
            <w:r>
              <w:rPr>
                <w:rFonts w:ascii="Arial" w:cs="Arial" w:eastAsia="Arial" w:hAnsi="Arial"/>
                <w:sz w:val="18"/>
                <w:szCs w:val="18"/>
                <w:color w:val="auto"/>
              </w:rPr>
              <w:t>Segment assets *</w:t>
            </w: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6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11"/>
          </w:tcPr>
          <w:p>
            <w:pPr>
              <w:jc w:val="right"/>
              <w:ind w:right="700"/>
              <w:spacing w:after="0"/>
              <w:rPr>
                <w:sz w:val="20"/>
                <w:szCs w:val="20"/>
                <w:color w:val="auto"/>
              </w:rPr>
            </w:pPr>
            <w:r>
              <w:rPr>
                <w:rFonts w:ascii="Arial" w:cs="Arial" w:eastAsia="Arial" w:hAnsi="Arial"/>
                <w:sz w:val="14"/>
                <w:szCs w:val="14"/>
                <w:color w:val="auto"/>
                <w:w w:val="99"/>
              </w:rPr>
              <w:t>June 30, 2016</w:t>
            </w:r>
          </w:p>
        </w:tc>
        <w:tc>
          <w:tcPr>
            <w:tcW w:w="1380" w:type="dxa"/>
            <w:vAlign w:val="bottom"/>
            <w:gridSpan w:val="8"/>
          </w:tcPr>
          <w:p>
            <w:pPr>
              <w:spacing w:after="0"/>
              <w:rPr>
                <w:sz w:val="20"/>
                <w:szCs w:val="20"/>
                <w:color w:val="auto"/>
              </w:rPr>
            </w:pPr>
            <w:r>
              <w:rPr>
                <w:rFonts w:ascii="Arial" w:cs="Arial" w:eastAsia="Arial" w:hAnsi="Arial"/>
                <w:sz w:val="14"/>
                <w:szCs w:val="14"/>
                <w:color w:val="auto"/>
              </w:rPr>
              <w:t>December 31, 2015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Workforce</w:t>
            </w:r>
          </w:p>
        </w:tc>
        <w:tc>
          <w:tcPr>
            <w:tcW w:w="230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85,937</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82,375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Patient Experience</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37,245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34,902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w:t>
            </w: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101,251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100,948</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Unallocated</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152,750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161,344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377,183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379,569</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hanging="212"/>
        <w:spacing w:after="0" w:line="286" w:lineRule="auto"/>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maintains a Loan Agreement (the “Revolving Credit Facility”) with SunTrust Bank (“SunTrust”) in the aggregate principal amount of $50.0 million, which matures on November 24, 2017.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2017,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31"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June 30, 2016, the Company was in material compliance with all covenants. There were no balances outstanding on the Revolving Credit Facility as of or during the six months ended June 30, 2016. During the three months ended June 30, 2015, the Company repaid approximately $28.0 million of balances previously outstanding under the Revolving Credit Facility from proceeds received in the Company’s public offering of 3,869,750 shares which closed on May 28,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the three months ended June 30, 2015, the Company’s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common stock to over 600 employees, with a fair market value of approximately $1.5 million. Mr. Frist contributed 4,931 of the contributed shares noted above to take into account the estimated Company costs, such as administrative expenses and employer payroll taxes associated with the grants. (See Note 4 Stock Based Compensation).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July 25, 2016, the Company purchased 68% of the outstanding stock of Nursing Registry Consultant Corporation (“Nurse Competency”) for approximately $1.0 million in cash and up to an additional $75,000 in contingent consideration. The contingent consideration is subject to the achievement of certain performance milestones during the 24-month period following the closing. The Company held a 32% minority equity interest in Nurse Competency as of the period ended June 30, 2016 and accounted for such interest as an equity method investment. Nurse Competency is a wholly-owned subsidiary of the Company following such acquisition and its results of operations will be reflected in the HealthStream Workforce Solutions segment beginning on the noted date of acquisition. Nurse Competency provides SaaS-based clinical assessment and testing products to the healthcare industry.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8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2015, appearing in our Annual Report on Form 10-K that was filed with the Securities and Exchange Commission (“SEC”) on February 26, 2016 (the “2015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6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evaluating any forward-looking statement, you should specifically consider the information regarding forward-looking statements and the information set forth under the caption “Item 1A. Risk Factors” and other disclosures in our 2015 Form 10-K and the information regarding forward-looking statements and other disclosures in our earnings releases, and other filings with the Securities and Exchange Commission from time to time, as well as other cautionary statements contained elsewhere in this Quarterly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our current expectations.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HealthStream provides workforce, patient experience, and provider solutions for healthcare organizations—all designed to assess and develop the people that deliver patient care which, in turn, supports the improvement of business and clinical outcomes. Our workforce products are used by healthcare organizations to meet a broad range of their training, certification, competency assessment, performance appraisal, and development needs. Our patient experience products provide our customers information about patients’ experiences and how to improve them, workforce engagement, physician relations, and community perceptions of their services. Our provider products are used by healthcare organizations for their provider credentialing, privileging, call center, and enrollment needs. HealthStream’s customers include healthcare organizations, pharmaceutical and medical device companies, and other participants in the healthcare industry.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second quarter of 2016 include:</w:t>
      </w:r>
    </w:p>
    <w:p>
      <w:pPr>
        <w:spacing w:after="0" w:line="13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of $54.8 million in the second quarter of 2016, up 5% from $52.1 million in the second quarter of 2015</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of $2.3 million in the second quarter of 2016, down 10% from $2.6 million in the second quarter of 2015</w:t>
      </w:r>
    </w:p>
    <w:p>
      <w:pPr>
        <w:spacing w:after="0" w:line="9" w:lineRule="exact"/>
        <w:rPr>
          <w:rFonts w:ascii="Arial" w:cs="Arial" w:eastAsia="Arial" w:hAnsi="Arial"/>
          <w:sz w:val="18"/>
          <w:szCs w:val="18"/>
          <w:color w:val="auto"/>
        </w:rPr>
      </w:pPr>
    </w:p>
    <w:p>
      <w:pPr>
        <w:ind w:left="440" w:right="60" w:hanging="324"/>
        <w:spacing w:after="0" w:line="265"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of $1.4 million in the second quarter of 2016, down 5% from $1.5 million in the second quarter of 2015, and earnings per share (“EPS”) of $0.04 per share (diluted) in the second quarter of 2016, compared to $0.05 per share (diluted) in the second quarter of 2015</w:t>
      </w: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of $7.9 million in the second quarter of 2016, down 10% from $8.8 million in the second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5" w:lineRule="exact"/>
        <w:rPr>
          <w:sz w:val="20"/>
          <w:szCs w:val="20"/>
          <w:color w:val="auto"/>
        </w:rPr>
      </w:pPr>
    </w:p>
    <w:p>
      <w:pPr>
        <w:ind w:left="240" w:right="460" w:hanging="232"/>
        <w:spacing w:after="0" w:line="277" w:lineRule="auto"/>
        <w:tabs>
          <w:tab w:leader="none" w:pos="240" w:val="left"/>
        </w:tabs>
        <w:numPr>
          <w:ilvl w:val="0"/>
          <w:numId w:val="4"/>
        </w:numPr>
        <w:rPr>
          <w:rFonts w:ascii="Arial" w:cs="Arial" w:eastAsia="Arial" w:hAnsi="Arial"/>
          <w:sz w:val="15"/>
          <w:szCs w:val="15"/>
          <w:color w:val="auto"/>
        </w:rPr>
      </w:pPr>
      <w:r>
        <w:rPr>
          <w:rFonts w:ascii="Arial" w:cs="Arial" w:eastAsia="Arial" w:hAnsi="Arial"/>
          <w:sz w:val="18"/>
          <w:szCs w:val="18"/>
          <w:color w:val="auto"/>
        </w:rPr>
        <w:t>Adjusted EBITDA is a non-GAAP financial measure. A reconciliation of adjusted EBITDA to net income, and disclosure regarding why we believe Adjusted EBITDA provides useful information to investors is included later in this Quarterly Report.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7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2015 Form 10-K, which contains additional information regarding our accounting policies and other disclosures required by US GAAP. There have been no changes in our critical accounting policies and estimates from those reported in our 2015 Form 10-K. In addition, see Note 7 Business Combinations in this Quarterly Report on Form 10-Q for information regarding the goodwill measurement period adjustment recorded by the Company during the three months ended March 31, 2016 in connection with an outstanding tax indemnification claim under the HLS purchase agreement and the potential impact to the Company’s results of operations at such time that the claim is agreed upon in accordance with the purchase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2016 Compared to Three Months Ended June 30, 2015</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$2.7 million, or 5%, to $54.8 million for the three months ended June 30, 2016 from $52.1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2015. A comparison of revenues by business segment is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w w:val="92"/>
              </w:rPr>
              <w:t>Three Months Ended June 30,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00" w:type="dxa"/>
            <w:vAlign w:val="bottom"/>
          </w:tcPr>
          <w:p>
            <w:pPr>
              <w:spacing w:after="0"/>
              <w:rPr>
                <w:sz w:val="10"/>
                <w:szCs w:val="10"/>
                <w:color w:val="auto"/>
              </w:rPr>
            </w:pPr>
          </w:p>
        </w:tc>
        <w:tc>
          <w:tcPr>
            <w:tcW w:w="34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by Business Segment:</w:t>
            </w:r>
          </w:p>
        </w:tc>
        <w:tc>
          <w:tcPr>
            <w:tcW w:w="2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Workforce</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color w:val="auto"/>
              </w:rPr>
              <w:t>$40,157</w:t>
            </w:r>
          </w:p>
        </w:tc>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$39,803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8,968</w:t>
            </w: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8,766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Provider</w:t>
            </w:r>
          </w:p>
        </w:tc>
        <w:tc>
          <w:tcPr>
            <w:tcW w:w="28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5,668</w:t>
            </w:r>
          </w:p>
        </w:tc>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3,576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54,793</w:t>
            </w: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52,145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color w:val="auto"/>
              </w:rPr>
              <w:t>% of Revenues</w:t>
            </w:r>
          </w:p>
        </w:tc>
        <w:tc>
          <w:tcPr>
            <w:tcW w:w="418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w:t>
            </w:r>
          </w:p>
        </w:tc>
        <w:tc>
          <w:tcPr>
            <w:tcW w:w="4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73%</w:t>
            </w:r>
          </w:p>
        </w:tc>
        <w:tc>
          <w:tcPr>
            <w:tcW w:w="210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76%</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Patient Experience</w:t>
            </w:r>
          </w:p>
        </w:tc>
        <w:tc>
          <w:tcPr>
            <w:tcW w:w="418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2100" w:type="dxa"/>
            <w:vAlign w:val="bottom"/>
          </w:tcPr>
          <w:p>
            <w:pPr>
              <w:jc w:val="right"/>
              <w:ind w:right="1250"/>
              <w:spacing w:after="0"/>
              <w:rPr>
                <w:sz w:val="20"/>
                <w:szCs w:val="20"/>
                <w:color w:val="auto"/>
              </w:rPr>
            </w:pPr>
            <w:r>
              <w:rPr>
                <w:rFonts w:ascii="Arial" w:cs="Arial" w:eastAsia="Arial" w:hAnsi="Arial"/>
                <w:sz w:val="18"/>
                <w:szCs w:val="18"/>
                <w:color w:val="auto"/>
              </w:rPr>
              <w:t>17%</w:t>
            </w: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Provider</w:t>
            </w:r>
          </w:p>
        </w:tc>
        <w:tc>
          <w:tcPr>
            <w:tcW w:w="4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w:t>
            </w:r>
          </w:p>
        </w:tc>
        <w:tc>
          <w:tcPr>
            <w:tcW w:w="210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Revenues for HealthStream Workforce Solutions increased approximately $354,000, or 1%, over the second quarter of 2015. Revenues from our subscription-based workforce products increased approximately $530,000, or 1%, over the prior year second quarter. Revenues for the second quarter of 2016 were negatively impacted by a decline in ICD-10 readiness revenues. Revenues from ICD-10 readiness products declined by $4.6 million to $2.2 million in the second quarter of 2016 compared to $6.8 million in the prior year second quarter. The requirement mandated by CMS for healthcare organizations to transition to the ICD-10 coding system was effective in October 2015, and generated significant demand for our ICD-10 readiness training courseware from 2012 through 2015. However, as a result of the effectiveness of such mandate in October 2015, sales of that product have ceased and there will not be renewals of the specific ICD-10 readiness product. Accordingly, revenues and operating income contributions from this product will continue to significantly decline during 2016. In addition, revenues for the second quarter of 2016 were positively impacted by growth in our courseware subscriptions and our enterprise applications. Our Workforce Solutions annualized revenue per implemented subscriber metric was $35.70 per subscriber for the second quarter of 2016 compared to $35.35 per subscriber for the second quarter of 2015. Our implemented subscriber base decreased by less than one percent compared to the prior year second quarter to 4.34 million implemented subscribers at June 30, 2016 compared to 4.37 million implemented subscribers at June 30, 2015. Additionally, total subscribers increased by less than one percent over the prior year second quarter, with 4.51 million total subscribers at June 30, 2016 compared to 4.49 million total subscribers at June 30, 2015.</w:t>
      </w:r>
    </w:p>
    <w:p>
      <w:pPr>
        <w:sectPr>
          <w:pgSz w:w="11900" w:h="16838" w:orient="portrait"/>
          <w:cols w:equalWidth="0" w:num="1">
            <w:col w:w="11420"/>
          </w:cols>
          <w:pgMar w:left="240" w:top="459"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for HealthStream Patient Experience Solutions increased approximately $201,000, or 2%, over the second quarter of 2015. Revenues from Patient Insights™ surveys, our survey research product that generates recurring revenues, increased by $105,000, or 2%, over the prior year second quarter. Revenues from other products, including surveys conducted on annual or bi-annual cycles and consulting/coaching services, collectively increased by $96,000, or 14%, over the prior year second quarter.</w:t>
      </w:r>
    </w:p>
    <w:p>
      <w:pPr>
        <w:spacing w:after="0" w:line="18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Revenues for HealthStream Provider Solutions increased approximately $2.1 million, or 59%, over the second quarter of 2015. Revenues from the HLS acquisition, which was consummated on March 16, 2015, accounted for the majority of the increase in revenues during the second quarter of 2016.</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$190,000, or 1%, to $22.6 million for the three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2016 from $22.4 million for the three months ended June 30, 2015. Cost of revenues as a percentage of revenues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 of revenues for the three months ended June 30, 2016 compared to approximately 43% of revenues for the three months ended June 30, 2015. Cost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revenues for HealthStream Workforce Solutions increased approximately $70,000 to $15.6 million and approximated 39% of revenues for HealthStream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Workforce Solutions for both the three months ended June 30, 2016 and 2015, respectively. The increase in amount is primarily associated with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royalties paid by us resulting from growth in courseware subscription revenues, and increased hosting and personnel costs. These expense increases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lower stock based compensation. Cost of revenues for HealthStream Patient Experience Solutions decreased approximately $157,000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$5.7 million and approximated 64% and 67% of revenues for HealthStream Patient Experience Solutions for the three months ended June 30, 2016 and 2015,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decrease in both amount and as a percentage of revenues is primarily the result of lower stock based compensation, but was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increased personnel costs associated with growth in survey volumes. Cost of revenues for HealthStream Provider Solutions increased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$276,000, or 27%, to $1.3 million and approximated 23% and 29% of HealthStream Provider Solutions revenues for the three months ended June 30,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2015, respectively. The increase in amount is primarily the result of increased personnel expenses.</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$1.4 million, or 25%, to $7.2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2016 from $5.8 million for the three months ended June 30, 2015. Product development expenses as a percentage of revenues were approximately 13% and 11% of revenues for the three months ended June 30, 2016 and 2015, respectively.</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Product development expenses for HealthStream Workforce Solutions increased approximately $277,000 and approximated 13% and 12% of revenues for HealthStream Workforce Solutions for the three months ended June 30, 2016 and 2015, respectively. The increase in both amount and as a percentage of revenues resulted from additional personnel expenses associated with new product development initiatives for our subscription-based products, but was partially offset by lower stock based compensation. Product development expenses for HealthStream Patient Experience Solutions increased approximately $920,000 and approximated 15% and 4% of revenues for HealthStream Patient Experience Solutions for the three months ended June 30, 2016 and 2015. The increase in both amount and as a percentage of revenues resulted from additional personnel expenses associated with new product development initiatives. Product development expenses for HealthStream Provider Solutions increased approximately $233,000 and approximated 14% and 15% of revenues for HealthStream Provider Solutions for the three months ended June 30, 2016 and 2015, respectively. The increase in amount is primarily the result of increased personnel costs associated with new product development initiatives.</w:t>
      </w:r>
    </w:p>
    <w:p>
      <w:pPr>
        <w:spacing w:after="0" w:line="18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approximately $1.3 million, or 13%, to $9.0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2016 from $10.3 million for the three months ended June 30, 2015. Sales and marketing expenses were approximately 16% and 20% of revenues for the three months ended June 30, 2016 and 2015, respectively.</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Sales and marketing expenses for HealthStream Workforce Solutions decreased approximately $1.4 million and approximated 17% and 20% of revenues for HealthStream Workforce Solutions for the three months ended June 30, 2016 and 2015, respectively. The decrease in both amount and as a percentage of revenues is primarily due to lower expenses associated with our annual customer Summit and sales commissions. Our annual customer Summit was held during the second quarter of 2015, but will be held during the fourth quarter of 2016. Sales and marketing expenses for HealthStream Patient Experience Solutions decreased approximately $79,000, and approximated 12% and 13% of revenues for HealthStream Patient Experience Solutions for the three months ended June 30, 2016 and 2015, respectively. The decrease in both amount and as a percentage of revenues is due to lower personnel costs and stock based compensation. Sales and marketing expenses for HealthStream Provider Solutions increased by approximately $10,000, and approximated 18% and 29% of revenues for HealthStream Provider Solutions for the three months ended June 30, 2016 and 2015, respectively.</w:t>
      </w:r>
    </w:p>
    <w:p>
      <w:pPr>
        <w:spacing w:after="0" w:line="16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$1.7 million, or 26%, to $8.5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30, 2016 from $6.8 million for the three months ended June 30, 2015. Other general and administrative expenses as a percentage of revenues were approximately 16% and 13% of revenues for the three months ended June 30, 2016 and 2015, respectively.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Other general and administrative expenses for HealthStream Workforce Solutions increased approximately $455,000 over the prior year second quarter as the result of increased technology infrastructure investments. Other general and administrative expenses for HealthStream Patient Experience Solutions increased approximately $197,000 over the prior year second quarter due to additional personnel and facility costs. Other general and administrative expenses for HealthStream Provider Solutions increased approximately $215,000 over the prior year second quarter due to higher facility costs and stock based compensation. The unallocated corporate portion of other general and administrative expenses increased approximately $912,000 over the prior year second quarter. During the second quarter of 2016, we incurred approximately $300,000 of expenses associated with the ongoing evaluation of business development opportunities, including the acquisition of Performance Management Services, Inc. In addition, the second quarter of 2016 included approximately $300,000 of expenses associated with the implementation of a new financial systems platform, which was substantially completed during the second quarter of 2016.</w:t>
      </w:r>
    </w:p>
    <w:p>
      <w:pPr>
        <w:spacing w:after="0" w:line="166"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$825,000, or 19%, to $5.1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from $4.3 million for the three months ended June 30, 2015. The increase primarily resulted from amortization of capitalized software development and depreciation expense associated with capital expenditures.</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was income of approximately $109,000 for the three months ended June 30, 2016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$44,000 for the three months ended June 30, 2015. The increase is primarily associated with interest income from investments in marketable securities and lower interest expense.</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approximately $1.0 million for both the three months ended June 30, 2016 and</w:t>
      </w:r>
      <w:r>
        <w:rPr>
          <w:rFonts w:ascii="Arial" w:cs="Arial" w:eastAsia="Arial" w:hAnsi="Arial"/>
          <w:sz w:val="16"/>
          <w:szCs w:val="16"/>
          <w:i w:val="1"/>
          <w:iCs w:val="1"/>
          <w:color w:val="auto"/>
        </w:rPr>
        <w:t xml:space="preserve"> </w:t>
      </w:r>
      <w:r>
        <w:rPr>
          <w:rFonts w:ascii="Arial" w:cs="Arial" w:eastAsia="Arial" w:hAnsi="Arial"/>
          <w:sz w:val="16"/>
          <w:szCs w:val="16"/>
          <w:color w:val="auto"/>
        </w:rPr>
        <w:t>2015, respectively. The Company’s effective tax rate was approximately 42% for both the three months ended June 30, 2016 and 2015, respectively.</w:t>
      </w:r>
    </w:p>
    <w:p>
      <w:pPr>
        <w:spacing w:after="0" w:line="12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decreased approximately $70,000, or 5%, to $1.4 million for the three months ended June 30, 2016 from $1.5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2015. Earnings per diluted share were $0.04 and $0.05 per share for the three months ended June 30, 2016 and 2015, respectively.</w:t>
      </w:r>
    </w:p>
    <w:p>
      <w:pPr>
        <w:spacing w:after="0" w:line="12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decreased approximately 10% to approximately $7.9 million for the three months ended June 30, 2016 compared to $8.8 million for the three months ended June 30, 2015. This decrease resulted from the factors mentioned above. See Reconciliation of Non-GAAP Financial Measures below for our reconciliation of this calculation to measures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2016 Compared to Six Months Ended June 30, 2015</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$9.6 million, or 10%, to $108.9 million for the six months ended June 30, 2016 from $99.3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2015. A comparison of revenues by business segment is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Six Months Ended June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0"/>
                <w:szCs w:val="10"/>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by Business Segment: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Workforce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81,474</w:t>
            </w: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$77,396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16,931</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16,753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Provider</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10,466</w:t>
            </w: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5,152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108,871</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99,301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color w:val="auto"/>
              </w:rPr>
              <w:t>% of Revenues</w:t>
            </w:r>
          </w:p>
        </w:tc>
        <w:tc>
          <w:tcPr>
            <w:tcW w:w="418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w:t>
            </w:r>
          </w:p>
        </w:tc>
        <w:tc>
          <w:tcPr>
            <w:tcW w:w="4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75%</w:t>
            </w:r>
          </w:p>
        </w:tc>
        <w:tc>
          <w:tcPr>
            <w:tcW w:w="210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78%</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Patient Experience</w:t>
            </w:r>
          </w:p>
        </w:tc>
        <w:tc>
          <w:tcPr>
            <w:tcW w:w="418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2100" w:type="dxa"/>
            <w:vAlign w:val="bottom"/>
          </w:tcPr>
          <w:p>
            <w:pPr>
              <w:jc w:val="right"/>
              <w:ind w:right="1250"/>
              <w:spacing w:after="0"/>
              <w:rPr>
                <w:sz w:val="20"/>
                <w:szCs w:val="20"/>
                <w:color w:val="auto"/>
              </w:rPr>
            </w:pPr>
            <w:r>
              <w:rPr>
                <w:rFonts w:ascii="Arial" w:cs="Arial" w:eastAsia="Arial" w:hAnsi="Arial"/>
                <w:sz w:val="18"/>
                <w:szCs w:val="18"/>
                <w:color w:val="auto"/>
              </w:rPr>
              <w:t>17%</w:t>
            </w: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Provider</w:t>
            </w:r>
          </w:p>
        </w:tc>
        <w:tc>
          <w:tcPr>
            <w:tcW w:w="4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w:t>
            </w:r>
          </w:p>
        </w:tc>
        <w:tc>
          <w:tcPr>
            <w:tcW w:w="210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Revenues for HealthStream Workforce Solutions, which are primarily subscription-based, increased approximately $4.1 million, or 5%, over the first six months of 2015. Revenues in 2016 were positively influenced by growth in courseware subscriptions and our enterprise applications, but were partially offset by an expected decline in ICD-10 readiness revenues. Revenues from ICD-10 readiness products declined by $7.8 million to $6.1 million in the first six months of 2016 compared to $13.9 million in the first six months of 2015.</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for HealthStream Patient Experience Solutions increased approximately $179,000, or 1%, over the first six months of 2015. Revenues from Patient Insights™ surveys, our survey research product that generates recurring revenues, increased by approximately $357,000, or 2%, over the first six months of 2015. Revenues from other products, including surveys conducted on annual or bi-annual cycles and consulting/coaching services, collectively decreased by $178,000 compared to the first six months of 2015 due to fewer engagements.</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Revenues for HealthStream Provider Solutions increased approximately $5.3 million, or 103%, over the first six months of 2015. The increase resulted primarily from the HLS acquisition, which was consummated on March 16, 2015.</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$2.9 million, or 7%, to $45.5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2016 from $42.6 million for the six months ended June 30, 2015. Cost of revenues as a percentage of revenues was approximately 42% of revenues for the six months ended June 30, 2016 compared to approximately 43% of revenues for the six months ended June 30, 2015. Cost of revenues for HealthStream Workforce Solutions increased approximately $1.8 million to $31.9 million and approximated 39% of revenues for HealthStream Workforce Solutions for both the six months ended June 30, 2016 and 2015, respectively. The increase in amount is primarily associated with increased royalties paid by us resulting from growth in courseware subscription revenues. Cost of revenues for HealthStream Patient Experience Solutions increased approximately $60,000 to $11.2 million and approximated 66% and 67% of revenues for HealthStream Patient Experience Solutions for the six months ended June 30, 2016 and 2015, respectively. Cost of revenues for HealthStream Provider Solutions increased approximately $1.1 million, or 79%, to $2.5 million and approximated 23% and 27% of HealthStream Provider Solutions revenues for the six months ended June 30, 2016 and 2015, respectively. The increase in amount of revenue is primarily the result of the HLS acquisition.</w:t>
      </w:r>
    </w:p>
    <w:p>
      <w:pPr>
        <w:spacing w:after="0" w:line="17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$3.8 million, or 36%, to $14.3 million for the six months ended June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from $10.5 million for the six months ended June 30, 2015. Product development expenses as a percentage of revenues were approximately 13% and 11% of revenues for the six months ended June 30, 2016 and 2015, respectively.</w:t>
      </w:r>
    </w:p>
    <w:p>
      <w:pPr>
        <w:spacing w:after="0" w:line="18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Product development expenses for HealthStream Workforce Solutions increased approximately $986,000 and approximated 12% of revenues for HealthStream Workforce Solutions for both the six months ended June 30, 2016 and 2015, respectively. The increase in amount is primarily due to additional personnel expenses associated with new product development initiatives for our subscription-based products. Product development expenses for HealthStream Patient Experience Solutions increased approximately $1.9 million and approximated 15% and 4% of revenues for HealthStream Patient Experience Solutions for the six months ended June 30, 2016 and 2015, respectively. The increase in both amount and as a percentage of revenues is primarily due to additional personnel expenses associated with new product development initiatives. Product development expenses for HealthStream Provider Solutions increased approximately $924,000 and approximated 16% and 15% of revenues for HealthStream Provider Solutions for the six months ended June 30, 2016 and 2015, respectively. The increase in amount is primarily associated with the HLS acquisition.</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approximately $117,000, or 1%, to $17.6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2016 from $17.7 million for the six months ended June 30, 2015. Sales and marketing expenses were approximately 16% and 18% of revenues for the six months ended June 30, 2016 and 2015,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expenses for HealthStream Workforce Solutions decreased approximately $583,000 and approximated 16% and 18% of revenues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HealthStream Workforce Solutions for the six months ended June 30, 2016 and 2015, respectively. The decrease is primarily due to a reduction of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our annual customer Summit, which was held during the second quarter of 2015, but will be held during the fourth quarter of 2016. Sales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marketing expenses for HealthStream Patient Experience Solutions decreased approximately $374,000, and approximated 12% and 14% of revenues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HealthStream Patient Experience Solutions for the six months ended June 30, 2016 and 2015, respectively. The decrease in amount and as a percentage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is primarily due to a decrease in personnel costs. Sales and marketing expenses for HealthStream Provider Solutions increased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$565,000, and approximated 19% and 28% of revenues for HealthStream Provider Solutions for the six months ended June 30, 2016 and 2015,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amount is primarily associated with the HLS acquisition.</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$2.8 million, or 21%, to $16.5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2016 from $13.7 million for the six months ended June 30, 2015. Other general and administrative expenses as a percentage of revenues were approximately 15% and 14% of revenues for the six months ended June 30, 2016 and 2015, respectively.</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Other general and administrative expenses for HealthStream Workforce Solutions increased approximately $788,000 over the first six months of 2015, primarily as the result of increased technology infrastructure investments. Other general and administrative expenses for HealthStream Patient Experience Solutions increased approximately $262,000 over the first six months of 2016 primarily due to increased facilities costs and personnel costs. Other general and administrative expenses for HealthStream Provider Solutions increased approximately $811,000 over the first six months of 2015 primarily associated with the HLS acquisition. The unallocated corporate portion of other general and administrative expenses increased approximately $957,000 over the first six months of 2015, of which approximately $600,000 of the increase was associated with the implementation of the new financial systems platform, which was substantially completed during the second quarter.</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$2.7 million, or 36%, to $10.2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from $7.5 million for the six months ended June 30, 2015. The increase primarily resulted from amortization of capitalized software development, amortization of intangible assets from acquisitions (including amortization of software acquired for resale), and depreciation expense associated with capital expenditures.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was income of approximately $127,000 for the six months ended June 30, 2016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$35,000 for the six months ended June 30, 2015. The increase is primarily associated with interest income from investments in marketable securities and lower interest expense.</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459" w:right="2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$2.0 million for the six months ended June 30, 2016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$3.1 million for the six months ended June 30, 2015. The Company’s effective tax rate was approximately 41% for the six months ended June 30, 2016 compared to approximately 43% for the six months ended June 30, 2015. The reduction in the effective tax rate is primarily associated with research and development tax credits.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approximately $1.3 million, or 31%, to $2.9 million for the six months ended June 30, 2016 compared to $4.2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2015. Earnings per diluted share were $0.09 per share and $0.15 per share for the six months ended June 30, 2016 and 2015, respectively.</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decreased approximately 7% to approximately $15.9 million for the six months ended June 30, 2016 compared to $17.2 million for the six months ended June 30, 2015. This decrease resulted from the factors mentioned above. See Reconciliation of Non-GAAP Financial Measures below for our reconciliation of this calculation to measures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order to better assess the Company’s financial results, management believes that adjusted EBITDA is an appropriate measure for evaluating the operating performance of the Company and provides useful information to investors because adjusted EBITDA reflects net income adjusted for certain non-cash and non-operating items. We believe that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recent years, including the March 2015 acquisition of HLS, the Company has acquired businesses whose net tangible assets include deferred revenue. In accordance with GAAP reporting requirements, following the completion of any such acquisition, the Company may record a write down of deferred revenue to fair value as defined in GAAP. If the Company is required to record a write-down of deferred revenue, it may result in lower recognized revenue, operating income and net income in subsequent periods.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therewith, this report presents below non-GAAP operating income and non-GAAP net income, which in each such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Both on a quarterly and year-to-date basis, the revenue for the acquired business is deferred and typically recognized over a one-to-two year period following the completion of any particular acquisition, so our GAAP operating income and net income for this one-to-two year period will not reflect the full amount that would have been reported if the acquired deferred revenue was not written down to fair value. A reconciliation of these non-GAAP financial measures to the corresponding GAAP measures is set forth below.</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4"/>
                <w:szCs w:val="14"/>
                <w:color w:val="auto"/>
                <w:w w:val="97"/>
              </w:rPr>
              <w:t>Three Months Ended</w:t>
            </w:r>
          </w:p>
        </w:tc>
        <w:tc>
          <w:tcPr>
            <w:tcW w:w="100" w:type="dxa"/>
            <w:vAlign w:val="bottom"/>
          </w:tcPr>
          <w:p>
            <w:pPr>
              <w:spacing w:after="0"/>
              <w:rPr>
                <w:sz w:val="14"/>
                <w:szCs w:val="14"/>
                <w:color w:val="auto"/>
              </w:rPr>
            </w:pPr>
          </w:p>
        </w:tc>
        <w:tc>
          <w:tcPr>
            <w:tcW w:w="1520" w:type="dxa"/>
            <w:vAlign w:val="bottom"/>
            <w:gridSpan w:val="6"/>
          </w:tcPr>
          <w:p>
            <w:pPr>
              <w:jc w:val="right"/>
              <w:ind w:right="3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00" w:type="dxa"/>
            <w:vAlign w:val="bottom"/>
            <w:gridSpan w:val="4"/>
          </w:tcPr>
          <w:p>
            <w:pPr>
              <w:jc w:val="right"/>
              <w:ind w:right="780"/>
              <w:spacing w:after="0"/>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Interest income</w:t>
            </w:r>
          </w:p>
        </w:tc>
        <w:tc>
          <w:tcPr>
            <w:tcW w:w="2700" w:type="dxa"/>
            <w:vAlign w:val="bottom"/>
            <w:gridSpan w:val="3"/>
          </w:tcPr>
          <w:p>
            <w:pPr>
              <w:jc w:val="right"/>
              <w:ind w:right="260"/>
              <w:spacing w:after="0"/>
              <w:rPr>
                <w:sz w:val="20"/>
                <w:szCs w:val="20"/>
                <w:color w:val="auto"/>
              </w:rPr>
            </w:pPr>
            <w:r>
              <w:rPr>
                <w:rFonts w:ascii="Arial" w:cs="Arial" w:eastAsia="Arial" w:hAnsi="Arial"/>
                <w:sz w:val="18"/>
                <w:szCs w:val="18"/>
                <w:color w:val="auto"/>
              </w:rPr>
              <w:t>(167)</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Income tax provision</w:t>
            </w:r>
          </w:p>
        </w:tc>
        <w:tc>
          <w:tcPr>
            <w:tcW w:w="2700" w:type="dxa"/>
            <w:vAlign w:val="bottom"/>
            <w:gridSpan w:val="3"/>
          </w:tcPr>
          <w:p>
            <w:pPr>
              <w:jc w:val="right"/>
              <w:ind w:right="320"/>
              <w:spacing w:after="0"/>
              <w:rPr>
                <w:sz w:val="20"/>
                <w:szCs w:val="20"/>
                <w:color w:val="auto"/>
              </w:rPr>
            </w:pPr>
            <w:r>
              <w:rPr>
                <w:rFonts w:ascii="Arial" w:cs="Arial" w:eastAsia="Arial" w:hAnsi="Arial"/>
                <w:sz w:val="18"/>
                <w:szCs w:val="18"/>
                <w:color w:val="auto"/>
              </w:rPr>
              <w:t>1,022</w:t>
            </w:r>
          </w:p>
        </w:tc>
        <w:tc>
          <w:tcPr>
            <w:tcW w:w="540" w:type="dxa"/>
            <w:vAlign w:val="bottom"/>
          </w:tcPr>
          <w:p>
            <w:pPr>
              <w:jc w:val="right"/>
              <w:spacing w:after="0"/>
              <w:rPr>
                <w:sz w:val="20"/>
                <w:szCs w:val="20"/>
                <w:color w:val="auto"/>
              </w:rPr>
            </w:pPr>
            <w:r>
              <w:rPr>
                <w:rFonts w:ascii="Arial" w:cs="Arial" w:eastAsia="Arial" w:hAnsi="Arial"/>
                <w:sz w:val="18"/>
                <w:szCs w:val="18"/>
                <w:color w:val="auto"/>
              </w:rPr>
              <w:t>1,047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2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w:t>
            </w: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10,221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7,869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$ 8,753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15,940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17,203</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GAAP operating income</w:t>
            </w:r>
          </w:p>
        </w:tc>
        <w:tc>
          <w:tcPr>
            <w:tcW w:w="1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$2,316</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$ 2,564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2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8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2,755</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$ 5,227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2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Adjustment for deferred revenue write-down, net of tax</w:t>
            </w:r>
          </w:p>
        </w:tc>
        <w:tc>
          <w:tcPr>
            <w:tcW w:w="18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$ 3,028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Net cash provided by operating activities was approximately $285,000 and $19.1 million during the six months ended June 30, 2016 and 2015, respectively. The decrease in cash flows from operating activities was significantly impacted by increases in accounts receivable, resulting from slower collections during the second quarter of 2016, as well as reductions in deferred revenue balances compared to the prior year period. Slower collections from customers was partially due to the implementation of a new financial systems platform during the second quarter of 2016. The number of days sales outstanding (“DSO”) was 62 days for the second quarter of 2016 compared to 60 days for the second quarter of 2015.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6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cash used in investing activities was approximately $15.3 million and $143.5 million for the six months ended June 30, 2016 and 2015, respectively. During 2016, the Company utilized $3.1 million (net of cash acquired) for acquisitions, purchased $71.2 million of marketable securities, purchased $3.2 million of property and equipment, and spent $4.3 million for capitalized software development. These uses of cash were partially offset by maturities of marketable securities of $65.6 million and the sale of long-lived assets of $975,000. During 2015, the Company utilized $88.1 million (net of cash acquired) for acquisitions, purchased $76.8 million of marketable securities, purchased $4.1 million of property and equipment, spent $3.6 million for capitalized software development, and made $1.0 million in non-marketable equity investments. These uses of cash were partially offset by maturities of marketable securities of $29.9 million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Cash used in financing activities was approximately $208,000 for the six months ended June 30, 2016 compared to cash provided by financing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$96.9 million for the six months ended June 30, 2015, respectively. The sole source of cash from financing activities for 2016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$94,000 of proceeds from the exercise of employee stock options. The primary use of cash during 2016 related to payments of payroll taxes from stock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arrangements of $302,000. The primary sources of cash from financing activities for 2015 resulted from $98.0 million in proceeds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of 3.9 million shares of our common stock in our underwritten public offering that was completed on May 28, 2015, and $277,000 of proceeds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exercise of employee stock options. The primary uses of cash during 2015 related to payments of payroll taxes from stock 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arrangements of $748,000, and earn-outs for prior business combinations of $628,000.</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balance sheet reflects positive working capital of $122.8 million at June 30, 2016 compared to $120.4 million at December 31, 2015. The Company’s primary source of liquidity is $138.8 million of cash and cash equivalents and marketable securities. The Company also has a $50.0 million revolving credit facility, all of which was available for additional borrowing at June 30, 2016.</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ten years, we have utilized our federal and state net operating loss carryforwards to offset taxable income, therefore reducing our tax liabilities. The federal net operating loss carryforwards have been fully utilized as of December 31, 2015; therefore, actual income tax payments are expected to increase significantly in the future and will more closely approximate the provision for income taxes.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growth strategy includes acquiring businesses that provide complementary products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values at the time of borrowing. As of June 30, 2016, we were in material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is exposed to market risk from changes in interest rates. We do not have any foreign currency exchange rate risk or commodity price risk. There were no balances outstanding on the Revolving Credit Facility as of or during the six months ended June 30, 2016. We are subject to interest rate market risk associated with any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$138.8 million at June 30, 2016. Assuming a hypothetical 10% decrease in interest rates for invested balances, interest income from cash and investments would decrease on an annualized basis by approximately $91,000.</w:t>
      </w:r>
    </w:p>
    <w:p>
      <w:pPr>
        <w:spacing w:after="0" w:line="16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2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began using a new enterprise accounting system in the second quarter of 2016. The implementation of the new accounting system required the Company to modify various internal controls and processes. There have been no other changes in the Company’s internal control over financial reporting that occurred during the period covered by this Quarterly Report that have materially affected, or are likely to materially effect,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On February 16, 2016, the Company announced a share repurchase program authorized by the Company’s Board of Directors under which the Company may purchase up to $25,000,000 of its common stock. The share repurchase program will terminate on the earlier of December 31, 2016 or when the maximum dollar amount has been expended. The table below sets forth activity under the stock repurchase plan for the three months ended June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(c)</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Maximum number (or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(a)</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9"/>
              </w:rPr>
              <w:t>(b)</w:t>
            </w:r>
          </w:p>
        </w:tc>
        <w:tc>
          <w:tcPr>
            <w:tcW w:w="7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Total number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 units)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value) of shares (or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Total number of</w:t>
            </w:r>
          </w:p>
        </w:tc>
        <w:tc>
          <w:tcPr>
            <w:tcW w:w="7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 price</w:t>
            </w:r>
          </w:p>
        </w:tc>
        <w:tc>
          <w:tcPr>
            <w:tcW w:w="7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78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units) that may yet be</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shares (or units)</w:t>
            </w:r>
          </w:p>
        </w:tc>
        <w:tc>
          <w:tcPr>
            <w:tcW w:w="7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paid per share</w:t>
            </w:r>
          </w:p>
        </w:tc>
        <w:tc>
          <w:tcPr>
            <w:tcW w:w="7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78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2"/>
                <w:szCs w:val="12"/>
                <w:b w:val="1"/>
                <w:bCs w:val="1"/>
                <w:color w:val="auto"/>
              </w:rPr>
              <w:t>(1)</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(or unit)</w:t>
            </w:r>
          </w:p>
        </w:tc>
        <w:tc>
          <w:tcPr>
            <w:tcW w:w="7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plans or programs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plans or programs</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Month</w:t>
            </w:r>
          </w:p>
        </w:tc>
        <w:tc>
          <w:tcPr>
            <w:tcW w:w="40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 (April 1 – April 30)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Month #2 (May 1 – May 31)</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Month #3 (June 1 – June 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35" w:lineRule="exact"/>
        <w:rPr>
          <w:sz w:val="20"/>
          <w:szCs w:val="20"/>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5"/>
          <w:szCs w:val="15"/>
          <w:color w:val="auto"/>
        </w:rPr>
        <w:t>(1)</w:t>
      </w:r>
      <w:r>
        <w:rPr>
          <w:rFonts w:ascii="Arial" w:cs="Arial" w:eastAsia="Arial" w:hAnsi="Arial"/>
          <w:sz w:val="18"/>
          <w:szCs w:val="18"/>
          <w:color w:val="auto"/>
        </w:rPr>
        <w:t xml:space="preserve"> ^ – HealthStream, Inc. 2016 Omnibus Incentive Plan</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9" w:lineRule="exact"/>
        <w:rPr>
          <w:rFonts w:ascii="Arial" w:cs="Arial" w:eastAsia="Arial" w:hAnsi="Arial"/>
          <w:sz w:val="18"/>
          <w:szCs w:val="18"/>
          <w:color w:val="auto"/>
        </w:rPr>
      </w:pPr>
    </w:p>
    <w:p>
      <w:pPr>
        <w:ind w:left="900" w:right="1280"/>
        <w:spacing w:after="0" w:line="250" w:lineRule="auto"/>
        <w:rPr>
          <w:rFonts w:ascii="Arial" w:cs="Arial" w:eastAsia="Arial" w:hAnsi="Arial"/>
          <w:sz w:val="18"/>
          <w:szCs w:val="18"/>
          <w:color w:val="auto"/>
        </w:rPr>
      </w:pPr>
      <w:r>
        <w:rPr>
          <w:rFonts w:ascii="Arial" w:cs="Arial" w:eastAsia="Arial" w:hAnsi="Arial"/>
          <w:sz w:val="18"/>
          <w:szCs w:val="18"/>
          <w:color w:val="auto"/>
        </w:rPr>
        <w:t>32.2 – Certification Pursuant to 18 U.S.C. Section 1350, as Adopted Pursuant to Section 906 of the Sarbanes-Oxley Act of 2002 101.1 INS – XBRL Instance Document</w:t>
      </w:r>
    </w:p>
    <w:p>
      <w:pPr>
        <w:ind w:left="900"/>
        <w:spacing w:after="0"/>
        <w:rPr>
          <w:rFonts w:ascii="Arial" w:cs="Arial" w:eastAsia="Arial" w:hAnsi="Arial"/>
          <w:sz w:val="18"/>
          <w:szCs w:val="18"/>
          <w:color w:val="auto"/>
        </w:rPr>
      </w:pPr>
      <w:r>
        <w:rPr>
          <w:rFonts w:ascii="Arial" w:cs="Arial" w:eastAsia="Arial" w:hAnsi="Arial"/>
          <w:sz w:val="18"/>
          <w:szCs w:val="18"/>
          <w:color w:val="auto"/>
        </w:rPr>
        <w:t>101.1 SCH – XBRL Taxonomy Extension Schema</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101.1 CAL – XBRL Taxonomy Extension Calculation Linkbase</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101.1 DEF – XBRL Taxonomy Extension Definition Linkbase</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101.1 LAB – XBRL Taxonomy Extension Label Linkbase</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101.1 PRE – XBRL Taxonomy Extension Presentation Linkbase</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Incorporated by reference from exhibit 10.1 filed on our Current Report on Form 8-K dated May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8060" w:type="dxa"/>
            <w:vAlign w:val="bottom"/>
            <w:gridSpan w:val="2"/>
          </w:tcPr>
          <w:p>
            <w:pPr>
              <w:ind w:left="2540"/>
              <w:spacing w:after="0"/>
              <w:rPr>
                <w:sz w:val="20"/>
                <w:szCs w:val="20"/>
                <w:color w:val="auto"/>
              </w:rPr>
            </w:pPr>
            <w:r>
              <w:rPr>
                <w:rFonts w:ascii="Arial" w:cs="Arial" w:eastAsia="Arial" w:hAnsi="Arial"/>
                <w:sz w:val="18"/>
                <w:szCs w:val="18"/>
                <w:color w:val="auto"/>
              </w:rPr>
              <w:t>HEALTHSTREAM, INC.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August 1, 2016</w:t>
            </w:r>
          </w:p>
        </w:tc>
        <w:tc>
          <w:tcPr>
            <w:tcW w:w="8060" w:type="dxa"/>
            <w:vAlign w:val="bottom"/>
            <w:gridSpan w:val="2"/>
          </w:tcPr>
          <w:p>
            <w:pPr>
              <w:ind w:left="2540"/>
              <w:spacing w:after="0"/>
              <w:rPr>
                <w:sz w:val="20"/>
                <w:szCs w:val="20"/>
                <w:color w:val="auto"/>
              </w:rPr>
            </w:pPr>
            <w:r>
              <w:rPr>
                <w:rFonts w:ascii="Arial" w:cs="Arial" w:eastAsia="Arial" w:hAnsi="Arial"/>
                <w:sz w:val="18"/>
                <w:szCs w:val="18"/>
                <w:color w:val="auto"/>
              </w:rPr>
              <w:t>By:  /s/ Gerard M. Hayden, Jr.</w:t>
            </w:r>
          </w:p>
        </w:tc>
      </w:tr>
      <w:tr>
        <w:trPr>
          <w:trHeight w:val="195"/>
        </w:trPr>
        <w:tc>
          <w:tcPr>
            <w:tcW w:w="3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3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486"/>
        </w:trPr>
        <w:tc>
          <w:tcPr>
            <w:tcW w:w="3360" w:type="dxa"/>
            <w:vAlign w:val="bottom"/>
          </w:tcPr>
          <w:p>
            <w:pPr>
              <w:spacing w:after="0"/>
              <w:rPr>
                <w:sz w:val="24"/>
                <w:szCs w:val="24"/>
                <w:color w:val="auto"/>
              </w:rPr>
            </w:pPr>
          </w:p>
        </w:tc>
        <w:tc>
          <w:tcPr>
            <w:tcW w:w="282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8920" w:type="dxa"/>
            <w:vAlign w:val="bottom"/>
          </w:tcPr>
          <w:p>
            <w:pPr>
              <w:ind w:left="3740"/>
              <w:spacing w:after="0"/>
              <w:rPr>
                <w:sz w:val="20"/>
                <w:szCs w:val="20"/>
                <w:color w:val="auto"/>
              </w:rPr>
            </w:pPr>
            <w:r>
              <w:rPr>
                <w:rFonts w:ascii="Arial" w:cs="Arial" w:eastAsia="Arial" w:hAnsi="Arial"/>
                <w:sz w:val="18"/>
                <w:szCs w:val="18"/>
                <w:b w:val="1"/>
                <w:bCs w:val="1"/>
                <w:color w:val="auto"/>
              </w:rPr>
              <w:t>HEALTHSTREAM, INC.</w:t>
            </w:r>
          </w:p>
        </w:tc>
      </w:tr>
      <w:tr>
        <w:trPr>
          <w:trHeight w:val="432"/>
        </w:trPr>
        <w:tc>
          <w:tcPr>
            <w:tcW w:w="980" w:type="dxa"/>
            <w:vAlign w:val="bottom"/>
          </w:tcPr>
          <w:p>
            <w:pPr>
              <w:spacing w:after="0"/>
              <w:rPr>
                <w:sz w:val="24"/>
                <w:szCs w:val="24"/>
                <w:color w:val="auto"/>
              </w:rPr>
            </w:pPr>
          </w:p>
        </w:tc>
        <w:tc>
          <w:tcPr>
            <w:tcW w:w="8920" w:type="dxa"/>
            <w:vAlign w:val="bottom"/>
          </w:tcPr>
          <w:p>
            <w:pPr>
              <w:ind w:left="404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98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(1)</w:t>
            </w:r>
            <w:r>
              <w:rPr>
                <w:rFonts w:ascii="Arial" w:cs="Arial" w:eastAsia="Arial" w:hAnsi="Arial"/>
                <w:sz w:val="18"/>
                <w:szCs w:val="18"/>
                <w:color w:val="auto"/>
              </w:rPr>
              <w:t xml:space="preserve"> ^</w:t>
            </w:r>
          </w:p>
        </w:tc>
        <w:tc>
          <w:tcPr>
            <w:tcW w:w="8920" w:type="dxa"/>
            <w:vAlign w:val="bottom"/>
          </w:tcPr>
          <w:p>
            <w:pPr>
              <w:ind w:left="180"/>
              <w:spacing w:after="0"/>
              <w:rPr>
                <w:sz w:val="20"/>
                <w:szCs w:val="20"/>
                <w:color w:val="auto"/>
              </w:rPr>
            </w:pPr>
            <w:r>
              <w:rPr>
                <w:rFonts w:ascii="Arial" w:cs="Arial" w:eastAsia="Arial" w:hAnsi="Arial"/>
                <w:sz w:val="18"/>
                <w:szCs w:val="18"/>
                <w:color w:val="auto"/>
              </w:rPr>
              <w:t>HealthStream, Inc. 2016 Omnibus Incentive Plan</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892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8920" w:type="dxa"/>
            <w:vAlign w:val="bottom"/>
          </w:tcPr>
          <w:p>
            <w:pPr>
              <w:ind w:left="18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8920" w:type="dxa"/>
            <w:vAlign w:val="bottom"/>
          </w:tcPr>
          <w:p>
            <w:pPr>
              <w:ind w:left="18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8920" w:type="dxa"/>
            <w:vAlign w:val="bottom"/>
          </w:tcPr>
          <w:p>
            <w:pPr>
              <w:ind w:left="18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101.1 INS</w:t>
            </w:r>
          </w:p>
        </w:tc>
        <w:tc>
          <w:tcPr>
            <w:tcW w:w="892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101.1 SCH</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101.1 CAL</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101.1 DEF</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101.1 LAB</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101.1 PRE</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right="2299" w:firstLine="8"/>
        <w:spacing w:after="0" w:line="277" w:lineRule="auto"/>
        <w:tabs>
          <w:tab w:leader="none" w:pos="23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Incorporated by reference from exhibit 10.1 filed on our Current Report on Form 8-K dated May 31, 2016. ^ Management contract or compensatory plan or arrangement.</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459" w:right="1440"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A. Frist,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Gerard M. Hayden,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u w:val="single" w:color="auto"/>
          <w:color w:val="auto"/>
        </w:rPr>
        <w:t>Exhibit 32.1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2016,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 2016</w:t>
      </w:r>
    </w:p>
    <w:p>
      <w:pPr>
        <w:sectPr>
          <w:pgSz w:w="11900" w:h="16838" w:orient="portrait"/>
          <w:cols w:equalWidth="0" w:num="1">
            <w:col w:w="11380"/>
          </w:cols>
          <w:pgMar w:left="240" w:top="125" w:right="27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u w:val="single" w:color="auto"/>
          <w:color w:val="auto"/>
        </w:rPr>
        <w:t>Exhibit 32.2</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2016,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7" w:lineRule="exact"/>
        <w:rPr>
          <w:sz w:val="20"/>
          <w:szCs w:val="20"/>
          <w:color w:val="auto"/>
        </w:rPr>
      </w:pPr>
    </w:p>
    <w:p>
      <w:pPr>
        <w:ind w:left="1820" w:hanging="678"/>
        <w:spacing w:after="0"/>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820" w:right="160" w:hanging="678"/>
        <w:spacing w:after="0" w:line="277"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Gerard M. Hayden,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 2016</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lvl w:ilvl="1">
      <w:lvlJc w:val="left"/>
      <w:lvlText w:val="(%2)"/>
      <w:numFmt w:val="lowerLetter"/>
      <w:start w:val="1"/>
    </w:lvl>
  </w:abstractNum>
  <w:abstractNum w:abstractNumId="6">
    <w:nsid w:val="12200854"/>
    <w:multiLevelType w:val="hybridMultilevel"/>
    <w:lvl w:ilvl="0">
      <w:lvlJc w:val="left"/>
      <w:lvlText w:val="(%1)"/>
      <w:numFmt w:val="decimal"/>
      <w:start w:val="1"/>
    </w:lvl>
    <w:lvl w:ilvl="1">
      <w:lvlJc w:val="left"/>
      <w:lvlText w:val="%2"/>
      <w:numFmt w:val="lowerLetter"/>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2019-12-29T11:40:08Z</dcterms:created>
  <dcterms:modified xsi:type="dcterms:W3CDTF">2019-12-29T11:40:08Z</dcterms:modified>
</cp:coreProperties>
</file>