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left="260" w:right="960"/>
        <w:spacing w:after="0" w:line="430" w:lineRule="auto"/>
        <w:rPr>
          <w:sz w:val="20"/>
          <w:szCs w:val="20"/>
          <w:color w:val="auto"/>
        </w:rPr>
      </w:pPr>
      <w:r>
        <w:rPr>
          <w:rFonts w:ascii="Arial" w:cs="Arial" w:eastAsia="Arial" w:hAnsi="Arial"/>
          <w:sz w:val="25"/>
          <w:szCs w:val="25"/>
          <w:b w:val="1"/>
          <w:bCs w:val="1"/>
          <w:color w:val="auto"/>
        </w:rPr>
        <w:t>Quarterly Report pursuant to Section 13 or 15(d) of the Securities Exchange Act of 1934 For the quarterly period ended September 30,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HealthStream,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74"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61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1"/>
              </w:rPr>
              <w:t>Tennessee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62-1443555</w:t>
            </w:r>
          </w:p>
        </w:tc>
      </w:tr>
      <w:tr>
        <w:trPr>
          <w:trHeight w:val="149"/>
        </w:trPr>
        <w:tc>
          <w:tcPr>
            <w:tcW w:w="6120" w:type="dxa"/>
            <w:vAlign w:val="bottom"/>
          </w:tcPr>
          <w:p>
            <w:pPr>
              <w:jc w:val="center"/>
              <w:ind w:right="34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120" w:type="dxa"/>
            <w:vAlign w:val="bottom"/>
          </w:tcPr>
          <w:p>
            <w:pPr>
              <w:jc w:val="center"/>
              <w:ind w:right="3479"/>
              <w:spacing w:after="0"/>
              <w:rPr>
                <w:sz w:val="20"/>
                <w:szCs w:val="20"/>
                <w:color w:val="auto"/>
              </w:rPr>
            </w:pPr>
            <w:r>
              <w:rPr>
                <w:rFonts w:ascii="Arial" w:cs="Arial" w:eastAsia="Arial" w:hAnsi="Arial"/>
                <w:sz w:val="14"/>
                <w:szCs w:val="14"/>
                <w:b w:val="1"/>
                <w:bCs w:val="1"/>
                <w:color w:val="auto"/>
                <w:w w:val="94"/>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61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9"/>
              </w:rPr>
              <w:t>209 10th Avenue South, Suite 450</w:t>
            </w:r>
          </w:p>
        </w:tc>
        <w:tc>
          <w:tcPr>
            <w:tcW w:w="1480" w:type="dxa"/>
            <w:vAlign w:val="bottom"/>
          </w:tcPr>
          <w:p>
            <w:pPr>
              <w:spacing w:after="0"/>
              <w:rPr>
                <w:sz w:val="24"/>
                <w:szCs w:val="24"/>
                <w:color w:val="auto"/>
              </w:rPr>
            </w:pPr>
          </w:p>
        </w:tc>
      </w:tr>
      <w:tr>
        <w:trPr>
          <w:trHeight w:val="225"/>
        </w:trPr>
        <w:tc>
          <w:tcPr>
            <w:tcW w:w="6120" w:type="dxa"/>
            <w:vAlign w:val="bottom"/>
          </w:tcPr>
          <w:p>
            <w:pPr>
              <w:jc w:val="center"/>
              <w:ind w:right="3479"/>
              <w:spacing w:after="0"/>
              <w:rPr>
                <w:sz w:val="20"/>
                <w:szCs w:val="20"/>
                <w:color w:val="auto"/>
              </w:rPr>
            </w:pPr>
            <w:r>
              <w:rPr>
                <w:rFonts w:ascii="Arial" w:cs="Arial" w:eastAsia="Arial" w:hAnsi="Arial"/>
                <w:sz w:val="18"/>
                <w:szCs w:val="18"/>
                <w:b w:val="1"/>
                <w:bCs w:val="1"/>
                <w:color w:val="auto"/>
                <w:w w:val="85"/>
              </w:rPr>
              <w:t>Nashville, Tennessee</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37203</w:t>
            </w:r>
          </w:p>
        </w:tc>
      </w:tr>
      <w:tr>
        <w:trPr>
          <w:trHeight w:val="186"/>
        </w:trPr>
        <w:tc>
          <w:tcPr>
            <w:tcW w:w="6120" w:type="dxa"/>
            <w:vAlign w:val="bottom"/>
          </w:tcPr>
          <w:p>
            <w:pPr>
              <w:jc w:val="center"/>
              <w:ind w:right="34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6120" w:type="dxa"/>
            <w:vAlign w:val="bottom"/>
          </w:tcPr>
          <w:p>
            <w:pPr>
              <w:jc w:val="right"/>
              <w:ind w:right="1339"/>
              <w:spacing w:after="0"/>
              <w:rPr>
                <w:sz w:val="20"/>
                <w:szCs w:val="20"/>
                <w:color w:val="auto"/>
              </w:rPr>
            </w:pPr>
            <w:r>
              <w:rPr>
                <w:rFonts w:ascii="Arial" w:cs="Arial" w:eastAsia="Arial" w:hAnsi="Arial"/>
                <w:sz w:val="18"/>
                <w:szCs w:val="18"/>
                <w:b w:val="1"/>
                <w:bCs w:val="1"/>
                <w:color w:val="auto"/>
              </w:rPr>
              <w:t>(615) 301-3100</w:t>
            </w:r>
          </w:p>
        </w:tc>
        <w:tc>
          <w:tcPr>
            <w:tcW w:w="1480" w:type="dxa"/>
            <w:vAlign w:val="bottom"/>
          </w:tcPr>
          <w:p>
            <w:pPr>
              <w:spacing w:after="0"/>
              <w:rPr>
                <w:sz w:val="24"/>
                <w:szCs w:val="24"/>
                <w:color w:val="auto"/>
              </w:rPr>
            </w:pPr>
          </w:p>
        </w:tc>
      </w:tr>
      <w:tr>
        <w:trPr>
          <w:trHeight w:val="186"/>
        </w:trPr>
        <w:tc>
          <w:tcPr>
            <w:tcW w:w="6120" w:type="dxa"/>
            <w:vAlign w:val="bottom"/>
          </w:tcPr>
          <w:p>
            <w:pPr>
              <w:jc w:val="center"/>
              <w:ind w:left="205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26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6640" w:type="dxa"/>
            <w:vAlign w:val="bottom"/>
          </w:tcPr>
          <w:p>
            <w:pPr>
              <w:spacing w:after="0"/>
              <w:rPr>
                <w:sz w:val="24"/>
                <w:szCs w:val="24"/>
                <w:color w:val="auto"/>
              </w:rPr>
            </w:pPr>
          </w:p>
        </w:tc>
        <w:tc>
          <w:tcPr>
            <w:tcW w:w="25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324"/>
        </w:trPr>
        <w:tc>
          <w:tcPr>
            <w:tcW w:w="22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6640" w:type="dxa"/>
            <w:vAlign w:val="bottom"/>
          </w:tcPr>
          <w:p>
            <w:pPr>
              <w:ind w:left="220"/>
              <w:spacing w:after="0"/>
              <w:rPr>
                <w:sz w:val="20"/>
                <w:szCs w:val="20"/>
                <w:color w:val="auto"/>
              </w:rPr>
            </w:pPr>
            <w:r>
              <w:rPr>
                <w:rFonts w:ascii="Arial" w:cs="Arial" w:eastAsia="Arial" w:hAnsi="Arial"/>
                <w:sz w:val="18"/>
                <w:szCs w:val="18"/>
                <w:color w:val="auto"/>
              </w:rPr>
              <w:t>(Do not check if a smaller reporting company)</w:t>
            </w:r>
          </w:p>
        </w:tc>
        <w:tc>
          <w:tcPr>
            <w:tcW w:w="25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432"/>
        </w:trPr>
        <w:tc>
          <w:tcPr>
            <w:tcW w:w="8840" w:type="dxa"/>
            <w:vAlign w:val="bottom"/>
            <w:gridSpan w:val="2"/>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258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12"/>
        </w:trPr>
        <w:tc>
          <w:tcPr>
            <w:tcW w:w="8840" w:type="dxa"/>
            <w:vAlign w:val="bottom"/>
            <w:gridSpan w:val="2"/>
          </w:tcPr>
          <w:p>
            <w:pPr>
              <w:spacing w:after="0"/>
              <w:rPr>
                <w:sz w:val="20"/>
                <w:szCs w:val="20"/>
                <w:color w:val="auto"/>
              </w:rPr>
            </w:pPr>
            <w:r>
              <w:rPr>
                <w:rFonts w:ascii="Arial" w:cs="Arial" w:eastAsia="Arial" w:hAnsi="Arial"/>
                <w:sz w:val="18"/>
                <w:szCs w:val="18"/>
                <w:color w:val="auto"/>
              </w:rPr>
              <w:t>As of October 23, 2013, there were 27,256,598 shares of the registrant’s common stock outstanding.</w:t>
            </w:r>
          </w:p>
        </w:tc>
        <w:tc>
          <w:tcPr>
            <w:tcW w:w="2580" w:type="dxa"/>
            <w:vAlign w:val="bottom"/>
          </w:tcPr>
          <w:p>
            <w:pPr>
              <w:spacing w:after="0"/>
              <w:rPr>
                <w:sz w:val="24"/>
                <w:szCs w:val="24"/>
                <w:color w:val="auto"/>
              </w:rPr>
            </w:pPr>
          </w:p>
        </w:tc>
      </w:tr>
      <w:tr>
        <w:trPr>
          <w:trHeight w:val="162"/>
        </w:trPr>
        <w:tc>
          <w:tcPr>
            <w:tcW w:w="220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tcPr>
          <w:p>
            <w:pPr>
              <w:spacing w:after="0"/>
              <w:rPr>
                <w:sz w:val="14"/>
                <w:szCs w:val="14"/>
                <w:color w:val="auto"/>
              </w:rPr>
            </w:pPr>
          </w:p>
        </w:tc>
      </w:tr>
      <w:tr>
        <w:trPr>
          <w:trHeight w:val="48"/>
        </w:trPr>
        <w:tc>
          <w:tcPr>
            <w:tcW w:w="2200" w:type="dxa"/>
            <w:vAlign w:val="bottom"/>
            <w:tcBorders>
              <w:bottom w:val="single" w:sz="8" w:color="auto"/>
            </w:tcBorders>
          </w:tcPr>
          <w:p>
            <w:pPr>
              <w:spacing w:after="0"/>
              <w:rPr>
                <w:sz w:val="4"/>
                <w:szCs w:val="4"/>
                <w:color w:val="auto"/>
              </w:rPr>
            </w:pPr>
          </w:p>
        </w:tc>
        <w:tc>
          <w:tcPr>
            <w:tcW w:w="6640" w:type="dxa"/>
            <w:vAlign w:val="bottom"/>
            <w:tcBorders>
              <w:bottom w:val="single" w:sz="8" w:color="auto"/>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36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Form 10-Q</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0200" w:type="dxa"/>
            <w:vAlign w:val="bottom"/>
          </w:tcPr>
          <w:p>
            <w:pPr>
              <w:spacing w:after="0"/>
              <w:rPr>
                <w:sz w:val="14"/>
                <w:szCs w:val="14"/>
                <w:color w:val="auto"/>
              </w:rPr>
            </w:pPr>
          </w:p>
        </w:tc>
        <w:tc>
          <w:tcPr>
            <w:tcW w:w="520" w:type="dxa"/>
            <w:vAlign w:val="bottom"/>
          </w:tcPr>
          <w:p>
            <w:pPr>
              <w:ind w:lef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7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10200" w:type="dxa"/>
            <w:vAlign w:val="bottom"/>
            <w:vMerge w:val="restart"/>
          </w:tcPr>
          <w:p>
            <w:pPr>
              <w:ind w:left="200"/>
              <w:spacing w:after="0"/>
              <w:rPr>
                <w:sz w:val="20"/>
                <w:szCs w:val="20"/>
                <w:color w:val="auto"/>
              </w:rPr>
            </w:pPr>
            <w:r>
              <w:rPr>
                <w:rFonts w:ascii="Arial" w:cs="Arial" w:eastAsia="Arial" w:hAnsi="Arial"/>
                <w:sz w:val="18"/>
                <w:szCs w:val="18"/>
                <w:color w:val="auto"/>
              </w:rPr>
              <w:t>Financial Information</w:t>
            </w: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96"/>
        </w:trPr>
        <w:tc>
          <w:tcPr>
            <w:tcW w:w="700" w:type="dxa"/>
            <w:vAlign w:val="bottom"/>
            <w:vMerge w:val="continue"/>
          </w:tcPr>
          <w:p>
            <w:pPr>
              <w:spacing w:after="0"/>
              <w:rPr>
                <w:sz w:val="17"/>
                <w:szCs w:val="17"/>
                <w:color w:val="auto"/>
              </w:rPr>
            </w:pPr>
          </w:p>
        </w:tc>
        <w:tc>
          <w:tcPr>
            <w:tcW w:w="1020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Item 1.</w:t>
            </w:r>
          </w:p>
        </w:tc>
        <w:tc>
          <w:tcPr>
            <w:tcW w:w="10200" w:type="dxa"/>
            <w:vAlign w:val="bottom"/>
          </w:tcPr>
          <w:p>
            <w:pPr>
              <w:ind w:left="200"/>
              <w:spacing w:after="0"/>
              <w:rPr>
                <w:sz w:val="20"/>
                <w:szCs w:val="20"/>
                <w:color w:val="auto"/>
              </w:rPr>
            </w:pPr>
            <w:r>
              <w:rPr>
                <w:rFonts w:ascii="Arial" w:cs="Arial" w:eastAsia="Arial" w:hAnsi="Arial"/>
                <w:sz w:val="18"/>
                <w:szCs w:val="18"/>
                <w:color w:val="auto"/>
              </w:rPr>
              <w:t>Financial Statements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Condensed Consolidated Balance Sheets – September 30, 2013 (Unaudited) and December 31, 2012</w:t>
            </w:r>
          </w:p>
        </w:tc>
        <w:tc>
          <w:tcPr>
            <w:tcW w:w="520" w:type="dxa"/>
            <w:vAlign w:val="bottom"/>
          </w:tcPr>
          <w:p>
            <w:pPr>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Condensed Consolidated Statements of Income (Unaudited) – Three and Nine Months ended September 30, 2013 and 2012</w:t>
            </w:r>
          </w:p>
        </w:tc>
        <w:tc>
          <w:tcPr>
            <w:tcW w:w="520" w:type="dxa"/>
            <w:vAlign w:val="bottom"/>
          </w:tcPr>
          <w:p>
            <w:pPr>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10"/>
        </w:trPr>
        <w:tc>
          <w:tcPr>
            <w:tcW w:w="70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w w:val="92"/>
              </w:rPr>
              <w:t>Condensed Consolidated Statements of Comprehensive Income (Unaudited) – Three and Nine Months ended September 30, 2013 and</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2012</w:t>
            </w:r>
          </w:p>
        </w:tc>
        <w:tc>
          <w:tcPr>
            <w:tcW w:w="520" w:type="dxa"/>
            <w:vAlign w:val="bottom"/>
          </w:tcPr>
          <w:p>
            <w:pPr>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Condensed Consolidated Statement of Shareholders’ Equity (Unaudited) – Nine Months ended September 30, 2013</w:t>
            </w:r>
          </w:p>
        </w:tc>
        <w:tc>
          <w:tcPr>
            <w:tcW w:w="520" w:type="dxa"/>
            <w:vAlign w:val="bottom"/>
          </w:tcPr>
          <w:p>
            <w:pPr>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Condensed Consolidated Statements of Cash Flows (Unaudited) – Nine Months ended September 30, 2013 and 2012</w:t>
            </w:r>
          </w:p>
        </w:tc>
        <w:tc>
          <w:tcPr>
            <w:tcW w:w="520" w:type="dxa"/>
            <w:vAlign w:val="bottom"/>
          </w:tcPr>
          <w:p>
            <w:pPr>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Notes to Condensed Consolidated Financial Statements (Unaudited)</w:t>
            </w:r>
          </w:p>
        </w:tc>
        <w:tc>
          <w:tcPr>
            <w:tcW w:w="52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Item 2.</w:t>
            </w:r>
          </w:p>
        </w:tc>
        <w:tc>
          <w:tcPr>
            <w:tcW w:w="10200" w:type="dxa"/>
            <w:vAlign w:val="bottom"/>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tcPr>
          <w:p>
            <w:pPr>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Item 3.</w:t>
            </w:r>
          </w:p>
        </w:tc>
        <w:tc>
          <w:tcPr>
            <w:tcW w:w="1020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Item 4.</w:t>
            </w:r>
          </w:p>
        </w:tc>
        <w:tc>
          <w:tcPr>
            <w:tcW w:w="10200" w:type="dxa"/>
            <w:vAlign w:val="bottom"/>
          </w:tcPr>
          <w:p>
            <w:pPr>
              <w:ind w:left="200"/>
              <w:spacing w:after="0"/>
              <w:rPr>
                <w:sz w:val="20"/>
                <w:szCs w:val="20"/>
                <w:color w:val="auto"/>
              </w:rPr>
            </w:pPr>
            <w:r>
              <w:rPr>
                <w:rFonts w:ascii="Arial" w:cs="Arial" w:eastAsia="Arial" w:hAnsi="Arial"/>
                <w:sz w:val="18"/>
                <w:szCs w:val="18"/>
                <w:color w:val="auto"/>
              </w:rPr>
              <w:t>Controls and Procedures</w:t>
            </w:r>
          </w:p>
        </w:tc>
        <w:tc>
          <w:tcPr>
            <w:tcW w:w="520" w:type="dxa"/>
            <w:vAlign w:val="bottom"/>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Part II.</w:t>
            </w:r>
          </w:p>
        </w:tc>
        <w:tc>
          <w:tcPr>
            <w:tcW w:w="10200" w:type="dxa"/>
            <w:vAlign w:val="bottom"/>
          </w:tcPr>
          <w:p>
            <w:pPr>
              <w:ind w:left="200"/>
              <w:spacing w:after="0"/>
              <w:rPr>
                <w:sz w:val="20"/>
                <w:szCs w:val="20"/>
                <w:color w:val="auto"/>
              </w:rPr>
            </w:pPr>
            <w:r>
              <w:rPr>
                <w:rFonts w:ascii="Arial" w:cs="Arial" w:eastAsia="Arial" w:hAnsi="Arial"/>
                <w:sz w:val="18"/>
                <w:szCs w:val="18"/>
                <w:color w:val="auto"/>
              </w:rPr>
              <w:t>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color w:val="auto"/>
              </w:rPr>
              <w:t>Item 6.</w:t>
            </w:r>
          </w:p>
        </w:tc>
        <w:tc>
          <w:tcPr>
            <w:tcW w:w="10200" w:type="dxa"/>
            <w:vAlign w:val="bottom"/>
          </w:tcPr>
          <w:p>
            <w:pPr>
              <w:ind w:left="200"/>
              <w:spacing w:after="0"/>
              <w:rPr>
                <w:sz w:val="20"/>
                <w:szCs w:val="20"/>
                <w:color w:val="auto"/>
              </w:rPr>
            </w:pPr>
            <w:r>
              <w:rPr>
                <w:rFonts w:ascii="Arial" w:cs="Arial" w:eastAsia="Arial" w:hAnsi="Arial"/>
                <w:sz w:val="18"/>
                <w:szCs w:val="18"/>
                <w:color w:val="auto"/>
              </w:rPr>
              <w:t>Exhibits</w:t>
            </w:r>
          </w:p>
        </w:tc>
        <w:tc>
          <w:tcPr>
            <w:tcW w:w="520" w:type="dxa"/>
            <w:vAlign w:val="bottom"/>
          </w:tcPr>
          <w:p>
            <w:pPr>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700" w:type="dxa"/>
            <w:vAlign w:val="bottom"/>
          </w:tcPr>
          <w:p>
            <w:pPr>
              <w:spacing w:after="0"/>
              <w:rPr>
                <w:sz w:val="24"/>
                <w:szCs w:val="24"/>
                <w:color w:val="auto"/>
              </w:rPr>
            </w:pPr>
          </w:p>
        </w:tc>
        <w:tc>
          <w:tcPr>
            <w:tcW w:w="10200" w:type="dxa"/>
            <w:vAlign w:val="bottom"/>
          </w:tcPr>
          <w:p>
            <w:pPr>
              <w:ind w:left="200"/>
              <w:spacing w:after="0"/>
              <w:rPr>
                <w:sz w:val="20"/>
                <w:szCs w:val="20"/>
                <w:color w:val="auto"/>
              </w:rPr>
            </w:pPr>
            <w:r>
              <w:rPr>
                <w:rFonts w:ascii="Arial" w:cs="Arial" w:eastAsia="Arial" w:hAnsi="Arial"/>
                <w:sz w:val="18"/>
                <w:szCs w:val="18"/>
                <w:color w:val="auto"/>
              </w:rPr>
              <w:t>Signature</w:t>
            </w:r>
          </w:p>
        </w:tc>
        <w:tc>
          <w:tcPr>
            <w:tcW w:w="520" w:type="dxa"/>
            <w:vAlign w:val="bottom"/>
          </w:tcPr>
          <w:p>
            <w:pPr>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90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6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55,103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41,365</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Marketable securities – short-term</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49,592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51,952</w:t>
            </w:r>
          </w:p>
        </w:tc>
      </w:tr>
      <w:tr>
        <w:trPr>
          <w:trHeight w:val="202"/>
        </w:trPr>
        <w:tc>
          <w:tcPr>
            <w:tcW w:w="9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Accounts receivable, net of allowance for doubtful accounts of $210 and $142 at September 30, 2013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2012, respectively</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22,741</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15,348</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Accounts receivable – unbilled</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 current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royalties, net of amortization</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8,248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prepaid expenses and other current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140,648</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118,291</w:t>
            </w:r>
          </w:p>
        </w:tc>
        <w:tc>
          <w:tcPr>
            <w:tcW w:w="10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20,193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18,108</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5,161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5,050</w:t>
            </w:r>
          </w:p>
        </w:tc>
      </w:tr>
      <w:tr>
        <w:trPr>
          <w:trHeight w:val="223"/>
        </w:trPr>
        <w:tc>
          <w:tcPr>
            <w:tcW w:w="9060" w:type="dxa"/>
            <w:vAlign w:val="bottom"/>
          </w:tcPr>
          <w:p>
            <w:pPr>
              <w:ind w:left="36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w:t>
            </w:r>
          </w:p>
        </w:tc>
        <w:tc>
          <w:tcPr>
            <w:tcW w:w="5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28,976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26,526</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(21,106)</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(18,706)</w:t>
            </w:r>
          </w:p>
        </w:tc>
      </w:tr>
      <w:tr>
        <w:trPr>
          <w:trHeight w:val="216"/>
        </w:trPr>
        <w:tc>
          <w:tcPr>
            <w:tcW w:w="90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7,870</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7,820</w:t>
            </w:r>
          </w:p>
        </w:tc>
        <w:tc>
          <w:tcPr>
            <w:tcW w:w="100" w:type="dxa"/>
            <w:vAlign w:val="bottom"/>
            <w:shd w:val="clear" w:color="auto" w:fill="CCEEFF"/>
          </w:tcPr>
          <w:p>
            <w:pPr>
              <w:spacing w:after="0"/>
              <w:rPr>
                <w:sz w:val="18"/>
                <w:szCs w:val="18"/>
                <w:color w:val="auto"/>
              </w:rPr>
            </w:pPr>
          </w:p>
        </w:tc>
      </w:tr>
      <w:tr>
        <w:trPr>
          <w:trHeight w:val="418"/>
        </w:trPr>
        <w:tc>
          <w:tcPr>
            <w:tcW w:w="9060" w:type="dxa"/>
            <w:vAlign w:val="bottom"/>
          </w:tcPr>
          <w:p>
            <w:pPr>
              <w:spacing w:after="0"/>
              <w:rPr>
                <w:sz w:val="20"/>
                <w:szCs w:val="20"/>
                <w:color w:val="auto"/>
              </w:rPr>
            </w:pPr>
            <w:r>
              <w:rPr>
                <w:rFonts w:ascii="Arial" w:cs="Arial" w:eastAsia="Arial" w:hAnsi="Arial"/>
                <w:sz w:val="18"/>
                <w:szCs w:val="18"/>
                <w:color w:val="auto"/>
                <w:w w:val="94"/>
              </w:rPr>
              <w:t>Capitalized software development, net of accumulated amortization of $13,152 and $10,987 at September 30, 2013 and</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December 31, 2012, respectively</w:t>
            </w: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10,584</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9,732</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34,044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29,299</w:t>
            </w:r>
          </w:p>
        </w:tc>
      </w:tr>
      <w:tr>
        <w:trPr>
          <w:trHeight w:val="202"/>
        </w:trPr>
        <w:tc>
          <w:tcPr>
            <w:tcW w:w="9060" w:type="dxa"/>
            <w:vAlign w:val="bottom"/>
          </w:tcPr>
          <w:p>
            <w:pPr>
              <w:spacing w:after="0" w:line="201" w:lineRule="exact"/>
              <w:rPr>
                <w:sz w:val="20"/>
                <w:szCs w:val="20"/>
                <w:color w:val="auto"/>
              </w:rPr>
            </w:pPr>
            <w:r>
              <w:rPr>
                <w:rFonts w:ascii="Arial" w:cs="Arial" w:eastAsia="Arial" w:hAnsi="Arial"/>
                <w:sz w:val="18"/>
                <w:szCs w:val="18"/>
                <w:color w:val="auto"/>
                <w:w w:val="96"/>
              </w:rPr>
              <w:t>Intangible assets, net of accumulated amortization of $11,160 and $10,036 at September 30, 2013 and December 31,</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060" w:type="dxa"/>
            <w:vAlign w:val="bottom"/>
          </w:tcPr>
          <w:p>
            <w:pPr>
              <w:ind w:left="180"/>
              <w:spacing w:after="0"/>
              <w:rPr>
                <w:sz w:val="20"/>
                <w:szCs w:val="20"/>
                <w:color w:val="auto"/>
              </w:rPr>
            </w:pPr>
            <w:r>
              <w:rPr>
                <w:rFonts w:ascii="Arial" w:cs="Arial" w:eastAsia="Arial" w:hAnsi="Arial"/>
                <w:sz w:val="18"/>
                <w:szCs w:val="18"/>
                <w:color w:val="auto"/>
              </w:rPr>
              <w:t>2012, respectively</w:t>
            </w:r>
          </w:p>
        </w:tc>
        <w:tc>
          <w:tcPr>
            <w:tcW w:w="18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10,831</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8,805</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204,801</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174,528</w:t>
            </w:r>
          </w:p>
        </w:tc>
        <w:tc>
          <w:tcPr>
            <w:tcW w:w="100" w:type="dxa"/>
            <w:vAlign w:val="bottom"/>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9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9060" w:type="dxa"/>
            <w:vAlign w:val="bottom"/>
            <w:shd w:val="clear" w:color="auto" w:fill="CCEEFF"/>
          </w:tcPr>
          <w:p>
            <w:pPr>
              <w:ind w:left="236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7,551</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4,671</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royalties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8,074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5,037</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Accrued compensation and related expenses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1,548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35,326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23,146</w:t>
            </w:r>
          </w:p>
        </w:tc>
      </w:tr>
      <w:tr>
        <w:trPr>
          <w:trHeight w:val="223"/>
        </w:trPr>
        <w:tc>
          <w:tcPr>
            <w:tcW w:w="90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54,347</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35,032</w:t>
            </w:r>
          </w:p>
        </w:tc>
        <w:tc>
          <w:tcPr>
            <w:tcW w:w="10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 noncurrent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6,555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6,474</w:t>
            </w: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24"/>
        </w:trPr>
        <w:tc>
          <w:tcPr>
            <w:tcW w:w="9060" w:type="dxa"/>
            <w:vAlign w:val="bottom"/>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9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Common stock, no par value, 75,000 shares authorized; 27,242 and 26,233 shares issued and outstanding at</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September 30, 2013 and December 31, 2012, respectively</w:t>
            </w: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162,469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158,020</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(19,184)</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(25,842)</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30"/>
        </w:trPr>
        <w:tc>
          <w:tcPr>
            <w:tcW w:w="906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143,256</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132,196</w:t>
            </w:r>
          </w:p>
        </w:tc>
        <w:tc>
          <w:tcPr>
            <w:tcW w:w="100" w:type="dxa"/>
            <w:vAlign w:val="bottom"/>
          </w:tcPr>
          <w:p>
            <w:pPr>
              <w:spacing w:after="0"/>
              <w:rPr>
                <w:sz w:val="20"/>
                <w:szCs w:val="20"/>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204,801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174,528</w:t>
            </w:r>
          </w:p>
        </w:tc>
      </w:tr>
      <w:tr>
        <w:trPr>
          <w:trHeight w:val="20"/>
        </w:trPr>
        <w:tc>
          <w:tcPr>
            <w:tcW w:w="9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50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4"/>
          </w:tcPr>
          <w:p>
            <w:pPr>
              <w:jc w:val="right"/>
              <w:ind w:right="211"/>
              <w:spacing w:after="0" w:line="142"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33,659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95,224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75,894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 (excluding depreciation and amortization)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14,092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10,804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39,483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Product development</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3,210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2,278</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8,594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4,423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16,538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Other general and administrative expenses</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3,472</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13,640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16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29,780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22,649</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84,067</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65,781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11,157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3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3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11,278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1,629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4,620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4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340"/>
              <w:spacing w:after="0"/>
              <w:rPr>
                <w:sz w:val="20"/>
                <w:szCs w:val="20"/>
                <w:color w:val="auto"/>
              </w:rPr>
            </w:pPr>
            <w:r>
              <w:rPr>
                <w:rFonts w:ascii="Arial" w:cs="Arial" w:eastAsia="Arial" w:hAnsi="Arial"/>
                <w:sz w:val="18"/>
                <w:szCs w:val="18"/>
                <w:color w:val="auto"/>
              </w:rPr>
              <w:t>Basic</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27,085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26,173</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26,716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27,735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27,591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27,598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Ended</w:t>
            </w:r>
          </w:p>
        </w:tc>
        <w:tc>
          <w:tcPr>
            <w:tcW w:w="14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2"/>
                <w:szCs w:val="12"/>
                <w:color w:val="auto"/>
              </w:rPr>
            </w:pPr>
          </w:p>
        </w:tc>
        <w:tc>
          <w:tcPr>
            <w:tcW w:w="13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$2,296</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$1,977</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$6,658</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2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3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Total other comprehensive income (loss)</w:t>
            </w:r>
          </w:p>
        </w:tc>
        <w:tc>
          <w:tcPr>
            <w:tcW w:w="2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2,302</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2,002</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6,611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700" w:type="dxa"/>
            <w:vAlign w:val="bottom"/>
            <w:gridSpan w:val="4"/>
            <w:vMerge w:val="restart"/>
          </w:tcPr>
          <w:p>
            <w:pPr>
              <w:jc w:val="right"/>
              <w:ind w:right="294"/>
              <w:spacing w:after="0"/>
              <w:rPr>
                <w:sz w:val="20"/>
                <w:szCs w:val="20"/>
                <w:color w:val="auto"/>
              </w:rPr>
            </w:pPr>
            <w:r>
              <w:rPr>
                <w:rFonts w:ascii="Arial" w:cs="Arial" w:eastAsia="Arial" w:hAnsi="Arial"/>
                <w:sz w:val="14"/>
                <w:szCs w:val="14"/>
                <w:b w:val="1"/>
                <w:bCs w:val="1"/>
                <w:color w:val="auto"/>
              </w:rPr>
              <w:t>Common Stock</w:t>
            </w:r>
          </w:p>
        </w:tc>
        <w:tc>
          <w:tcPr>
            <w:tcW w:w="4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3"/>
        </w:trPr>
        <w:tc>
          <w:tcPr>
            <w:tcW w:w="5540" w:type="dxa"/>
            <w:vAlign w:val="bottom"/>
          </w:tcPr>
          <w:p>
            <w:pPr>
              <w:spacing w:after="0"/>
              <w:rPr>
                <w:sz w:val="13"/>
                <w:szCs w:val="13"/>
                <w:color w:val="auto"/>
              </w:rPr>
            </w:pPr>
          </w:p>
        </w:tc>
        <w:tc>
          <w:tcPr>
            <w:tcW w:w="1700" w:type="dxa"/>
            <w:vAlign w:val="bottom"/>
            <w:tcBorders>
              <w:bottom w:val="single" w:sz="8" w:color="auto"/>
            </w:tcBorders>
            <w:gridSpan w:val="4"/>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540" w:type="dxa"/>
            <w:vAlign w:val="bottom"/>
          </w:tcPr>
          <w:p>
            <w:pPr>
              <w:spacing w:after="0"/>
              <w:rPr>
                <w:sz w:val="10"/>
                <w:szCs w:val="10"/>
                <w:color w:val="auto"/>
              </w:rPr>
            </w:pPr>
          </w:p>
        </w:tc>
        <w:tc>
          <w:tcPr>
            <w:tcW w:w="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0"/>
                <w:szCs w:val="10"/>
                <w:color w:val="auto"/>
              </w:rPr>
            </w:pPr>
          </w:p>
        </w:tc>
        <w:tc>
          <w:tcPr>
            <w:tcW w:w="11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142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8"/>
              </w:rPr>
              <w:t>Comprehensive</w:t>
            </w: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Shareholders’</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Income (Loss)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26,233</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$158,020</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(25,842)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6,658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480"/>
              <w:spacing w:after="0"/>
              <w:rPr>
                <w:sz w:val="20"/>
                <w:szCs w:val="20"/>
                <w:color w:val="auto"/>
              </w:rPr>
            </w:pPr>
            <w:r>
              <w:rPr>
                <w:rFonts w:ascii="Arial" w:cs="Arial" w:eastAsia="Arial" w:hAnsi="Arial"/>
                <w:sz w:val="18"/>
                <w:szCs w:val="18"/>
                <w:color w:val="auto"/>
              </w:rPr>
              <w:t>1,088</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acquisition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534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Tax benefits from equity awards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5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issued under stock plans, net of shares withheld for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taxes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994</w:t>
            </w:r>
          </w:p>
        </w:tc>
        <w:tc>
          <w:tcPr>
            <w:tcW w:w="16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2,899</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Balance at September 30, 2013</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27,242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162,469</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143,256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6,658</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5,812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4,560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benefits from equity awards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Loss on other investments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doubtful accounts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and unbilled receivables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(7,312)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Prepaid royalties</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(4,509)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prepaid expenses and other current assets and other assets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792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 and accrued compensation and related expenses and other long-term liabilities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Accrued royalties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11,904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(7,362)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investments in marketable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63,722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sales of investments in marketable securities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5,062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investments in marketable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(67,634)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Changes in other investments</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development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(2,414)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(69,594)</w:t>
            </w:r>
          </w:p>
        </w:tc>
        <w:tc>
          <w:tcPr>
            <w:tcW w:w="0" w:type="dxa"/>
            <w:vAlign w:val="bottom"/>
          </w:tcPr>
          <w:p>
            <w:pPr>
              <w:spacing w:after="0"/>
              <w:rPr>
                <w:sz w:val="1"/>
                <w:szCs w:val="1"/>
                <w:color w:val="auto"/>
              </w:rPr>
            </w:pPr>
          </w:p>
        </w:tc>
      </w:tr>
      <w:tr>
        <w:trPr>
          <w:trHeight w:val="439"/>
        </w:trPr>
        <w:tc>
          <w:tcPr>
            <w:tcW w:w="90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Excess tax benefits from equity awards</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Taxes paid related to net settlement of equity awards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13,738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41,365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55,103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23,703</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connection with acquisitions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nine months ended September 30, 2013 are not necessarily indicative of the results that may be expected for the year ending December 31, 2013.</w:t>
      </w:r>
    </w:p>
    <w:p>
      <w:pPr>
        <w:spacing w:after="0" w:line="17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2012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2012 (included in the Company’s Annual Report on Form 10-K, filed with the Securities and Exchange Commission on March 1,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During the nine months ended September 30, 2013 and 2012, the Company recorded a provision for income taxes of $4.6 million and $4.4 million, respectively. The Company’s effective tax rate for the nine months ended September 30, 2013 and 2012 was 41.0% and 42.9%, respectively. The Company’s effective tax rate primarily reflects the statutory corporate income tax rate, the net effect of state taxes, and the effect of various permanent tax differences.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 BASED COMPENSATION</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maintains two stock incentive plans. The Company accounts for its stock based compensation plans using the fair-value based method for costs related to share-based payments, including stock options and restricted share units (RSUs). During the nine months ended September 30, 2013, the Company issued 80,250 RSUs with a weighted average grant date fair value of $22.02 per share, measured based on the closing fair market value of the Company’s stock on the date of grant. During the nine months ended September 30, 2012, the Company issued 73,150 RSUs with a weighted average grant date fair value of $23.13 per share, measured based on the closing fair market value of the Company’s stock on the date of grant.</w:t>
      </w:r>
    </w:p>
    <w:p>
      <w:pPr>
        <w:spacing w:after="0" w:line="1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stock based compensation expense recorded for the three and nine months ended September 30, 2013 and 2012, which is recorded in the condensed consolidated statements of income, is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6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61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2012</w:t>
            </w: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79"/>
              </w:rPr>
              <w:t>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Product development</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104</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116</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779</w:t>
            </w:r>
          </w:p>
        </w:tc>
        <w:tc>
          <w:tcPr>
            <w:tcW w:w="1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585</w:t>
            </w:r>
          </w:p>
        </w:tc>
      </w:tr>
      <w:tr>
        <w:trPr>
          <w:trHeight w:val="27"/>
        </w:trPr>
        <w:tc>
          <w:tcPr>
            <w:tcW w:w="61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 based compensation expense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837</w:t>
            </w:r>
          </w:p>
        </w:tc>
      </w:tr>
      <w:tr>
        <w:trPr>
          <w:trHeight w:val="20"/>
        </w:trPr>
        <w:tc>
          <w:tcPr>
            <w:tcW w:w="6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earnings per share is computed by dividing the net income available to common shareholders for the period by the weighted-average number of common shares outstanding during the period. Diluted earnings per share is computed by dividing the net income for the period by the weighted average number of common and common equivalent shares outstanding during the period. Common equivalent shares, composed of incremental common shares issuable upon the exercise of stock options and restricted share units subject to vesting are included in diluted earnings per share only to the extent these shares are dilutive. The total number of common equivalent shares excluded from the calculations of diluted earnings per share, due to their anti-dilutive effect, was approximately 6,000 and 92,000 for the three and nine months ended September 30, 2013, respectively, and approximately 72,000 and 116,000 for the three and nine months ended September 30, 2012, respectively.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EARNINGS PER SHARE</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share for the three and nine months ended September 30, 2013 and 2012 (in thousands, except per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9"/>
              </w:rPr>
              <w:t>Nine Months Ended</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2,296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1,977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6,658</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720"/>
              <w:spacing w:after="0"/>
              <w:rPr>
                <w:sz w:val="20"/>
                <w:szCs w:val="20"/>
                <w:color w:val="auto"/>
              </w:rPr>
            </w:pPr>
            <w:r>
              <w:rPr>
                <w:rFonts w:ascii="Arial" w:cs="Arial" w:eastAsia="Arial" w:hAnsi="Arial"/>
                <w:sz w:val="18"/>
                <w:szCs w:val="18"/>
                <w:color w:val="auto"/>
              </w:rPr>
              <w:t>Weighted-average shares outstanding</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27,085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26,173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26,716</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26,100</w:t>
            </w: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Effect of dilutive shares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882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720"/>
              <w:spacing w:after="0"/>
              <w:rPr>
                <w:sz w:val="20"/>
                <w:szCs w:val="20"/>
                <w:color w:val="auto"/>
              </w:rPr>
            </w:pPr>
            <w:r>
              <w:rPr>
                <w:rFonts w:ascii="Arial" w:cs="Arial" w:eastAsia="Arial" w:hAnsi="Arial"/>
                <w:sz w:val="18"/>
                <w:szCs w:val="18"/>
                <w:color w:val="auto"/>
              </w:rPr>
              <w:t>Weighted-average diluted shares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27,735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27,591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27,598</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121"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At September 30, 2013 and December 31, 2012, the fair value of marketable securities, which were all classified as available for sale, included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September 30, 2013</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Adjusted</w:t>
            </w:r>
          </w:p>
        </w:tc>
        <w:tc>
          <w:tcPr>
            <w:tcW w:w="2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Gains</w:t>
            </w: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2:</w:t>
            </w:r>
          </w:p>
        </w:tc>
        <w:tc>
          <w:tcPr>
            <w:tcW w:w="2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Certificates of deposit</w:t>
            </w:r>
          </w:p>
        </w:tc>
        <w:tc>
          <w:tcPr>
            <w:tcW w:w="3140" w:type="dxa"/>
            <w:vAlign w:val="bottom"/>
            <w:gridSpan w:val="3"/>
          </w:tcPr>
          <w:p>
            <w:pPr>
              <w:jc w:val="right"/>
              <w:ind w:right="260"/>
              <w:spacing w:after="0"/>
              <w:rPr>
                <w:sz w:val="20"/>
                <w:szCs w:val="20"/>
                <w:color w:val="auto"/>
              </w:rPr>
            </w:pPr>
            <w:r>
              <w:rPr>
                <w:rFonts w:ascii="Arial" w:cs="Arial" w:eastAsia="Arial" w:hAnsi="Arial"/>
                <w:sz w:val="18"/>
                <w:szCs w:val="18"/>
                <w:color w:val="auto"/>
              </w:rPr>
              <w:t>2,258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Corporate debt securities</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47,363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1060"/>
              <w:spacing w:after="0"/>
              <w:rPr>
                <w:sz w:val="20"/>
                <w:szCs w:val="20"/>
                <w:color w:val="auto"/>
              </w:rPr>
            </w:pPr>
            <w:r>
              <w:rPr>
                <w:rFonts w:ascii="Arial" w:cs="Arial" w:eastAsia="Arial" w:hAnsi="Arial"/>
                <w:sz w:val="18"/>
                <w:szCs w:val="18"/>
                <w:color w:val="auto"/>
              </w:rPr>
              <w:t>Subtotal</w:t>
            </w:r>
          </w:p>
        </w:tc>
        <w:tc>
          <w:tcPr>
            <w:tcW w:w="23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49,621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color w:val="auto"/>
                <w:w w:val="72"/>
              </w:rPr>
              <w:t>(31)</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49,621</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$ 49,592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2012</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8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Adjusted</w:t>
            </w:r>
          </w:p>
        </w:tc>
        <w:tc>
          <w:tcPr>
            <w:tcW w:w="24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7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7"/>
              </w:rPr>
              <w:t>Gains</w:t>
            </w:r>
          </w:p>
        </w:tc>
        <w:tc>
          <w:tcPr>
            <w:tcW w:w="10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Level 1:</w:t>
            </w:r>
          </w:p>
        </w:tc>
        <w:tc>
          <w:tcPr>
            <w:tcW w:w="2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Mutual funds</w:t>
            </w:r>
          </w:p>
        </w:tc>
        <w:tc>
          <w:tcPr>
            <w:tcW w:w="3140" w:type="dxa"/>
            <w:vAlign w:val="bottom"/>
            <w:gridSpan w:val="3"/>
          </w:tcPr>
          <w:p>
            <w:pPr>
              <w:jc w:val="right"/>
              <w:ind w:right="260"/>
              <w:spacing w:after="0"/>
              <w:rPr>
                <w:sz w:val="20"/>
                <w:szCs w:val="20"/>
                <w:color w:val="auto"/>
              </w:rPr>
            </w:pPr>
            <w:r>
              <w:rPr>
                <w:rFonts w:ascii="Arial" w:cs="Arial" w:eastAsia="Arial" w:hAnsi="Arial"/>
                <w:sz w:val="18"/>
                <w:szCs w:val="18"/>
                <w:color w:val="auto"/>
              </w:rPr>
              <w:t>$ 5,042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  5,072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2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Certificates of deposit</w:t>
            </w:r>
          </w:p>
        </w:tc>
        <w:tc>
          <w:tcPr>
            <w:tcW w:w="3140" w:type="dxa"/>
            <w:vAlign w:val="bottom"/>
            <w:gridSpan w:val="3"/>
          </w:tcPr>
          <w:p>
            <w:pPr>
              <w:jc w:val="right"/>
              <w:ind w:right="260"/>
              <w:spacing w:after="0"/>
              <w:rPr>
                <w:sz w:val="20"/>
                <w:szCs w:val="20"/>
                <w:color w:val="auto"/>
              </w:rPr>
            </w:pPr>
            <w:r>
              <w:rPr>
                <w:rFonts w:ascii="Arial" w:cs="Arial" w:eastAsia="Arial" w:hAnsi="Arial"/>
                <w:sz w:val="18"/>
                <w:szCs w:val="18"/>
                <w:color w:val="auto"/>
              </w:rPr>
              <w:t>2,254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Commercial paper</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700"/>
              <w:spacing w:after="0"/>
              <w:rPr>
                <w:sz w:val="20"/>
                <w:szCs w:val="20"/>
                <w:color w:val="auto"/>
              </w:rPr>
            </w:pPr>
            <w:r>
              <w:rPr>
                <w:rFonts w:ascii="Arial" w:cs="Arial" w:eastAsia="Arial" w:hAnsi="Arial"/>
                <w:sz w:val="18"/>
                <w:szCs w:val="18"/>
                <w:color w:val="auto"/>
              </w:rPr>
              <w:t>Corporate debt securities</w:t>
            </w:r>
          </w:p>
        </w:tc>
        <w:tc>
          <w:tcPr>
            <w:tcW w:w="3140" w:type="dxa"/>
            <w:vAlign w:val="bottom"/>
            <w:gridSpan w:val="3"/>
          </w:tcPr>
          <w:p>
            <w:pPr>
              <w:jc w:val="right"/>
              <w:ind w:right="260"/>
              <w:spacing w:after="0"/>
              <w:rPr>
                <w:sz w:val="20"/>
                <w:szCs w:val="20"/>
                <w:color w:val="auto"/>
              </w:rPr>
            </w:pPr>
            <w:r>
              <w:rPr>
                <w:rFonts w:ascii="Arial" w:cs="Arial" w:eastAsia="Arial" w:hAnsi="Arial"/>
                <w:sz w:val="18"/>
                <w:szCs w:val="18"/>
                <w:color w:val="auto"/>
              </w:rPr>
              <w:t>27,017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60" w:type="dxa"/>
            <w:vAlign w:val="bottom"/>
            <w:gridSpan w:val="2"/>
          </w:tcPr>
          <w:p>
            <w:pPr>
              <w:ind w:left="340"/>
              <w:spacing w:after="0"/>
              <w:rPr>
                <w:sz w:val="20"/>
                <w:szCs w:val="20"/>
                <w:color w:val="auto"/>
              </w:rPr>
            </w:pPr>
            <w:r>
              <w:rPr>
                <w:rFonts w:ascii="Arial" w:cs="Arial" w:eastAsia="Arial" w:hAnsi="Arial"/>
                <w:sz w:val="18"/>
                <w:szCs w:val="18"/>
                <w:color w:val="auto"/>
              </w:rPr>
              <w:t>(17)</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 government securities</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14,499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ind w:left="1060"/>
              <w:spacing w:after="0"/>
              <w:rPr>
                <w:sz w:val="20"/>
                <w:szCs w:val="20"/>
                <w:color w:val="auto"/>
              </w:rPr>
            </w:pPr>
            <w:r>
              <w:rPr>
                <w:rFonts w:ascii="Arial" w:cs="Arial" w:eastAsia="Arial" w:hAnsi="Arial"/>
                <w:sz w:val="18"/>
                <w:szCs w:val="18"/>
                <w:color w:val="auto"/>
              </w:rPr>
              <w:t>Subtotal</w:t>
            </w:r>
          </w:p>
        </w:tc>
        <w:tc>
          <w:tcPr>
            <w:tcW w:w="23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46,892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7"/>
                <w:szCs w:val="17"/>
                <w:color w:val="auto"/>
                <w:w w:val="72"/>
              </w:rPr>
              <w:t>(17)</w:t>
            </w: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51,934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$ 51,952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carrying amounts reported in the condensed consolidated balance sheet approximate the fair value based on quoted market prices or alternative pricing sources and models utilizing market observable inputs. As of September 30, 2013, the Company does not consider any of its marketable securities to be other than temporarily impaired. During the three months ended September 30, 2013, the Company recorded realized gains of approximately $5,000 from sales of marketable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 BUSINESS COMBINATION</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On September 9, 2013, the Company acquired substantially all of the assets of Baptist Leadership Group (BLG), a Pensacola, Florida based company that provides consulting services focused on patient-centered performance excellence in healthcare. The Company acquired BLG to strengthen its Patient Experience Solution. The consideration paid for BLG consisted of approximately $7.2 million in cash (taking into account the initial working capital adjustment that occurred at closing) and 15,230 shares of our common stock. The Company incurred approximately $110,000 in transaction costs associated with the acquisition, which were recorded in other general and administrative expense in the condensed consolidated statement of income. In allocating the purchase price, the Company has preliminarily recorded approximately $4.6 million of goodwill, $3.2 million of identifiable intangible assets, $334,000 of tangible assets, and $382,000 of liabilities. The goodwill balance is deductible for U.S. income tax purposes. The allocation of purchase price is preliminary and may be subject to change within the measurement period of one year from the acquisition date. The primary areas of the preliminary purchase price allocation that are not finalized include the composition and valuation of intangible assets, goodwill and deferred revenue. The results of operations for BLG have been included in the Company’s condensed consolidated financial statements from the date of acquisition, and are also included in the HealthStream Research segment.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BUSINESS SEGMENTS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primarily provides services to healthcare organizations and other members within the healthcare industry. The Company’s services are primarily focused on the delivery of learning and talent management products and services (HealthStream Learning &amp; Talent Management), as well as survey and research services (HealthStream Research). The accounting policies of the segments are the same as those described in the summary of significant accounting policies in the Company’s Annual Report on Form 10-K for the year ended December 31, 2012.</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measures segment performance based on operating income before income taxes and prior to the allocation of certain corporate overhead expenses, interest income, interest expense, and depreciation. The following is the Company’s business segment information as of and for the three and nine months ended September 30, 2013 and 2012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38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6"/>
        </w:trPr>
        <w:tc>
          <w:tcPr>
            <w:tcW w:w="538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4"/>
                <w:szCs w:val="14"/>
                <w:b w:val="1"/>
                <w:bCs w:val="1"/>
                <w:color w:val="auto"/>
              </w:rPr>
              <w:t>2012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Learning &amp; Talent Management</w:t>
            </w:r>
          </w:p>
        </w:tc>
        <w:tc>
          <w:tcPr>
            <w:tcW w:w="2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26,574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$20,341</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74,841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$57,444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Research</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7,085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6,039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w w:val="98"/>
              </w:rPr>
              <w:t>20,383</w:t>
            </w:r>
          </w:p>
        </w:tc>
        <w:tc>
          <w:tcPr>
            <w:tcW w:w="1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18,450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net revenue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33,659</w:t>
            </w:r>
          </w:p>
        </w:tc>
        <w:tc>
          <w:tcPr>
            <w:tcW w:w="7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95,224</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75,894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80" w:type="dxa"/>
            <w:vAlign w:val="bottom"/>
            <w:vMerge w:val="continue"/>
          </w:tcPr>
          <w:p>
            <w:pPr>
              <w:spacing w:after="0"/>
              <w:rPr>
                <w:sz w:val="18"/>
                <w:szCs w:val="18"/>
                <w:color w:val="auto"/>
              </w:rPr>
            </w:pP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Learning &amp; Talent Management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6,424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8"/>
              </w:rPr>
              <w:t>21,685</w:t>
            </w: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$17,289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Research</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1,964</w:t>
            </w:r>
          </w:p>
        </w:tc>
        <w:tc>
          <w:tcPr>
            <w:tcW w:w="160" w:type="dxa"/>
            <w:vAlign w:val="bottom"/>
          </w:tcPr>
          <w:p>
            <w:pPr>
              <w:spacing w:after="0"/>
              <w:rPr>
                <w:sz w:val="18"/>
                <w:szCs w:val="18"/>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1,625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(4,231)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(3,123)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9"/>
              </w:rPr>
              <w:t>(12,491)</w:t>
            </w:r>
          </w:p>
        </w:tc>
        <w:tc>
          <w:tcPr>
            <w:tcW w:w="1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(8,801)</w:t>
            </w: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Arial" w:cs="Arial" w:eastAsia="Arial" w:hAnsi="Arial"/>
                <w:sz w:val="18"/>
                <w:szCs w:val="18"/>
                <w:color w:val="auto"/>
              </w:rPr>
              <w:t>Total income from operations</w:t>
            </w:r>
          </w:p>
        </w:tc>
        <w:tc>
          <w:tcPr>
            <w:tcW w:w="25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3,731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11,157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380" w:type="dxa"/>
            <w:vAlign w:val="bottom"/>
            <w:vMerge w:val="restart"/>
          </w:tcPr>
          <w:p>
            <w:pPr>
              <w:spacing w:after="0"/>
              <w:rPr>
                <w:sz w:val="20"/>
                <w:szCs w:val="20"/>
                <w:color w:val="auto"/>
              </w:rPr>
            </w:pPr>
            <w:r>
              <w:rPr>
                <w:rFonts w:ascii="Arial" w:cs="Arial" w:eastAsia="Arial" w:hAnsi="Arial"/>
                <w:sz w:val="18"/>
                <w:szCs w:val="18"/>
                <w:color w:val="auto"/>
              </w:rPr>
              <w:t>Segment assets *</w:t>
            </w:r>
          </w:p>
        </w:tc>
        <w:tc>
          <w:tcPr>
            <w:tcW w:w="2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8"/>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5380" w:type="dxa"/>
            <w:vAlign w:val="bottom"/>
            <w:vMerge w:val="continue"/>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Learning &amp; Talent Management</w:t>
            </w:r>
          </w:p>
        </w:tc>
        <w:tc>
          <w:tcPr>
            <w:tcW w:w="2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57,124</w:t>
            </w:r>
          </w:p>
        </w:tc>
        <w:tc>
          <w:tcPr>
            <w:tcW w:w="44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46,693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Research</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5"/>
          </w:tcPr>
          <w:p>
            <w:pPr>
              <w:jc w:val="right"/>
              <w:ind w:right="368"/>
              <w:spacing w:after="0"/>
              <w:rPr>
                <w:sz w:val="20"/>
                <w:szCs w:val="20"/>
                <w:color w:val="auto"/>
              </w:rPr>
            </w:pPr>
            <w:r>
              <w:rPr>
                <w:rFonts w:ascii="Arial" w:cs="Arial" w:eastAsia="Arial" w:hAnsi="Arial"/>
                <w:sz w:val="18"/>
                <w:szCs w:val="18"/>
                <w:color w:val="auto"/>
                <w:w w:val="87"/>
              </w:rPr>
              <w:t>33,699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right"/>
              <w:ind w:right="100"/>
              <w:spacing w:after="0"/>
              <w:rPr>
                <w:sz w:val="20"/>
                <w:szCs w:val="20"/>
                <w:color w:val="auto"/>
              </w:rPr>
            </w:pPr>
            <w:r>
              <w:rPr>
                <w:rFonts w:ascii="Arial" w:cs="Arial" w:eastAsia="Arial" w:hAnsi="Arial"/>
                <w:sz w:val="18"/>
                <w:szCs w:val="18"/>
                <w:color w:val="auto"/>
              </w:rPr>
              <w:t>23,978</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Unallocated</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8"/>
            <w:shd w:val="clear" w:color="auto" w:fill="CCEEFF"/>
          </w:tcPr>
          <w:p>
            <w:pPr>
              <w:jc w:val="right"/>
              <w:ind w:right="368"/>
              <w:spacing w:after="0"/>
              <w:rPr>
                <w:sz w:val="20"/>
                <w:szCs w:val="20"/>
                <w:color w:val="auto"/>
              </w:rPr>
            </w:pPr>
            <w:r>
              <w:rPr>
                <w:rFonts w:ascii="Arial" w:cs="Arial" w:eastAsia="Arial" w:hAnsi="Arial"/>
                <w:sz w:val="18"/>
                <w:szCs w:val="18"/>
                <w:color w:val="auto"/>
              </w:rPr>
              <w:t>113,978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103,857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color w:val="auto"/>
              </w:rPr>
              <w:t>$  204,801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174,528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4" w:lineRule="exact"/>
        <w:rPr>
          <w:sz w:val="20"/>
          <w:szCs w:val="20"/>
          <w:color w:val="auto"/>
        </w:rPr>
      </w:pPr>
    </w:p>
    <w:p>
      <w:pPr>
        <w:jc w:val="both"/>
        <w:ind w:left="340" w:right="340" w:hanging="332"/>
        <w:spacing w:after="0" w:line="238"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Segment assets include accounts and unbilled receivables, prepaid and other current assets, other assets, capitalized software development, certain property and equipment, and intangible assets. Cash and cash equivalents and marketable securities are not allocated to individual segments, and are included within Unallocated. A significant portion of property and equipment assets are included within Unallocated.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COLLABORATIVE ARRANGEMENT</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participates in a collaborative arrangement, SimVentures</w:t>
      </w:r>
      <w:r>
        <w:rPr>
          <w:rFonts w:ascii="Arial" w:cs="Arial" w:eastAsia="Arial" w:hAnsi="Arial"/>
          <w:sz w:val="14"/>
          <w:szCs w:val="14"/>
          <w:color w:val="auto"/>
        </w:rPr>
        <w:t>TM</w:t>
      </w:r>
      <w:r>
        <w:rPr>
          <w:rFonts w:ascii="Arial" w:cs="Arial" w:eastAsia="Arial" w:hAnsi="Arial"/>
          <w:sz w:val="17"/>
          <w:szCs w:val="17"/>
          <w:color w:val="auto"/>
        </w:rPr>
        <w:t>, with Laerdal Medical A/S (Laerdal Medical). The Company receives 50 percent of the profits or losses generated from this collaborative arrangement. For the nine months ended September 30, 2013, the Company has recorded approximately $1.8 million of revenues and $1.7 million of expenses related to the collaborative arrangement. For the nine months ended September 30, 2012, the Company recorded $1.2 million of revenues and $1.3 million of expenses related to the collaborative arrangement. The Company has also recorded approximately $0.7 million of capitalized software development for SimVentures during 2013. The financial results for this collaborative arrangement are included in the HealthStream Learning &amp; Talent Management segment.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0" w:name="page11"/>
    <w:bookmarkEnd w:id="10"/>
    <w:p>
      <w:pPr>
        <w:ind w:right="4100"/>
        <w:spacing w:after="0" w:line="32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spacing w:after="0" w:line="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2012, appearing in our Annual Report on Form 10-K that was filed with the Securities and Exchange Commission (“SEC”) on March 1, 2013, (the “2012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16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2012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HealthStream provides Internet-based learning, talent management and research solutions for healthcare organizations—all designed to assess and develop the people that deliver patient care which, in turn, supports the improvement of business and clinical outcomes. Our learning and talent management products are used by healthcare organizations to meet a broad range of their training, certification, assessment and development needs, while our research products provide our customers information about patients’ experiences, workforce engagement, physician relations, and community perceptions of their services. HealthStream’s customers include healthcare organizations, pharmaceutical and medical device companies, and other participants in the healthcare industry.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Key financial indicators for the third quarter of 2013 include:</w:t>
      </w:r>
    </w:p>
    <w:p>
      <w:pPr>
        <w:spacing w:after="0" w:line="131"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of $33.7 million in the third quarter of 2013, up 28% from revenues of $26.4 million in the third quarter of 2012</w:t>
      </w:r>
    </w:p>
    <w:p>
      <w:pPr>
        <w:spacing w:after="0" w:line="23"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income of $3.9 million in the third quarter of 2013, up four percent from operating income of $3.7 million in the third quarter of 2012</w:t>
      </w:r>
    </w:p>
    <w:p>
      <w:pPr>
        <w:spacing w:after="0" w:line="20" w:lineRule="exact"/>
        <w:rPr>
          <w:rFonts w:ascii="Arial" w:cs="Arial" w:eastAsia="Arial" w:hAnsi="Arial"/>
          <w:sz w:val="17"/>
          <w:szCs w:val="17"/>
          <w:color w:val="auto"/>
        </w:rPr>
      </w:pPr>
    </w:p>
    <w:p>
      <w:pPr>
        <w:ind w:left="220" w:right="40" w:hanging="212"/>
        <w:spacing w:after="0" w:line="265" w:lineRule="auto"/>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Net income of $2.3 million in the third quarter of 2013, up 16% from net income of $2.0 million in the third quarter of 2012, and earnings per share (EPS) of $0.08 per share (diluted) in the third quarter of 2013, up 14% from EPS of $0.07 per share (diluted) in the third quarter of 2012</w:t>
      </w: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15"/>
          <w:szCs w:val="15"/>
          <w:color w:val="auto"/>
        </w:rPr>
        <w:t>(1)</w:t>
      </w:r>
      <w:r>
        <w:rPr>
          <w:rFonts w:ascii="Arial" w:cs="Arial" w:eastAsia="Arial" w:hAnsi="Arial"/>
          <w:sz w:val="18"/>
          <w:szCs w:val="18"/>
          <w:color w:val="auto"/>
        </w:rPr>
        <w:t xml:space="preserve"> of $6.3 million in the third quarter of 2013, up 10% from $5.7 million in the third quarter of 2012</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Annualized revenue per implemented subscriber</w:t>
      </w:r>
      <w:r>
        <w:rPr>
          <w:rFonts w:ascii="Arial" w:cs="Arial" w:eastAsia="Arial" w:hAnsi="Arial"/>
          <w:sz w:val="15"/>
          <w:szCs w:val="15"/>
          <w:color w:val="auto"/>
        </w:rPr>
        <w:t>(2)</w:t>
      </w:r>
      <w:r>
        <w:rPr>
          <w:rFonts w:ascii="Arial" w:cs="Arial" w:eastAsia="Arial" w:hAnsi="Arial"/>
          <w:sz w:val="18"/>
          <w:szCs w:val="18"/>
          <w:color w:val="auto"/>
        </w:rPr>
        <w:t xml:space="preserve"> of $30.95 in the third quarter of 2013, up 15% from $26.98 in the third quarter of 2012</w:t>
      </w:r>
    </w:p>
    <w:p>
      <w:pPr>
        <w:spacing w:after="0" w:line="11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EBITDA is a non-GAAP financial measure. A reconciliation of adjusted EBITDA to net income is included in this report.</w:t>
      </w:r>
    </w:p>
    <w:p>
      <w:pPr>
        <w:ind w:left="340" w:right="60" w:hanging="332"/>
        <w:spacing w:after="0" w:line="237"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Annualized revenue per implemented subscriber represents the quarter’s revenue for internet-based subscription products, annualized, then divided by the quarter’s average total implemented subscribers.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0"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Critical Accounting Policies and Estimates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Company’s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7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7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3"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Accounting for income taxes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Software development costs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intangibles, and other long-lived assets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Allowance for doubtful accounts</w:t>
      </w:r>
    </w:p>
    <w:p>
      <w:pPr>
        <w:spacing w:after="0" w:line="9" w:lineRule="exact"/>
        <w:rPr>
          <w:rFonts w:ascii="Arial" w:cs="Arial" w:eastAsia="Arial" w:hAnsi="Arial"/>
          <w:sz w:val="18"/>
          <w:szCs w:val="18"/>
          <w:color w:val="auto"/>
        </w:rPr>
      </w:pPr>
    </w:p>
    <w:p>
      <w:pPr>
        <w:ind w:left="440" w:hanging="32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Stock based compensation</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Consolidated Financial Statements in our 2012 Form 10-K, which contains additional information regarding our accounting policies and other disclosures required by US GAAP. There have been no changes in our critical accounting policies and estimates from those reported in our 2012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On September 9, 2013, the Company acquired substantially all of the assets of Baptist Leadership Group (BLG), a Pensacola, Florida based company that provides consulting services focused on patient-centered performance excellence in healthcare. The Company acquired BLG to strengthen its Patient Experience Solution. The consideration paid for BLG consisted of approximately $7.2 million in cash (taking into account the initial working capital adjustment that occurred at closing) and 15,230 shares of our common stock. The Company incurred approximately $110,000 in transaction costs associated with the acquisition, which were recorded in other general and administrative expense in the condensed consolidated statement of income. In allocating the purchase price, the Company has preliminarily recorded approximately $4.6 million of goodwill, $3.2 million of identifiable intangible assets, $334,000 of tangible assets, and $382,000 of liabilities. The goodwill balance is deductible for U.S. income tax purposes. The allocation of purchase price is preliminary and may be subject to change within the measurement period of one year from the acquisition date. The primary areas of the preliminary purchase price allocation that are not finalized include the composition and valuation of intangible assets, goodwill and deferred revenue. The results of operations for BLG have been included in the Company’s condensed consolidated financial statements from the date of acquisition, and are also included in the HealthStream Research segment.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2013 Compared to Three Months Ended September 30, 2012</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$7.3 million, or 27.6%, to $33.7 million for the three months ended September 30, 2013 from $26.4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September 30, 2012. Revenues for 2013 consisted of $26.6 million, or 79% of total revenue, for HealthStream Learning &amp; Talent Management and $7.1 million, or 21% of total revenue, for HealthStream Research. In 2012, revenues consisted of $20.4 million, or 77% of total revenue, for HealthStream Learning &amp; Talent Management and $6.0 million, or 23% of total revenue, for HealthStream Research.</w:t>
      </w:r>
    </w:p>
    <w:p>
      <w:pPr>
        <w:spacing w:after="0" w:line="171"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Revenues for HealthStream Learning &amp; Talent Management increased $6.2 million, or 30.6%, over the third quarter of 2012. Revenues from our Internet-based subscription learning and talent management products increased by $5.4 million, or 28.1%, over the prior year third quarter due to a higher number of subscribers and more courseware consumption by subscribers. Revenues in the third quarter of 2013 were positively influenced by courseware subscriptions associated with, among other products, ICD-10 training. Revenues from ICD-10 training were approximately $3.9 million in the third quarter of 2013, up $3.3 million over the prior year third quarter. Since 2011, we have contracted for over one million end-user subscriptions for our ICD-10 training solution, which has a retail price that generally ranges from $15 to $125 per user per year, with the average user price situated near the bottom end of the range. In the third quarter of 2013, a majority of new contracts for this solution were for a 24 month subscription period. Our subscriber base increased to 3.19 million fully-implemented subscribers and 3.41 million contracted subscribers at September 30, 2013 compared to 2.87 million fully-implemented subscribers and</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2.98 million contracted subscribers at September 30, 2012. Revenues from our credentialing software product, an installed solution, contributed $1.0 million during the third quarter of 2013. Revenues from SimVentures, our collaborative arrangement with Laerdal Medical, increased by $146,000 and approximated $565,000 during the third quarter of 2013 compared to $419,000 during the third quarter of 2012. Revenues from project-based services decreased by $220,000 compared to the prior year third quarter due to fewer content development projects.</w:t>
      </w:r>
    </w:p>
    <w:p>
      <w:pPr>
        <w:spacing w:after="0" w:line="17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Revenues for HealthStream Research increased $1.0 million, or 17.3%, over the third quarter of 2012. Revenues from Patient Insights™ surveys, our survey research product that generates recurring revenues, increased by $753,000, or 15.3%, over the prior year third quarter. Revenues from other surveys, which are conducted on annual or bi-annual cycles, increased slightly over the prior year third quarter.</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$3.3 million, or 30.4%, to $14.1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2013 from $10.8 million for the three months ended September 30, 2012. Cost of revenues as a percentage of revenues was</w:t>
      </w:r>
    </w:p>
    <w:p>
      <w:pPr>
        <w:ind w:right="20"/>
        <w:spacing w:after="0" w:line="268" w:lineRule="auto"/>
        <w:rPr>
          <w:sz w:val="20"/>
          <w:szCs w:val="20"/>
          <w:color w:val="auto"/>
        </w:rPr>
      </w:pPr>
      <w:r>
        <w:rPr>
          <w:rFonts w:ascii="Arial" w:cs="Arial" w:eastAsia="Arial" w:hAnsi="Arial"/>
          <w:sz w:val="17"/>
          <w:szCs w:val="17"/>
          <w:color w:val="auto"/>
        </w:rPr>
        <w:t>41.9% of revenues for the three months ended September 30, 2013 compared to 41.0% of revenues for the three months ended September 30, 2012. Cost of revenues for HealthStream Learning &amp; Talent Management increased approximately $2.7 million to $10.2 million and approximated 38.5% and 37.0% of revenues for HealthStream Learning &amp; Talent Management for the three months ended September 30, 2013 and 2012, respectively. The increase is primarily associated with increased royalties paid by us resulting from growth in courseware subscription revenues and increased personnel costs, but was partially offset by lower costs associated with project-based services. Cost of revenues for HealthStream Research increased approximately $583,000 to $3.9 million and approximated 54.4% and 54.2% of revenues for HealthStream Research for the three months ended September 30, 2013 and 2012, respectively. The increase in both amount and as a percentage of revenue is primarily the result of additional costs associated with the growth in patient survey volume over the prior year third quarter.</w:t>
      </w:r>
    </w:p>
    <w:p>
      <w:pPr>
        <w:sectPr>
          <w:pgSz w:w="11900" w:h="16838" w:orient="portrait"/>
          <w:cols w:equalWidth="0" w:num="1">
            <w:col w:w="11400"/>
          </w:cols>
          <w:pgMar w:left="240" w:top="270" w:right="259" w:bottom="528"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270" w:right="259" w:bottom="528" w:gutter="0" w:footer="0" w:header="0"/>
          <w:type w:val="continuous"/>
        </w:sectPr>
      </w:pPr>
    </w:p>
    <w:bookmarkStart w:id="12" w:name="page13"/>
    <w:bookmarkEnd w:id="12"/>
    <w:p>
      <w:pPr>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Product Development. </w:t>
      </w:r>
      <w:r>
        <w:rPr>
          <w:rFonts w:ascii="Arial" w:cs="Arial" w:eastAsia="Arial" w:hAnsi="Arial"/>
          <w:sz w:val="18"/>
          <w:szCs w:val="18"/>
          <w:color w:val="auto"/>
        </w:rPr>
        <w:t>Product development expenses increased approximately $933,000, or 41.0%, to $3.2 million for the three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2013 from $2.3 million for the three months ended September 30, 2012. Product development expenses as a percentage of revenues were 9.5% and 8.6% of revenues for the three months ended September 30, 2013 and 2012, respectively.</w:t>
      </w:r>
    </w:p>
    <w:p>
      <w:pPr>
        <w:spacing w:after="0" w:line="18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Product development expenses for HealthStream Learning &amp; Talent Management increased approximately $920,000 and approximated 10.5% and 9.2% of revenues for HealthStream Learning &amp; Talent Management for the three months ended September 30, 2013 and 2012, respectively. The increase is due to additional personnel expenses associated with the maintenance of our platform and new product development initiatives. Product development expenses for HealthStream Research increased approximately $13,000 and approximated 5.9% and 6.7% of revenues for HealthStream Research for the three months ended September 30, 2013 and 2012, respectively.</w:t>
      </w:r>
    </w:p>
    <w:p>
      <w:pPr>
        <w:spacing w:after="0" w:line="18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$1.5 million, or 33.1%, to $5.9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2013 from $4.4 million for the three months ended September 30, 2012. Sales and marketing expenses were 17.5% and 16.8% of revenues for the three months ended September 30, 2013 and 2012, respectively.</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Sales and marketing expenses for HealthStream Learning &amp; Talent Management increased $1.3 million and approximated 16.5% and 15.0% of revenues for HealthStream Learning &amp; Talent Management for the three months ended September 30, 2013 and 2012, respectively. This increase was associated with additional personnel and related expenses and increased commissions associated with higher sales performance compared to the prior year third quarter. Sales and marketing expenses for HealthStream Research increased approximately $139,000, and approximated 20.1% and 21.3% of revenues for HealthStream Research for the three months ended September 30, 2013 and 2012, respectively. The expense increase was primarily due to additional personnel and related expenses and increased commissions associated with higher sales performance compared to the prior year.</w:t>
      </w:r>
    </w:p>
    <w:p>
      <w:pPr>
        <w:spacing w:after="0" w:line="16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approximately $1.1 million, or 31.1%, to $4.6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2013 from $3.5 million for the three months ended September 30, 2012. Other general and administrative expenses as a percentage of revenues were 13.5% and 13.2% of revenues for the three months ended September 30, 2013 and 2012, respectively.</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Other general and administrative expenses for HealthStream Learning &amp; Talent Management increased $153,000 over the prior year third quarter primarily due to additional personnel, rent, and other support costs, while other general and administrative expenses for HealthStream Research increased $9,000 compared to the prior year third quarter. The unallocated corporate portion of other general and administrative expenses increased $917,000 over the prior year third quarter, primarily associated with additional personnel, professional fees, recruiting costs, stock based compensation expense, rent, and other general expenses.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$367,000, or 21.9%, to $2.0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from $1.7 million for the three months ended September 30, 2012. The increase primarily resulted from amortization of intangible assets within HealthStream Learning &amp; Talent Management and higher depreciation expense associated with improvements to our Nashville, Tennessee office space.</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net was approximately $46,000 for the three months ended September 30, 2013 compared to $42,000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2012. The improvement is associated with higher interest income from investments in marketable securities.</w:t>
      </w:r>
    </w:p>
    <w:p>
      <w:pPr>
        <w:spacing w:after="0" w:line="14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i w:val="1"/>
          <w:iCs w:val="1"/>
          <w:color w:val="auto"/>
        </w:rPr>
        <w:t xml:space="preserve">Income Tax Provision. </w:t>
      </w:r>
      <w:r>
        <w:rPr>
          <w:rFonts w:ascii="Arial" w:cs="Arial" w:eastAsia="Arial" w:hAnsi="Arial"/>
          <w:sz w:val="16"/>
          <w:szCs w:val="16"/>
          <w:color w:val="auto"/>
        </w:rPr>
        <w:t>The Company recorded a provision for income taxes of $1.6 million for the three months ended September 30, 2013 compared to $1.8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September 30, 2012. The Company’s effective tax rate was 41.5% for the third quarter of 2013 compared to 47.6% for the third quarter of 2012. The decrease in the effective tax rate was due to certain non-recurring state tax expenses incurred during 2012, but not during 2013.</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$319,000, or 16.1%, to $2.3 million for the three months ended September 30, 2013 from $2.0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2012. Earnings per diluted share were $0.08 per share for the three months ended September 30, 2013, compared to $0.07 per diluted share for the three months ended September 30, 2012.</w:t>
      </w:r>
    </w:p>
    <w:p>
      <w:pPr>
        <w:spacing w:after="0" w:line="18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Adjusted EBITDA (which we define as net income before interest, income taxes, stock based compensation, and depreciation and amortization) increased by 10.2% to approximately $6.3 million for the three months ended September 30, 2013 compared to $5.7 million for the three months ended September 30, 2012.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Nine Months Ended September 30, 2013 Compared to Nine Months Ended September 30, 2012</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increased approximately $19.3 million, or 25.5%, to $95.2 million for the nine months ended September 30, 2013 from $75.9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2012. Revenues for 2013 consisted of $74.8 million, or 79% of total revenue, for HealthStream Learning &amp; Talent Management and $20.4 million, or 21% of total revenue, for HealthStream Research. In 2012, revenues consisted of $57.4 million, or 76% of total revenue, for HealthStream Learning &amp; Talent Management and $18.5 million, or 24% of total revenue, for HealthStream Research.</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Revenues for HealthStream Learning &amp; Talent Management increased $17.4 million, or 30.3%, over the first nine months of 2012. Revenues from our Internet-based subscription learning and talent management products increased by $15.4 million, or 29.2%, over the prior year period due to a higher number of subscribers and more courseware consumption by subscribers. Revenues in 2013 were positively influenced by courseware subscriptions associated with, among other products, ICD-10 training. Revenues from ICD-10 training were approximately $8.8 million in 2013, up $7.8 million over the prior year. Revenues from our credentialing product increased $3.0 million over the prior year period. Revenues from SimVentures, our collaborative arrangement with Laerdal Medical, increased by $609,000 and approximated $1.8 million during the first nine months of 2013 compared to $1.2 million during the first nine months of 2012. Revenues from project-based services decreased by $1.6 million compared to the prior year period due to fewer content development projects.</w:t>
      </w:r>
    </w:p>
    <w:p>
      <w:pPr>
        <w:spacing w:after="0" w:line="192"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Revenues for HealthStream Research increased $1.9 million, or 10.5%, over the first nine months of 2012. Revenues from Patient Insights™ surveys, our survey research product that generates recurring revenues, increased by $2.0 million, or 13.6%, over the prior year period. Revenues from other surveys, which are conducted on annual or bi-annual cycles, decreased by $285,000, or 7.1%, compared to the prior year period.</w:t>
      </w:r>
    </w:p>
    <w:p>
      <w:pPr>
        <w:spacing w:after="0" w:line="166"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$8.9 million, or 29.3%, to $39.5 million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2013 from $30.5 million for the nine months ended September 30, 2012. Cost of revenues as a percentage of revenues was 41.5% of revenues for the nine months ended September 30, 2013 compared to 40.2% of revenues for the nine months ended September 30, 2012.</w:t>
      </w:r>
    </w:p>
    <w:p>
      <w:pPr>
        <w:spacing w:after="0" w:line="14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Cost of revenues for HealthStream Learning &amp; Talent Management increased approximately $7.1 million to $28.0 million and approximated 37.5% and 36.4% of revenues for HealthStream Learning &amp; Talent Management for the nine months ended September 30, 2013 and 2012, respectively. The increase is primarily associated with increased royalties paid by us resulting from growth in courseware subscription revenues and increased personnel costs, but was partially offset by lower costs associated with project-based services. Cost of revenues for HealthStream Research increased approximately $1.8 million to $11.4 million and approximated 56.1% and 52.3% of revenues for HealthStream Research for the nine months ended September 30, 2013 and 2012, respectively. The increase in both amount and as a percentage of revenue is primarily the result of additional costs associated with the growth in patient survey volume over the prior year.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approximately $2.3 million, or 35.8%, to $8.6 million for the nine months ended</w:t>
      </w:r>
    </w:p>
    <w:p>
      <w:pPr>
        <w:spacing w:after="0" w:line="3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September 30, 2013 from $6.3 million for the nine months ended September 30, 2012. Product development expenses as a percentage of revenues were 9.0% and 8.3% of revenues for the nine months ended September 30, 2013 and 2012, respectively.</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Product development expenses for HealthStream Learning &amp; Talent Management increased approximately $2.4 million and approximated 10.0% and 8.9% of revenues for HealthStream Learning &amp; Talent Management for the nine months ended September 30, 2013 and 2012, respectively. The increase is due to additional personnel expenses associated with the maintenance of our platform and new product development initiatives. Product development expenses for HealthStream Research decreased approximately $108,000 and approximated 5.4% and 6.6% of revenues for HealthStream Research for the nine months ended September 30, 2013 and 2012, respectively.</w:t>
      </w:r>
    </w:p>
    <w:p>
      <w:pPr>
        <w:spacing w:after="0" w:line="188"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$1.9 million, or 13.0%, to $16.5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2013 from $14.6 million for the nine months ended September 30, 2012. Sales and marketing expenses were 17.4% and 19.3% of revenues for the nine months ended September 30, 2013 and 2012, respectively. These expense increases were partially offset by a reduction of expenses associated with the timing of our customer Summit, which was held in the first quarter of 2012, compared to the fourth quarter of 2013. Sales and marketing expenses for 2012 included approximately $870,000 of expenses associated with Summit.</w:t>
      </w:r>
    </w:p>
    <w:p>
      <w:pPr>
        <w:spacing w:after="0" w:line="173"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Sales and marketing expenses for HealthStream Learning &amp; Talent Management increased $1.9 million and approximated 16.3% and 17.9% of revenues for HealthStream Learning &amp; Talent Management for the nine months ended September 30, 2013 and 2012, respectively. This increase was associated with additional personnel and related expenses and increased commissions associated with higher sales performance compared to the prior year, but was partially offset by the timing of our customer Summit. Sales and marketing expenses for HealthStream Research increased approximately $33,000, and approximated 20.0% and 22.0% of revenues for HealthStream Research for the nine months ended September 30, 2013 and 2012, respectively.</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0" w:right="279" w:bottom="1440" w:gutter="0" w:footer="0" w:header="0"/>
        </w:sectPr>
      </w:pPr>
    </w:p>
    <w:bookmarkStart w:id="14" w:name="page15"/>
    <w:bookmarkEnd w:id="14"/>
    <w:p>
      <w:pPr>
        <w:jc w:val="both"/>
        <w:ind w:right="60"/>
        <w:spacing w:after="0" w:line="31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Other General and Administrative Expenses. </w:t>
      </w:r>
      <w:r>
        <w:rPr>
          <w:rFonts w:ascii="Arial" w:cs="Arial" w:eastAsia="Arial" w:hAnsi="Arial"/>
          <w:sz w:val="16"/>
          <w:szCs w:val="16"/>
          <w:color w:val="auto"/>
        </w:rPr>
        <w:t>Other general and administrative expenses increased approximately $4.1 million, or 43.7%, to $13.6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nine months ended September 30, 2013 from $9.5 million for the nine months ended September 30, 2012. Other general and administrative expenses as a percentage of revenues were 14.3% and 12.5% of revenues for the nine months ended September 30, 2013 and 2012, respectively.</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Other general and administrative expenses for HealthStream Learning &amp; Talent Management increased $946,000 over the prior year period primarily due to additional personnel, rent, and other support costs, while other general and administrative expenses for HealthStream Research decreased $18,000 compared to the prior year period. The unallocated corporate portion of other general and administrative expenses increased $3.2 million over the prior year period, primarily associated with additional personnel, professional fees, recruiting costs, stock based compensation expense, rent, taxes, and other general expenses.</w:t>
      </w:r>
    </w:p>
    <w:p>
      <w:pPr>
        <w:spacing w:after="0" w:line="15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$1.0 million, or 21.6%, to $5.8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2013 from $4.8 million for the nine months ended September 30, 2012. The increase primarily resulted from amortization of intangible assets within HealthStream Learning &amp; Talent Management and higher depreciation expense associated with improvements to our Nashville, Tennessee office space.</w:t>
      </w:r>
    </w:p>
    <w:p>
      <w:pPr>
        <w:spacing w:after="0" w:line="187"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net was approximately $121,000 for the nine months ended September 30, 2013 compared to $87,000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2012. The improvement is associated with higher interest income from investments in marketable securities.</w:t>
      </w:r>
    </w:p>
    <w:p>
      <w:pPr>
        <w:spacing w:after="0" w:line="14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of $4.6 million for the nine months ended September 30, 2013 compared to $4.4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2012. The Company’s effective tax rate was 41.0% for 2013 compared to 42.9% for 2012. The decrease in the effective tax rate was due to certain non-recurring state tax expenses incurred during 2012, but not during 2013.</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approximately $834,000, or 14.3%, to $6.7 million for the nine months ended September 30, 2013 from $5.8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nine months ended September 30, 2012. Earnings per diluted share were $0.24 per share for the nine months ended September 30, 2013, compared to $0.21 per diluted share for the nine months ended September 30, 2012.</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Adjusted EBITDA (which we define as net income before interest, income taxes, stock based compensation, and depreciation and amortization) increased by 14.6% to approximately $18.0 million for the nine months ended September 30, 2013 compared to $15.7 million for the nine months ended September 30, 2012. This improvement is consistent with the factors mentioned above. See Reconciliation of Non-GAAP Financial Measures in Management’s Discussion and Analysis of Financial Condition and Results of Operations for our reconciliation of this calculation to measures under US GAAP.</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report contains certain non-GAAP financial measures, including, non-GAAP net income, non-GAAP operating income, non-GAAP revenue and adjusted EBITDA, which are used by management in analyzing its financial results and ongoing operational performance. These non-GAAP financial measures should not be considered as a substitute for, or superior to, measures of financial performance which are prepared in accordance with US GAAP and may be different from non-GAAP financial measures used by other companies.</w:t>
      </w:r>
    </w:p>
    <w:p>
      <w:pPr>
        <w:spacing w:after="0" w:line="18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order to better assess the Company’s financial results, management believes that adjusted EBITDA is an appropriate measure for evaluating the operating performance of the Company because adjusted EBITDA reflects net income adjusted for non-cash and non-operating items. Adjusted EBITDA is also used by many investors and securities analysts to assess the Company’s results from current operations. Adjusted EBITDA is a non-GAAP financial measure and should not be considered as a measure of financial performance under US GAAP. Because adjusted EBITDA is not a measurement determined in accordance with US GAAP, it is susceptible to varying calculations. Accordingly, adjusted EBITDA, as presented, may not be comparable to other similarly titled measures of other companies.</w:t>
      </w:r>
    </w:p>
    <w:p>
      <w:pPr>
        <w:spacing w:after="0" w:line="19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understands that, although adjusted EBITDA is frequently used by investors and securities analysts in their evaluation of companies, this measure has limitations as an analytical tool, and you should not consider it in isolation, or as a substitute for an analysis of the Company’s results as reported under US GAAP. For example, adjusted EBITDA does not reflect cash expenditures, or future requirements for capital expenditures or contractual commitments; it does not reflect non-cash components of employee compensation; it does not reflect changes in, or cash requirements for, our working capital needs; and due to the Company’s utilization of federal and state net operating loss carryforwards in 2012 and 2013, actual cash income tax payments have been significantly less than the tax provision recorded in accordance with US GAAP, and income tax payments will continue to be less than the income tax provision until our existing federal and state net operating loss carryforwards have been fully utilized or have expired.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4" w:right="259" w:bottom="1440" w:gutter="0" w:footer="0" w:header="0"/>
        </w:sectPr>
      </w:pPr>
    </w:p>
    <w:bookmarkStart w:id="15" w:name="page16"/>
    <w:bookmarkEnd w:id="15"/>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compensates for the inherent limitations associated with using adjusted EBITDA through disclosure of such limitations, presentation of our financial statements in accordance with US GAAP, and reconciliation of adjusted EBITDA to net income, the most directly comparable US GAAP measure.</w:t>
      </w:r>
    </w:p>
    <w:p>
      <w:pPr>
        <w:spacing w:after="0" w:line="12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order to provide more accurate trends and comparisons of the Company’s revenues, operating income, and net income, management believes that adding back the deferred revenue write-down associated with fair value accounting for acquired businesses provides a better indication of the ongoing performance of the Company. The revenue for the acquired contracts is deferred and typically recognized over a one year period, so our US GAAP revenues for the one year period after the acquisition will not reflect the full amount of revenues that would have been reported if the acquired deferred revenue was not written down to fair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2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2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GAAP net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tax provision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1,629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1,796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4,620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18,027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15,731</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GAAP revenues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33,659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26,380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95,224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75,894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Non-GAAP revenues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33,826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26,472</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95,891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75,986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3,879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11,157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40" w:type="dxa"/>
            <w:vAlign w:val="bottom"/>
          </w:tcPr>
          <w:p>
            <w:pPr>
              <w:ind w:left="340"/>
              <w:spacing w:after="0"/>
              <w:rPr>
                <w:sz w:val="20"/>
                <w:szCs w:val="20"/>
                <w:color w:val="auto"/>
              </w:rPr>
            </w:pPr>
            <w:r>
              <w:rPr>
                <w:rFonts w:ascii="Arial" w:cs="Arial" w:eastAsia="Arial" w:hAnsi="Arial"/>
                <w:sz w:val="18"/>
                <w:szCs w:val="18"/>
                <w:color w:val="auto"/>
              </w:rPr>
              <w:t>Adjustment for deferred revenue write-down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Non-GAAP operating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11,824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10,205</w:t>
            </w: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Arial" w:cs="Arial" w:eastAsia="Arial" w:hAnsi="Arial"/>
                <w:sz w:val="18"/>
                <w:szCs w:val="18"/>
                <w:color w:val="auto"/>
              </w:rPr>
              <w:t>GAAP net income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1,977</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6,658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for deferred revenue write-down, net of tax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3"/>
        </w:trPr>
        <w:tc>
          <w:tcPr>
            <w:tcW w:w="7960" w:type="dxa"/>
            <w:vAlign w:val="bottom"/>
            <w:gridSpan w:val="2"/>
          </w:tcPr>
          <w:p>
            <w:pPr>
              <w:spacing w:after="0"/>
              <w:rPr>
                <w:sz w:val="20"/>
                <w:szCs w:val="20"/>
                <w:color w:val="auto"/>
              </w:rPr>
            </w:pPr>
            <w:r>
              <w:rPr>
                <w:rFonts w:ascii="Arial" w:cs="Arial" w:eastAsia="Arial" w:hAnsi="Arial"/>
                <w:sz w:val="18"/>
                <w:szCs w:val="18"/>
                <w:color w:val="auto"/>
              </w:rPr>
              <w:t>Non-GAAP 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Net cash provided by operating activities increased by approximately $7.2 million, or 46.5%, to $22.9 million for the nine months ended September 30, 2013 from $15.6 million for the nine months ended September 30, 2012. The number of days sales outstanding (DSO) was 61 days for the third quarter of 2013 compared to 55 days for the third quarter of 2012. The Company calculates DSO by dividing the average accounts receivable balance, excluding unbilled and other receivables,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6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cash used in investing activities was approximately $11.9 million and $69.6 million for the nine months ended September 30, 2013 and 2012, respectively. During 2013, the Company purchased $67.6 million of marketable securities, utilized $7.4 million on acquisitions, spent $3.0 million for capitalized software development, and purchased $2.4 million of property and equipment. These uses of cash were partially offset by maturities and sales of marketable securities of $68.8 million. During 2012, the Company purchased $95.3 million of marketable securities, utilized $2.9 million on acquisitions, spent $3.1 million for capitalized software development, and purchased $3.2 million of property and equipment. These uses of cash were partially offset by maturities of marketable securities of $35.1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financing activities was approximately $2.8 million and $791,000 for the nine months ended September 30, 2013 and 2012,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primary source of cash from financing activities for 2013 and 2012 resulted from proceeds associated with the exercise of stock options.</w:t>
      </w:r>
    </w:p>
    <w:p>
      <w:pPr>
        <w:spacing w:after="0" w:line="211" w:lineRule="exact"/>
        <w:rPr>
          <w:sz w:val="20"/>
          <w:szCs w:val="20"/>
          <w:color w:val="auto"/>
        </w:rPr>
      </w:pPr>
    </w:p>
    <w:p>
      <w:pPr>
        <w:ind w:right="380"/>
        <w:spacing w:after="0" w:line="302" w:lineRule="auto"/>
        <w:rPr>
          <w:sz w:val="20"/>
          <w:szCs w:val="20"/>
          <w:color w:val="auto"/>
        </w:rPr>
      </w:pPr>
      <w:r>
        <w:rPr>
          <w:rFonts w:ascii="Arial" w:cs="Arial" w:eastAsia="Arial" w:hAnsi="Arial"/>
          <w:sz w:val="16"/>
          <w:szCs w:val="16"/>
          <w:color w:val="auto"/>
        </w:rPr>
        <w:t>Revenues increased and operating income improved over the prior year period, and our balance sheet reflects positive working capital of $86.3 million at September 30, 2013 compared to $83.3 million at December 31, 2012. The increase in working capital was primarily due to the cash generated from operations and increases in accounts receivable balances. The Company’s primary source of liquidity is $104.7 million of cash and cash equivalents and marketable securities. The Company also has a $20.0 million revolving credit facility loan agreement, all of which was available at September 30, 2013.</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believe that our existing cash and cash equivalents, marketable securities, cash generated from operations, and available borrowings under our revolving credit facility will be sufficient to meet anticipated cash needs for working capital, new product development and capital expenditures for at least the next 12 months. Over the past eight years, we have utilized our federal and state net operating loss carryforwards to offset taxable income. We anticipate our remaining net operating loss carryforwards will become fully utilized within the next 12 to 24 months. Our actual tax payments may increase significantly once the net operating loss carryforwards are fully utilized. As part of our growth strategy, we have recently completed several acquisitions and we continue to review possible acquisitions that complement our products and services. We anticipate that future acquisitions, if any, would be effected through a combination of stock and cash consideration. The issuance of our stock could have a dilutive effect on earnings per share and could adversely affect our stock price. Because we have no material debt or outstanding borrowings under our revolving credit facility, our balance sheet is unleveraged. Our revolving credit facility contains financial covenants and availability calculations designed to set a maximum leverage ratio of outstanding debt to equity. Therefore, if we were to borrow against our revolving credit facility, our debt capacity would be dependent on the covenant values at the time of borrowing. As of September 30, 2013, we believe we were in compliance with all covenants. The credit markets have been experiencing extreme volatility and disruption, and we cannot provide assurances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is exposed to market risk from changes in interest rates. We do not have any foreign currency exchange rate risk or commodity price risk. As of September 30, 2013, the Company had no outstanding debt. We may become subject to interest rate market risk associated with any future borrowings under our revolving credit facility. The interest rate under the revolving credit facility is based on 30 Day LIBOR plus a margin of either 175 or 200 basis points determined in accordance with a pricing grid. We are exposed to market risk with respect to our cash and investment balances, which approximated $104.7 million at September 30, 2013. Assuming a hypothetical 10% decrease in interest rates, interest income from cash and investments would decrease on an annualized basis by approximately $59,000.</w:t>
      </w:r>
    </w:p>
    <w:p>
      <w:pPr>
        <w:spacing w:after="0" w:line="193"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2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 -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8"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32.1 – Certification Pursuant to 18 U.S.C. Section 1350, as Adopted Pursuant to Section 906 of the Sarbanes-Oxley Act of 2002</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32.2 – Certification Pursuant to 18 U.S.C. Section 1350, as Adopted Pursuant to Section 906 of the Sarbanes-Oxley Act of 2002</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INS – XBRL Instance Document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SCH – XBRL Taxonomy Extension Schema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CAL – XBRL Taxonomy Extension Calculation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DEF – XBRL Taxonomy Extension Definition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LAB – XBRL Taxonomy Extension Label Linkbase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101.1 PRE – XBRL Taxonomy Extension Presentation Linkbase</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219"/>
          </w:cols>
          <w:pgMar w:left="240" w:top="270"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980" w:type="dxa"/>
            <w:vAlign w:val="bottom"/>
            <w:gridSpan w:val="2"/>
          </w:tcPr>
          <w:p>
            <w:pPr>
              <w:ind w:left="2460"/>
              <w:spacing w:after="0"/>
              <w:rPr>
                <w:sz w:val="20"/>
                <w:szCs w:val="20"/>
                <w:color w:val="auto"/>
              </w:rPr>
            </w:pPr>
            <w:r>
              <w:rPr>
                <w:rFonts w:ascii="Arial" w:cs="Arial" w:eastAsia="Arial" w:hAnsi="Arial"/>
                <w:sz w:val="18"/>
                <w:szCs w:val="18"/>
                <w:color w:val="auto"/>
              </w:rPr>
              <w:t>HEALTHSTREAM, INC</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October 29, 2013</w:t>
            </w:r>
          </w:p>
        </w:tc>
        <w:tc>
          <w:tcPr>
            <w:tcW w:w="7980" w:type="dxa"/>
            <w:vAlign w:val="bottom"/>
            <w:gridSpan w:val="2"/>
          </w:tcPr>
          <w:p>
            <w:pPr>
              <w:ind w:left="2460"/>
              <w:spacing w:after="0"/>
              <w:rPr>
                <w:sz w:val="20"/>
                <w:szCs w:val="20"/>
                <w:color w:val="auto"/>
              </w:rPr>
            </w:pPr>
            <w:r>
              <w:rPr>
                <w:rFonts w:ascii="Arial" w:cs="Arial" w:eastAsia="Arial" w:hAnsi="Arial"/>
                <w:sz w:val="18"/>
                <w:szCs w:val="18"/>
                <w:color w:val="auto"/>
              </w:rPr>
              <w:t>By: /s/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34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34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5"/>
        </w:trPr>
        <w:tc>
          <w:tcPr>
            <w:tcW w:w="3440" w:type="dxa"/>
            <w:vAlign w:val="bottom"/>
          </w:tcPr>
          <w:p>
            <w:pPr>
              <w:spacing w:after="0"/>
              <w:rPr>
                <w:sz w:val="24"/>
                <w:szCs w:val="24"/>
                <w:color w:val="auto"/>
              </w:rPr>
            </w:pP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9" w:name="page20"/>
    <w:bookmarkEnd w:id="1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9020" w:type="dxa"/>
            <w:vAlign w:val="bottom"/>
          </w:tcPr>
          <w:p>
            <w:pPr>
              <w:ind w:left="3620"/>
              <w:spacing w:after="0"/>
              <w:rPr>
                <w:sz w:val="20"/>
                <w:szCs w:val="20"/>
                <w:color w:val="auto"/>
              </w:rPr>
            </w:pPr>
            <w:r>
              <w:rPr>
                <w:rFonts w:ascii="Arial" w:cs="Arial" w:eastAsia="Arial" w:hAnsi="Arial"/>
                <w:sz w:val="18"/>
                <w:szCs w:val="18"/>
                <w:b w:val="1"/>
                <w:bCs w:val="1"/>
                <w:color w:val="auto"/>
              </w:rPr>
              <w:t>HEALTHSTREAM, INC.</w:t>
            </w:r>
          </w:p>
        </w:tc>
      </w:tr>
      <w:tr>
        <w:trPr>
          <w:trHeight w:val="432"/>
        </w:trPr>
        <w:tc>
          <w:tcPr>
            <w:tcW w:w="1100" w:type="dxa"/>
            <w:vAlign w:val="bottom"/>
          </w:tcPr>
          <w:p>
            <w:pPr>
              <w:spacing w:after="0"/>
              <w:rPr>
                <w:sz w:val="24"/>
                <w:szCs w:val="24"/>
                <w:color w:val="auto"/>
              </w:rPr>
            </w:pPr>
          </w:p>
        </w:tc>
        <w:tc>
          <w:tcPr>
            <w:tcW w:w="9020" w:type="dxa"/>
            <w:vAlign w:val="bottom"/>
          </w:tcPr>
          <w:p>
            <w:pPr>
              <w:ind w:left="3920"/>
              <w:spacing w:after="0"/>
              <w:rPr>
                <w:sz w:val="20"/>
                <w:szCs w:val="20"/>
                <w:color w:val="auto"/>
              </w:rPr>
            </w:pPr>
            <w:r>
              <w:rPr>
                <w:rFonts w:ascii="Arial" w:cs="Arial" w:eastAsia="Arial" w:hAnsi="Arial"/>
                <w:sz w:val="18"/>
                <w:szCs w:val="18"/>
                <w:b w:val="1"/>
                <w:bCs w:val="1"/>
                <w:color w:val="auto"/>
              </w:rPr>
              <w:t>EXHIBIT INDEX</w:t>
            </w:r>
          </w:p>
        </w:tc>
      </w:tr>
      <w:tr>
        <w:trPr>
          <w:trHeight w:val="567"/>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9020" w:type="dxa"/>
            <w:vAlign w:val="bottom"/>
          </w:tcPr>
          <w:p>
            <w:pPr>
              <w:ind w:left="280"/>
              <w:spacing w:after="0"/>
              <w:rPr>
                <w:sz w:val="20"/>
                <w:szCs w:val="20"/>
                <w:color w:val="auto"/>
              </w:rPr>
            </w:pPr>
            <w:r>
              <w:rPr>
                <w:rFonts w:ascii="Arial" w:cs="Arial" w:eastAsia="Arial" w:hAnsi="Arial"/>
                <w:sz w:val="18"/>
                <w:szCs w:val="18"/>
                <w:color w:val="auto"/>
              </w:rPr>
              <w:t>Certification of the Chief Executive Officer Pursuant to Section 302 of the Sarbanes-Oxley Act of 2002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tcPr>
          <w:p>
            <w:pPr>
              <w:ind w:left="280"/>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tcPr>
          <w:p>
            <w:pPr>
              <w:ind w:left="28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tcPr>
          <w:p>
            <w:pPr>
              <w:ind w:left="280"/>
              <w:spacing w:after="0"/>
              <w:rPr>
                <w:sz w:val="20"/>
                <w:szCs w:val="20"/>
                <w:color w:val="auto"/>
              </w:rPr>
            </w:pPr>
            <w:r>
              <w:rPr>
                <w:rFonts w:ascii="Arial" w:cs="Arial" w:eastAsia="Arial" w:hAnsi="Arial"/>
                <w:sz w:val="18"/>
                <w:szCs w:val="18"/>
                <w:color w:val="auto"/>
                <w:w w:val="90"/>
              </w:rPr>
              <w:t>Certification Pursuant to 18 U.S.C. Section 1350, as Adopted Pursuant to Section 906 of the Sarbanes-Oxley Act of 2002</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101.1 INS</w:t>
            </w:r>
          </w:p>
        </w:tc>
        <w:tc>
          <w:tcPr>
            <w:tcW w:w="902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101.1 SCH</w:t>
            </w:r>
          </w:p>
        </w:tc>
        <w:tc>
          <w:tcPr>
            <w:tcW w:w="902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101.1 CAL</w:t>
            </w:r>
          </w:p>
        </w:tc>
        <w:tc>
          <w:tcPr>
            <w:tcW w:w="902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101.1 DEF</w:t>
            </w:r>
          </w:p>
        </w:tc>
        <w:tc>
          <w:tcPr>
            <w:tcW w:w="902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101.1 LAB</w:t>
            </w:r>
          </w:p>
        </w:tc>
        <w:tc>
          <w:tcPr>
            <w:tcW w:w="902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100" w:type="dxa"/>
            <w:vAlign w:val="bottom"/>
          </w:tcPr>
          <w:p>
            <w:pPr>
              <w:spacing w:after="0"/>
              <w:rPr>
                <w:sz w:val="20"/>
                <w:szCs w:val="20"/>
                <w:color w:val="auto"/>
              </w:rPr>
            </w:pPr>
            <w:r>
              <w:rPr>
                <w:rFonts w:ascii="Arial" w:cs="Arial" w:eastAsia="Arial" w:hAnsi="Arial"/>
                <w:sz w:val="18"/>
                <w:szCs w:val="18"/>
                <w:color w:val="auto"/>
              </w:rPr>
              <w:t>101.1 PRE</w:t>
            </w:r>
          </w:p>
        </w:tc>
        <w:tc>
          <w:tcPr>
            <w:tcW w:w="9020" w:type="dxa"/>
            <w:vAlign w:val="bottom"/>
          </w:tcPr>
          <w:p>
            <w:pPr>
              <w:ind w:left="280"/>
              <w:spacing w:after="0"/>
              <w:rPr>
                <w:sz w:val="20"/>
                <w:szCs w:val="20"/>
                <w:color w:val="auto"/>
              </w:rPr>
            </w:pPr>
            <w:r>
              <w:rPr>
                <w:rFonts w:ascii="Arial" w:cs="Arial" w:eastAsia="Arial" w:hAnsi="Arial"/>
                <w:sz w:val="18"/>
                <w:szCs w:val="18"/>
                <w:color w:val="auto"/>
              </w:rPr>
              <w:t>XBRL Taxonomy Extension Presentation Linkbase</w:t>
            </w:r>
          </w:p>
        </w:tc>
      </w:tr>
    </w:tbl>
    <w:p>
      <w:pPr>
        <w:sectPr>
          <w:pgSz w:w="11900" w:h="16838" w:orient="portrait"/>
          <w:cols w:equalWidth="0" w:num="1">
            <w:col w:w="10219"/>
          </w:cols>
          <w:pgMar w:left="240" w:top="270"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25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October 29,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OBERT</w:t>
            </w:r>
            <w:r>
              <w:rPr>
                <w:rFonts w:ascii="Arial" w:cs="Arial" w:eastAsia="Arial" w:hAnsi="Arial"/>
                <w:sz w:val="18"/>
                <w:szCs w:val="18"/>
                <w:color w:val="auto"/>
              </w:rPr>
              <w:t xml:space="preserve"> A. F</w:t>
            </w:r>
            <w:r>
              <w:rPr>
                <w:rFonts w:ascii="Arial" w:cs="Arial" w:eastAsia="Arial" w:hAnsi="Arial"/>
                <w:sz w:val="15"/>
                <w:szCs w:val="15"/>
                <w:color w:val="auto"/>
              </w:rPr>
              <w:t>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324"/>
        </w:trPr>
        <w:tc>
          <w:tcPr>
            <w:tcW w:w="6080" w:type="dxa"/>
            <w:vAlign w:val="bottom"/>
          </w:tcPr>
          <w:p>
            <w:pPr>
              <w:spacing w:after="0"/>
              <w:rPr>
                <w:sz w:val="20"/>
                <w:szCs w:val="20"/>
                <w:color w:val="auto"/>
              </w:rPr>
            </w:pPr>
            <w:r>
              <w:rPr>
                <w:rFonts w:ascii="Arial" w:cs="Arial" w:eastAsia="Arial" w:hAnsi="Arial"/>
                <w:sz w:val="18"/>
                <w:szCs w:val="18"/>
                <w:color w:val="auto"/>
              </w:rPr>
              <w:t>.</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252"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October 29,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2013,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R</w:t>
      </w:r>
      <w:r>
        <w:rPr>
          <w:rFonts w:ascii="Arial" w:cs="Arial" w:eastAsia="Arial" w:hAnsi="Arial"/>
          <w:sz w:val="15"/>
          <w:szCs w:val="15"/>
          <w:color w:val="auto"/>
        </w:rPr>
        <w:t>OBERT</w:t>
      </w:r>
      <w:r>
        <w:rPr>
          <w:rFonts w:ascii="Arial" w:cs="Arial" w:eastAsia="Arial" w:hAnsi="Arial"/>
          <w:sz w:val="18"/>
          <w:szCs w:val="18"/>
          <w:color w:val="auto"/>
        </w:rPr>
        <w:t xml:space="preserve"> A. F</w:t>
      </w:r>
      <w:r>
        <w:rPr>
          <w:rFonts w:ascii="Arial" w:cs="Arial" w:eastAsia="Arial" w:hAnsi="Arial"/>
          <w:sz w:val="15"/>
          <w:szCs w:val="15"/>
          <w:color w:val="auto"/>
        </w:rPr>
        <w:t>RIST</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2013</w:t>
      </w:r>
    </w:p>
    <w:p>
      <w:pPr>
        <w:sectPr>
          <w:pgSz w:w="11900" w:h="16838" w:orient="portrait"/>
          <w:cols w:equalWidth="0" w:num="1">
            <w:col w:w="11380"/>
          </w:cols>
          <w:pgMar w:left="240" w:top="125" w:right="27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September 30, 2013,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87"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w:t>
      </w:r>
      <w:r>
        <w:rPr>
          <w:rFonts w:ascii="Arial" w:cs="Arial" w:eastAsia="Arial" w:hAnsi="Arial"/>
          <w:sz w:val="18"/>
          <w:szCs w:val="18"/>
          <w:color w:val="auto"/>
        </w:rPr>
        <w:t>/ G</w:t>
      </w:r>
      <w:r>
        <w:rPr>
          <w:rFonts w:ascii="Arial" w:cs="Arial" w:eastAsia="Arial" w:hAnsi="Arial"/>
          <w:sz w:val="15"/>
          <w:szCs w:val="15"/>
          <w:color w:val="auto"/>
        </w:rPr>
        <w:t>ERARD</w:t>
      </w:r>
      <w:r>
        <w:rPr>
          <w:rFonts w:ascii="Arial" w:cs="Arial" w:eastAsia="Arial" w:hAnsi="Arial"/>
          <w:sz w:val="18"/>
          <w:szCs w:val="18"/>
          <w:color w:val="auto"/>
        </w:rPr>
        <w:t xml:space="preserve"> M. H</w:t>
      </w:r>
      <w:r>
        <w:rPr>
          <w:rFonts w:ascii="Arial" w:cs="Arial" w:eastAsia="Arial" w:hAnsi="Arial"/>
          <w:sz w:val="15"/>
          <w:szCs w:val="15"/>
          <w:color w:val="auto"/>
        </w:rPr>
        <w:t>AYDEN</w:t>
      </w:r>
      <w:r>
        <w:rPr>
          <w:rFonts w:ascii="Arial" w:cs="Arial" w:eastAsia="Arial" w:hAnsi="Arial"/>
          <w:sz w:val="18"/>
          <w:szCs w:val="18"/>
          <w:color w:val="auto"/>
        </w:rPr>
        <w:t>, J</w:t>
      </w:r>
      <w:r>
        <w:rPr>
          <w:rFonts w:ascii="Arial" w:cs="Arial" w:eastAsia="Arial" w:hAnsi="Arial"/>
          <w:sz w:val="15"/>
          <w:szCs w:val="15"/>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29, 2013</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2019-12-06T22:34:57Z</dcterms:created>
  <dcterms:modified xsi:type="dcterms:W3CDTF">2019-12-06T22:34:57Z</dcterms:modified>
</cp:coreProperties>
</file>