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FRIST ROBERT A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11TH AVENUE NORTH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HEALTHSTREAM INC</w:t>
              </w:r>
            </w:hyperlink>
            <w:r>
              <w:rPr/>
              <w:t xml:space="preserve"> [ </w:t>
            </w:r>
            <w:r>
              <w:rPr>
                <w:rFonts w:ascii="Times;serif" w:hAnsi="Times;serif"/>
                <w:color w:val="0000FF"/>
                <w:sz w:val="24"/>
                <w:shd w:fill="FFFFFF" w:val="clear"/>
              </w:rPr>
              <w:t>HSTM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91"/>
        <w:gridCol w:w="931"/>
        <w:gridCol w:w="801"/>
        <w:gridCol w:w="618"/>
        <w:gridCol w:w="337"/>
        <w:gridCol w:w="1059"/>
        <w:gridCol w:w="404"/>
        <w:gridCol w:w="640"/>
        <w:gridCol w:w="1236"/>
        <w:gridCol w:w="951"/>
        <w:gridCol w:w="14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144,068</w:t>
            </w:r>
            <w:r>
              <w:rPr>
                <w:rFonts w:ascii="Times;serif" w:hAnsi="Times;serif"/>
                <w:color w:val="008000"/>
                <w:position w:val="7"/>
                <w:sz w:val="16"/>
                <w:sz w:val="20"/>
                <w:shd w:fill="FFFFFF" w:val="clear"/>
              </w:rPr>
              <w:t>(1)</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3,907,038</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Carolyn Marie Frist 2005 Vested Trust</w:t>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Cate Merriman Frist 2005 Vested Trust</w:t>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Eleanor Knox Frist 2005 Vested Trust</w:t>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Louise Trust u/a/d 08-16-2007</w:t>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Merriman Trust u/a/d 08-16-2007</w:t>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Marie Trust u/a/d 08-16-2007</w:t>
            </w:r>
          </w:p>
        </w:tc>
      </w:tr>
      <w:tr>
        <w:trPr/>
        <w:tc>
          <w:tcPr>
            <w:tcW w:w="17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Knox Trust u/a/d 08-16-2007</w:t>
            </w:r>
          </w:p>
        </w:tc>
      </w:tr>
      <w:tr>
        <w:trPr/>
        <w:tc>
          <w:tcPr>
            <w:tcW w:w="17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995,000</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Bobby and Melissa Frist Children's 2012 GST-Exempt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that certain Securities Purchase Agreement, dated September 11, 2026, by and among the Reporting Person, HealthStream, Inc. (the "Company"), and WJRJJ Ventures, LLC (the "Investor"), the Reporting Person sold 144,068 shares of Common Stock to the Investor at $29.50 per share, for an aggregate purchase price of $4.25 million in cash, in a privately negotiated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A. Frist,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7273" TargetMode="External"/><Relationship Id="rId5" Type="http://schemas.openxmlformats.org/officeDocument/2006/relationships/hyperlink" Target="http://www.sec.gov/cgi-bin/browse-edgar?action=getcompany&amp;CIK=00010955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3798</Characters>
  <CharactersWithSpaces>4403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