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Cunningham Jeff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37,513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the contingent right to receive one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are subject to a four year vesting schedule, contingent upon continued service at the time of vesting. 15% vest on September 18, 2027, 20% vest on September 18, 2028, 30% vest on September 18, 2029, and the remaining 35% vest on September 18,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are subject to a four year vesting schedule, contingent upon continued service at the time of vesting. The RSUs vest annually beginning September 18, 2027 in four equal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Vesting of these RSUs is contingent upon continued service at the time of vesting and the achievement of certain performance criteria. The performance criteria will be established on an annual basis by the Compensation Committee of the Board of Directors. Up to 25% vest on February 23, 2028 for the period January 1, 2027 through December 31, 2027; up to 25% vest on February 23, 2029 for the period January 1, 2028 through December 31, 2028; up to 25% vest on February 23, 2030 for the period January 1, 2029 through December 31, 2029; and up to 25% vest on February 23, 2031 for the period January 1, 2030 through December 31, 2030. Vesting will be determined based on actual performance. RSUs that do not vest during a performance period may become eligible for vesting during the next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Cunningham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2119"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847</Words>
  <Characters>4423</Characters>
  <CharactersWithSpaces>5167</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