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jc w:val="right"/>
        <w:ind w:right="554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17" w:lineRule="exact"/>
        <w:rPr>
          <w:sz w:val="20"/>
          <w:szCs w:val="20"/>
          <w:color w:val="auto"/>
        </w:rPr>
      </w:pPr>
    </w:p>
    <w:p>
      <w:pPr>
        <w:jc w:val="right"/>
        <w:ind w:right="5580"/>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1"/>
              </w:rPr>
              <w:t>Tennessee</w:t>
            </w:r>
          </w:p>
        </w:tc>
        <w:tc>
          <w:tcPr>
            <w:tcW w:w="4220" w:type="dxa"/>
            <w:vAlign w:val="bottom"/>
          </w:tcPr>
          <w:p>
            <w:pPr>
              <w:jc w:val="right"/>
              <w:ind w:right="77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(State or other jurisdiction of</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4220" w:type="dxa"/>
            <w:vAlign w:val="bottom"/>
          </w:tcPr>
          <w:p>
            <w:pPr>
              <w:spacing w:after="0"/>
              <w:rPr>
                <w:sz w:val="20"/>
                <w:szCs w:val="20"/>
                <w:color w:val="auto"/>
              </w:rPr>
            </w:pPr>
          </w:p>
        </w:tc>
      </w:tr>
      <w:tr>
        <w:trPr>
          <w:trHeight w:val="414"/>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209 10th Avenue South, Suite 450</w:t>
            </w:r>
          </w:p>
        </w:tc>
        <w:tc>
          <w:tcPr>
            <w:tcW w:w="4220" w:type="dxa"/>
            <w:vAlign w:val="bottom"/>
          </w:tcPr>
          <w:p>
            <w:pPr>
              <w:spacing w:after="0"/>
              <w:rPr>
                <w:sz w:val="24"/>
                <w:szCs w:val="24"/>
                <w:color w:val="auto"/>
              </w:rPr>
            </w:pPr>
          </w:p>
        </w:tc>
      </w:t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5"/>
              </w:rPr>
              <w:t>Nashville, Tennessee</w:t>
            </w:r>
          </w:p>
        </w:tc>
        <w:tc>
          <w:tcPr>
            <w:tcW w:w="4220" w:type="dxa"/>
            <w:vAlign w:val="bottom"/>
          </w:tcPr>
          <w:p>
            <w:pPr>
              <w:jc w:val="right"/>
              <w:ind w:right="970"/>
              <w:spacing w:after="0"/>
              <w:rPr>
                <w:sz w:val="20"/>
                <w:szCs w:val="20"/>
                <w:color w:val="auto"/>
              </w:rPr>
            </w:pPr>
            <w:r>
              <w:rPr>
                <w:rFonts w:ascii="Arial" w:cs="Arial" w:eastAsia="Arial" w:hAnsi="Arial"/>
                <w:sz w:val="18"/>
                <w:szCs w:val="18"/>
                <w:b w:val="1"/>
                <w:bCs w:val="1"/>
                <w:color w:val="auto"/>
              </w:rPr>
              <w:t>37203</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0"/>
          <w:szCs w:val="20"/>
          <w:color w:val="auto"/>
        </w:rPr>
      </w:pPr>
    </w:p>
    <w:p>
      <w:pPr>
        <w:ind w:right="204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of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206"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60" w:space="720"/>
            <w:col w:w="1420" w:space="720"/>
            <w:col w:w="3340" w:space="440"/>
            <w:col w:w="2320"/>
          </w:cols>
          <w:pgMar w:left="240" w:top="122" w:right="239" w:bottom="206"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Market on June 30, 2009 was $37,222,131. All executive officers and directors of the registrant have been deemed, solely for the purpose of the foregoing calculation, to be “affiliates”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23, 2010, there were 21,743,866 shares of the Registrant’s common stock outstanding.</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2010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206"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rPr>
              <w:t>HEALTHSTREAM,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gridSpan w:val="7"/>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w w:val="99"/>
              </w:rPr>
              <w:t>ANNUAL REPORT ON FORM 10-K</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40" w:type="dxa"/>
            <w:vAlign w:val="bottom"/>
            <w:gridSpan w:val="2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7"/>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1A. Risk Factors</w:t>
              </w:r>
            </w:hyperlink>
          </w:p>
        </w:tc>
        <w:tc>
          <w:tcPr>
            <w:tcW w:w="9040" w:type="dxa"/>
            <w:vAlign w:val="bottom"/>
            <w:gridSpan w:val="18"/>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1B. Unresolved Staff Comments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8"/>
          </w:tcPr>
          <w:p>
            <w:pPr>
              <w:spacing w:after="0"/>
              <w:rPr>
                <w:sz w:val="17"/>
                <w:szCs w:val="17"/>
                <w:color w:val="auto"/>
              </w:rPr>
            </w:pPr>
          </w:p>
        </w:tc>
        <w:tc>
          <w:tcPr>
            <w:tcW w:w="7920" w:type="dxa"/>
            <w:vAlign w:val="bottom"/>
            <w:gridSpan w:val="11"/>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3. Legal Proceedings</w:t>
              </w:r>
            </w:hyperlink>
          </w:p>
        </w:tc>
        <w:tc>
          <w:tcPr>
            <w:tcW w:w="8740" w:type="dxa"/>
            <w:vAlign w:val="bottom"/>
            <w:gridSpan w:val="17"/>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4. (Removed and Reserved)</w:t>
              </w:r>
            </w:hyperlink>
          </w:p>
        </w:tc>
        <w:tc>
          <w:tcPr>
            <w:tcW w:w="8240" w:type="dxa"/>
            <w:vAlign w:val="bottom"/>
            <w:gridSpan w:val="14"/>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12"/>
        </w:trPr>
        <w:tc>
          <w:tcPr>
            <w:tcW w:w="1064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5. Market for Registrant’s Common Equity, Related Stockholder Matters and Issuer Purchases of Equity Securities</w:t>
              </w:r>
            </w:hyperlink>
          </w:p>
        </w:tc>
        <w:tc>
          <w:tcPr>
            <w:tcW w:w="2000" w:type="dxa"/>
            <w:vAlign w:val="bottom"/>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6. Selected Financial Data</w:t>
              </w:r>
            </w:hyperlink>
          </w:p>
        </w:tc>
        <w:tc>
          <w:tcPr>
            <w:tcW w:w="8360" w:type="dxa"/>
            <w:vAlign w:val="bottom"/>
            <w:gridSpan w:val="15"/>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7. Management’s Discussion and Analysis of Financial Condition and Results of Operations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3620" w:type="dxa"/>
            <w:vAlign w:val="bottom"/>
            <w:gridSpan w:val="4"/>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8. Financial Statements and Supplementary Data</w:t>
              </w:r>
            </w:hyperlink>
          </w:p>
        </w:tc>
        <w:tc>
          <w:tcPr>
            <w:tcW w:w="6740" w:type="dxa"/>
            <w:vAlign w:val="bottom"/>
            <w:gridSpan w:val="8"/>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9. Changes in and Disagreements with Accountants on Accounting and Financial Disclosure</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Item 9A(T). Controls and Procedures</w:t>
              </w:r>
            </w:hyperlink>
          </w:p>
        </w:tc>
        <w:tc>
          <w:tcPr>
            <w:tcW w:w="4340" w:type="dxa"/>
            <w:vAlign w:val="bottom"/>
            <w:tcBorders>
              <w:top w:val="single" w:sz="8" w:color="0000EE"/>
            </w:tcBorders>
            <w:gridSpan w:val="9"/>
          </w:tcPr>
          <w:p>
            <w:pPr>
              <w:spacing w:after="0"/>
              <w:rPr>
                <w:sz w:val="17"/>
                <w:szCs w:val="17"/>
                <w:color w:val="auto"/>
              </w:rPr>
            </w:pPr>
          </w:p>
        </w:tc>
        <w:tc>
          <w:tcPr>
            <w:tcW w:w="3600" w:type="dxa"/>
            <w:vAlign w:val="bottom"/>
            <w:gridSpan w:val="3"/>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Item 9B. Other Information</w:t>
              </w:r>
            </w:hyperlink>
          </w:p>
        </w:tc>
        <w:tc>
          <w:tcPr>
            <w:tcW w:w="8640" w:type="dxa"/>
            <w:vAlign w:val="bottom"/>
            <w:gridSpan w:val="16"/>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412"/>
        </w:trPr>
        <w:tc>
          <w:tcPr>
            <w:tcW w:w="1064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PART III</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10. Directors, Executive Officers and Corporate Governance</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900" w:type="dxa"/>
            <w:vAlign w:val="bottom"/>
            <w:gridSpan w:val="7"/>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12. Security Ownership of Certain Beneficial Owners and Management and Related Stockholder Matters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7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13. Certain Relationships and Related Transactions, and Director Independence</w:t>
              </w:r>
            </w:hyperlink>
          </w:p>
        </w:tc>
        <w:tc>
          <w:tcPr>
            <w:tcW w:w="2700" w:type="dxa"/>
            <w:vAlign w:val="bottom"/>
            <w:gridSpan w:val="2"/>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196"/>
        </w:trPr>
        <w:tc>
          <w:tcPr>
            <w:tcW w:w="6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14. Principal Accounting Fees and Services</w:t>
              </w:r>
            </w:hyperlink>
          </w:p>
        </w:tc>
        <w:tc>
          <w:tcPr>
            <w:tcW w:w="4540" w:type="dxa"/>
            <w:vAlign w:val="bottom"/>
            <w:gridSpan w:val="5"/>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PART IV</w:t>
              </w:r>
            </w:hyperlink>
          </w:p>
        </w:tc>
        <w:tc>
          <w:tcPr>
            <w:tcW w:w="2840" w:type="dxa"/>
            <w:vAlign w:val="bottom"/>
            <w:tcBorders>
              <w:top w:val="single" w:sz="8" w:color="0000EE"/>
            </w:tcBorders>
            <w:gridSpan w:val="12"/>
          </w:tcPr>
          <w:p>
            <w:pPr>
              <w:spacing w:after="0"/>
              <w:rPr>
                <w:sz w:val="24"/>
                <w:szCs w:val="24"/>
                <w:color w:val="auto"/>
              </w:rPr>
            </w:pPr>
          </w:p>
        </w:tc>
        <w:tc>
          <w:tcPr>
            <w:tcW w:w="71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15. Exhibits, Financial Statement Schedules</w:t>
              </w:r>
            </w:hyperlink>
          </w:p>
        </w:tc>
        <w:tc>
          <w:tcPr>
            <w:tcW w:w="7080" w:type="dxa"/>
            <w:vAlign w:val="bottom"/>
            <w:gridSpan w:val="9"/>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Signatures</w:t>
              </w:r>
            </w:hyperlink>
          </w:p>
        </w:tc>
        <w:tc>
          <w:tcPr>
            <w:tcW w:w="9660" w:type="dxa"/>
            <w:vAlign w:val="bottom"/>
            <w:gridSpan w:val="21"/>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EX-10.14</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10-K. HealthStream undertakes no obligation to publicly release any revisions to the forward-looking statements or reflect events or circumstances after the date of this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HealthStream, Inc. (HealthStream or the Company) provides Internet-based learning and research solutions to meet the training, information, and education needs of the healthcare industry. Our learning products are used by healthcare organizations to meet a broad range of their training and assessment needs, while our research products provide our customers information about patients’ experiences, workforce challenges, physician relations, and community perceptions of their services. HealthStream’s customers include healthcare organizations, pharmaceutical and medical device companies, and other participants in the healthcare industry. Our customer base across both learning and research business units includes over 2,500 healthcare organizations (predominately acute-care facilities) throughout the United States.</w:t>
      </w:r>
    </w:p>
    <w:p>
      <w:pPr>
        <w:spacing w:after="0" w:line="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Company’s flagship learning product is the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(HLC), our proprietary, Internet-based learning platform, which at December 31, 2009 had approximately 2,073,000 contracted primarily hospital-based subscribers. We deliver educational and training courseware to our customers through the HLC platform. Our research products and service offerings include quality and satisfaction surveys, data analyses of survey results, and other research-based measurement tools focused on patients, physicians, employees, and members of the community.</w:t>
      </w:r>
    </w:p>
    <w:p>
      <w:pPr>
        <w:spacing w:after="0" w:line="6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Headquartered in Nashville, Tennessee, the Company was incorporated in 1990 and began providing its Internet-based solutions in 1999 and providing its survey and research solutions in 2005. Including satellite offices in Laurel, Maryland and Franklin, Tennessee, HealthStream had 311 full-time and 86 part-time employees as of December 31, 2009. HealthStream has evolved from a company with an initial focus on technology-based training to a company providing full-service delivery of education, training, research, and information to healthcare organizations.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According to the deputy director of the National Health Statistics Group at the Centers for Medicare and Medicaid Services (CMS), spending in the healthcare industry reached approximately $2.3 trillion in 2008, or 16.2 percent of the gross domestic product. Hospital care expenditures accounted for approximately 32 percent of the $2.3 trillion industry. Approximately 14.3 million professionals are employed in the healthcare segment of the domestic economy, with approximately 5.6 million employed in hospitals, our target market for our learning and research products. As of December 31, 2009, approximately 2.1 million, or 37 percent, of these healthcare professionals were contracted to use our internet-based HLC platform.</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the 5.6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as well as training on patient information confidentiality required under the Health Insurance Portability and Accountability Act (HIPAA).</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hospitals, staffing issues and personnel shortages have also contributed to the need for facility based workforce development as well as additional competency based training. The American Hospital Association (AHA)’s report “Workforce 2015: Strategy Trumps Shortage” (January, 2010), for example, indicates that the shortfall of registered nurses in 2025 will be 260,000 FTEs and the shortage of physicians in 2020 will be 109,000. We believe that offering training and education for hospital personnel is increasingly being utilized as a retention and recruitment incentive.</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healthcare professionals use continuing education to keep abreast of the latest developments and meet licensing, certification, and credentialing requirements. Continuing education requirements include continuing education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companies also provide support for education and training for those audiences that use their products in healthcare organizations.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large portion of the nation’s hospitals utilize research and survey tools to gain valuable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Healthcare Providers and Systems) Hospital Survey launched by CMS in partnership with the Agency for Healthcare Research and Quality (AHRQ). According to the Deficit Reduction Act of 2005, hospitals must submit data for certain required quality measures—which for inpatients includes the CAHPS</w:t>
      </w:r>
      <w:r>
        <w:rPr>
          <w:rFonts w:ascii="Arial" w:cs="Arial" w:eastAsia="Arial" w:hAnsi="Arial"/>
          <w:sz w:val="15"/>
          <w:szCs w:val="15"/>
          <w:color w:val="auto"/>
        </w:rPr>
        <w:t>®</w:t>
      </w:r>
      <w:r>
        <w:rPr>
          <w:rFonts w:ascii="Arial" w:cs="Arial" w:eastAsia="Arial" w:hAnsi="Arial"/>
          <w:sz w:val="18"/>
          <w:szCs w:val="18"/>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and offer CAHPS</w:t>
      </w:r>
      <w:r>
        <w:rPr>
          <w:rFonts w:ascii="Arial" w:cs="Arial" w:eastAsia="Arial" w:hAnsi="Arial"/>
          <w:sz w:val="15"/>
          <w:szCs w:val="15"/>
          <w:color w:val="auto"/>
        </w:rPr>
        <w:t>®</w:t>
      </w:r>
      <w:r>
        <w:rPr>
          <w:rFonts w:ascii="Arial" w:cs="Arial" w:eastAsia="Arial" w:hAnsi="Arial"/>
          <w:sz w:val="18"/>
          <w:szCs w:val="18"/>
          <w:color w:val="auto"/>
        </w:rPr>
        <w:t xml:space="preserve"> Hospital Survey services.</w:t>
      </w:r>
    </w:p>
    <w:p>
      <w:pPr>
        <w:spacing w:after="0" w:line="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HealthStream’s products and services are organized into two segments, 1) HealthStream Learning and 2) HealthStream Research, which collectively help healthcare organizations meet their ongoing training, education, information, and compliance needs. Our objective is to better support our healthcare organization customers in their efforts to transform insight into action as they measure and benchmark key data points for their constituencies and then incorporate the results into training and improvement through our learning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Learning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Within HealthStream Learning, we bring training and education content together with administrative and management tools through our Internet-based platforms, the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and a more streamlined version, HealthStream Express™. We offer our Internet-based platform customers a wide array of additional courseware subscriptions. Our learning management system supports healthcare administrators in configuring training to meet the precise needs of different groups of employees, modifying training materials, and documenting that training has been completed. At December 31, 2009, 2,073,000 healthcare professionals had contracted subscriptions for our Internet-based HLC services. Pricing for the HLC is subscription based, with fees based on the number of subscribers, courseware provided, and other factors. We offer training, implementation, and account management services to facilitate adoption of our platform. Fees for training are based on the time and efforts of the personnel involved. Implementation fees vary based on the size, scope, and complexity of the project.</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Internet-based platform and our courseware are hosted in a central data center that allows authorized subscribers Internet access to our services, thereby eliminating the need for onsite local implementations of installed learning management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Along with the Internet-based HLC, we also offer healthcare organizations full-service capabilities to create online courses by converting their existing course material, self-authoring new materials through our Authoring Center product, and electively sharing these materials with other HealthStream customers through a courseware exchange. We also offer Authoring Pro, an upgraded product which includes an industry leading image library, owned by A.D.A.M., Inc., as an additional subscription to this product. Pricing for these products is subscription based, with fees based on the number of subscribers and level of penetration of services.</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2009, we began pilot implementations of our new HealthStream Competency Center</w:t>
      </w:r>
      <w:r>
        <w:rPr>
          <w:rFonts w:ascii="Arial" w:cs="Arial" w:eastAsia="Arial" w:hAnsi="Arial"/>
          <w:sz w:val="15"/>
          <w:szCs w:val="15"/>
          <w:color w:val="auto"/>
        </w:rPr>
        <w:t>TM</w:t>
      </w:r>
      <w:r>
        <w:rPr>
          <w:rFonts w:ascii="Arial" w:cs="Arial" w:eastAsia="Arial" w:hAnsi="Arial"/>
          <w:sz w:val="18"/>
          <w:szCs w:val="18"/>
          <w:color w:val="auto"/>
        </w:rPr>
        <w:t xml:space="preserve"> (HCC) product. This product allows us to offer our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our new product provides an effective means of determining which competencies are associated with each position and evaluating and documenting competency assessments. The HCC is also intended to facilitate the development of a custom training program of courses available through the HLC that uniquely responds to the needs identified for each employee.</w:t>
      </w:r>
    </w:p>
    <w:p>
      <w:pPr>
        <w:spacing w:after="0" w:line="8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Through HealthStream Direct, we develop, manage, and distribute online, live, and print education and training activities for provider-based healthcare professionals and physicians, as well as online education and training activities for sales representatives. Certain of the education activities we develop and distribute provide continuing education credit for learners completing them. Pricing for these products varies based on the size, scope, and nature of the project. Most of these activities are supported by either pharmaceutical or medical device companies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strategy for HealthStream Learning is to continue growing our customer base of approximately 2,073,000 contracted subscribers using the Internet-based HLC, as well as expanding penetration of additional courseware offerings, developing new tools, and penetrating other professional services across our customer base. We will continue to seek opportunities to leverage this customer base through the deployment of pharmaceutical and medical device training and education.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Research</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HealthStream Research complements HealthStream Learning’s product and service offerings by providing hospital-based customers with patient, physician, employee, and community surveys, data analyses of survey results, and other research-based measurement tools. Our services are designed to provide thorough analyses that provide insightful recommendations for change; to provide benchmarking capability using our comprehensive databases; and to provide consulting services to identify solutions for our customers based on their survey results. Clients are able to access and analyze their survey results data through Insights Online, our secure web-based reporting platform. Our survey and research solutions focus on providing industry-leading, statistically valid data to assist our customers with their decision making related to their organization’s performance improvement objectives. In addition to collecting and reporting data, we provide expert analysis and consulting to help customers understand their survey results and the underlying impact on their business. It is with this insight that healthcare organizations are able to develop plans for improved performance that is able to be delivered through HealthStream’s learning solutions. Pricing for these services is based on the survey type, delivery method, size of the survey instrument, sample size, frequency of survey cycles, and other factors.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2009, we announced the launch of the HealthStream Improvement Center™, an online system for hospital leaders to optimize and accelerate the execution of improvement plans—including those plans based on results from employee, physician, and community surveys—as well as patient HCAHPS (Hospital Consumer Assessment of Healthcare Providers and Systems) surveys. The Improvement Center is the most recently added tool among a storehouse of solutions from HealthStream Research that include a comprehensive line of survey products, national benchmarks, HCAHPS Improvement Library, consulting services, and other support tools.</w:t>
      </w:r>
    </w:p>
    <w:p>
      <w:pPr>
        <w:spacing w:after="0" w:line="8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strategy for HealthStream Research includes continuing to grow our customer base of approximately 1,100 hospitals, expand the products and services provided to each customer, and introduce HealthStream Learning solutions to address survey research findings. We will continue to expand our offering of research and information tools that are aligned with healthcare quality initiatives and continuous improvement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acquired The Jackson Organization, Research Consultants, Inc. (TJO) in March 2007. For additional information regarding this acquisition, please see Note 2 of the Consolidated Financial Statements and Item 7, “Management’s Discussion and Analysis of Financial Condition and Results of Operations”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our training, information and education solutions to customers across a broad range of entities within the healthcare industry, including healthcare organizations (including government entities) and pharmaceutical and medical device companies. Examples of customers that have purchased or contracted for products and services from HealthStream include: HCA, Inc., Tenet Healthcare Corporation, Catholic Health Initiatives, Community Health Systems, Inc., Lifepoint Hospitals, Inc., Ardent Health Services, LLC, and Baxter Healthcare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market our products and services primarily through our direct sales teams, our consultants, and our account relationship managers, who are based at our corporate headquarters in Nashville, Tennessee and in our satellite offices located in Laurel, Maryland and Franklin, Tennessee, as well as remote home office sales locations. As of December 31, 2009, our HealthStream Learning sales and relationship management personnel consisted of 49 employees and our HealthStream Research sales and consultant personnel consisted of 22 employees. Our geographically dispersed field sales organization is divided into one team focused on selling our learning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conduct a variety of marketing programs to promote our products and services, including product catalogs, user groups and trade shows, online promotion and demonstrations, telemarketing campaigns, public relations, distribution of product specific literature, direct mail and advertising.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 most of the last nine years, we have hosted a conference in Nashville for our customers known as “The Summit.” We have utilized this client conference to reach out to existing and potential customers and business partners, provide training and educational services, and demonstrate our new and existing product offerings. We have marketing teams that are responsible for these initiatives and for working with and supporting our product management and sales teams. At December 31, 2009, these personnel consisted of 12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2009, these personnel consisted of approximately 91 employees for Learning and approximately 192 employees for Research, of which 116 employees worked in our interviewing center. Our Learning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software applications, servers, and network infrastructure that deliver the majority of our services are hosted by third party data center providers. Our primary data center is located at a tier four rated hosting facility in Chicago, Illinois, and our disaster recovery data center is hosted by a separate provider located in Nashville,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Franklin,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 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Monthly snap shots of our data are stored off site with a third party data storage provider.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healthcare education industry is highly fragmented, varies significantly in delivery methods (</w:t>
      </w:r>
      <w:r>
        <w:rPr>
          <w:rFonts w:ascii="Arial" w:cs="Arial" w:eastAsia="Arial" w:hAnsi="Arial"/>
          <w:sz w:val="17"/>
          <w:szCs w:val="17"/>
          <w:i w:val="1"/>
          <w:iCs w:val="1"/>
          <w:color w:val="auto"/>
        </w:rPr>
        <w:t>i.e.</w:t>
      </w:r>
      <w:r>
        <w:rPr>
          <w:rFonts w:ascii="Arial" w:cs="Arial" w:eastAsia="Arial" w:hAnsi="Arial"/>
          <w:sz w:val="17"/>
          <w:szCs w:val="17"/>
          <w:color w:val="auto"/>
        </w:rPr>
        <w:t>, written materials, live events, satellite broadcasts, video, CD-ROM products and online products),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device manufacturers’ sales and internal regulatory personnel usually fulfill their education and training needs through instructor-led programs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which is available from independent survey research vendors.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to the competing delivery methods described above, we also have direct competitors. A number of companies offer competitive installed and web based learning management products to the healthcare industry. We also compete with learning management system providers such as SABA and SumTotal Systems that provide their services to multiple industries, including healthcare. We also compete with large medical publishers that have operating units that offer learning management systems that focus on healthcare, including Cengage Learning’s Net Learning and Reed Elsevier Group’s MC Strategies. In the survey business, we see competition from large nationally recognized survey research firms such as Press Ganey Associates, National Research Corporation, Gallup, and others. Our survey business also experiences direct competition from vendors who provide survey research services to other industries including Kenexa and Foresight. Finally, recently we have also seen an increase in a teaming approach between consulting and technology entities to address larger scale projects.</w:t>
      </w:r>
    </w:p>
    <w:p>
      <w:pPr>
        <w:spacing w:after="0" w:line="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believe our learning solutions, which include both products and services that facilitate training for healthcare professionals, a wide assortment of courseware, a mechanism for measuring satisfaction or other results, and the ability to provide all our services on a single platform over the Internet, provide us with a competitive advantage. In our survey research business, we believe our large proprietary database of physician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We believe that the principal competitive factors affecting the marketing of our training, information, and education services to the healthcare industry include:</w:t>
      </w:r>
    </w:p>
    <w:p>
      <w:pPr>
        <w:spacing w:after="0" w:line="57" w:lineRule="exact"/>
        <w:rPr>
          <w:sz w:val="20"/>
          <w:szCs w:val="20"/>
          <w:color w:val="auto"/>
        </w:rPr>
      </w:pPr>
    </w:p>
    <w:p>
      <w:pPr>
        <w:ind w:left="660" w:right="6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scalability, and the ability to track utilization and results;</w:t>
      </w:r>
    </w:p>
    <w:p>
      <w:pPr>
        <w:spacing w:after="0" w:line="75" w:lineRule="exact"/>
        <w:rPr>
          <w:rFonts w:ascii="Arial" w:cs="Arial" w:eastAsia="Arial" w:hAnsi="Arial"/>
          <w:sz w:val="18"/>
          <w:szCs w:val="18"/>
          <w:b w:val="1"/>
          <w:bCs w:val="1"/>
          <w:color w:val="auto"/>
        </w:rPr>
      </w:pPr>
    </w:p>
    <w:p>
      <w:pPr>
        <w:ind w:left="660" w:right="20" w:hanging="314"/>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competency-based content, as well as the ability of our customers to create and host their own web-enabled courseware;</w:t>
      </w:r>
    </w:p>
    <w:p>
      <w:pPr>
        <w:spacing w:after="0" w:line="29" w:lineRule="exact"/>
        <w:rPr>
          <w:rFonts w:ascii="Arial" w:cs="Arial" w:eastAsia="Arial" w:hAnsi="Arial"/>
          <w:sz w:val="16"/>
          <w:szCs w:val="16"/>
          <w:b w:val="1"/>
          <w:bCs w:val="1"/>
          <w:color w:val="auto"/>
        </w:rPr>
      </w:pPr>
    </w:p>
    <w:p>
      <w:pPr>
        <w:ind w:left="660" w:right="5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customer service and support;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effectiveness of sales and marketing efforts;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company reputation.</w:t>
      </w:r>
    </w:p>
    <w:p>
      <w:pPr>
        <w:spacing w:after="0" w:line="117" w:lineRule="exact"/>
        <w:rPr>
          <w:sz w:val="20"/>
          <w:szCs w:val="20"/>
          <w:color w:val="auto"/>
        </w:rPr>
      </w:pPr>
    </w:p>
    <w:p>
      <w:pPr>
        <w:ind w:right="680"/>
        <w:spacing w:after="0" w:line="375" w:lineRule="auto"/>
        <w:rPr>
          <w:sz w:val="20"/>
          <w:szCs w:val="20"/>
          <w:color w:val="auto"/>
        </w:rPr>
      </w:pPr>
      <w:r>
        <w:rPr>
          <w:rFonts w:ascii="Arial" w:cs="Arial" w:eastAsia="Arial" w:hAnsi="Arial"/>
          <w:sz w:val="18"/>
          <w:szCs w:val="18"/>
          <w:color w:val="auto"/>
        </w:rPr>
        <w:t xml:space="preserve">Collectively, we believe these capabilities provide us with the ability to improve the quality of healthcare by developing the people who deliver care. </w:t>
      </w:r>
      <w:r>
        <w:rPr>
          <w:rFonts w:ascii="Arial" w:cs="Arial" w:eastAsia="Arial" w:hAnsi="Arial"/>
          <w:sz w:val="18"/>
          <w:szCs w:val="18"/>
          <w:b w:val="1"/>
          <w:bCs w:val="1"/>
          <w:color w:val="auto"/>
        </w:rPr>
        <w:t>GOVERNMENT REGULATION OF THE INTERNET AND THE HEALTHCARE INDUSTRY Regulation of the Internet and the Privacy and Security of Personal Information</w:t>
      </w: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laws and regulations that govern our business change rapidly. For example, the United States government and the governments of some states and foreign countries have attempted to regulate activities on the Internet. The following are some of the evolving areas of law that are relevant to our business:</w:t>
      </w:r>
    </w:p>
    <w:p>
      <w:pPr>
        <w:spacing w:after="0" w:line="16" w:lineRule="exact"/>
        <w:rPr>
          <w:sz w:val="20"/>
          <w:szCs w:val="20"/>
          <w:color w:val="auto"/>
        </w:rPr>
      </w:pPr>
    </w:p>
    <w:p>
      <w:pPr>
        <w:ind w:left="660" w:hanging="314"/>
        <w:spacing w:after="0" w:line="27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Privacy and Security Laws. </w:t>
      </w:r>
      <w:r>
        <w:rPr>
          <w:rFonts w:ascii="Arial" w:cs="Arial" w:eastAsia="Arial" w:hAnsi="Arial"/>
          <w:sz w:val="17"/>
          <w:szCs w:val="17"/>
          <w:color w:val="auto"/>
        </w:rPr>
        <w:t>Current and proposed federal, state and foreign privacy and security regulations and other laws restricting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(ARRA) has expanded the application of certain HIPAA privacy and security requirements to apply directly to us as a business associate of our customers.</w:t>
      </w:r>
    </w:p>
    <w:p>
      <w:pPr>
        <w:spacing w:after="0" w:line="77" w:lineRule="exact"/>
        <w:rPr>
          <w:rFonts w:ascii="Arial" w:cs="Arial" w:eastAsia="Arial" w:hAnsi="Arial"/>
          <w:sz w:val="17"/>
          <w:szCs w:val="17"/>
          <w:b w:val="1"/>
          <w:bCs w:val="1"/>
          <w:color w:val="auto"/>
        </w:rPr>
      </w:pPr>
    </w:p>
    <w:p>
      <w:pPr>
        <w:ind w:left="66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86"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314"/>
        <w:spacing w:after="0" w:line="270"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Information Security Accountability Regulation. </w:t>
      </w:r>
      <w:r>
        <w:rPr>
          <w:rFonts w:ascii="Arial" w:cs="Arial" w:eastAsia="Arial" w:hAnsi="Arial"/>
          <w:sz w:val="17"/>
          <w:szCs w:val="17"/>
          <w:color w:val="auto"/>
        </w:rPr>
        <w:t>As required by ARRA, the U.S. Department of Health and Human Services (HHS) published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on August 24, 2009, that require us as a business associate of our customers to report certain breaches of unsecured protected health information to our customers, which must in turn notify affected individuals, HHS and, in certain situations involving large breaches, the media. Congress has considered bills that would require companies to engage independent third parties to audit the companies’ computer information security. In addition, we are subject to certain state laws that relate to privacy or the reporting of security breaches that are more restrictive than the requirements of AARA.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If the Company is required to make a public announcement regarding a breach of security or if one of the Company’s customers is required to make a public announcement in connection with a breach of security by the Company, the Company’s business could be negatively impacted.</w:t>
      </w:r>
    </w:p>
    <w:p>
      <w:pPr>
        <w:spacing w:after="0" w:line="83" w:lineRule="exact"/>
        <w:rPr>
          <w:rFonts w:ascii="Arial" w:cs="Arial" w:eastAsia="Arial" w:hAnsi="Arial"/>
          <w:sz w:val="17"/>
          <w:szCs w:val="17"/>
          <w:b w:val="1"/>
          <w:bCs w:val="1"/>
          <w:color w:val="auto"/>
        </w:rPr>
      </w:pPr>
    </w:p>
    <w:p>
      <w:pPr>
        <w:ind w:left="660" w:right="80" w:hanging="314"/>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Sales and Use Tax. </w:t>
      </w:r>
      <w:r>
        <w:rPr>
          <w:rFonts w:ascii="Arial" w:cs="Arial" w:eastAsia="Arial" w:hAnsi="Arial"/>
          <w:sz w:val="17"/>
          <w:szCs w:val="17"/>
          <w:color w:val="auto"/>
        </w:rPr>
        <w:t>Through December 31, 2009, we collected sales, use or other taxes on taxable transactions in all states in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Laws and regulations directly applicable to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7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The Joint Commission. </w:t>
      </w:r>
      <w:r>
        <w:rPr>
          <w:rFonts w:ascii="Arial" w:cs="Arial" w:eastAsia="Arial" w:hAnsi="Arial"/>
          <w:sz w:val="18"/>
          <w:szCs w:val="18"/>
          <w:color w:val="auto"/>
        </w:rPr>
        <w:t>The Joint Commission mandates that employers in the healthcare industry provide certain workplace safety and patient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Health Insurance Portability and Accountability Act (HIPAA). </w:t>
      </w:r>
      <w:r>
        <w:rPr>
          <w:rFonts w:ascii="Arial" w:cs="Arial" w:eastAsia="Arial" w:hAnsi="Arial"/>
          <w:sz w:val="16"/>
          <w:szCs w:val="16"/>
          <w:color w:val="auto"/>
        </w:rPr>
        <w:t>HIPAA regulations require certain organizations, including most healthcare providers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ARRA expanded the application of certain HIPAA privacy and security requirements to apply directly to companies (known as business associates) that provide services to certain healthcare organizations.</w:t>
      </w:r>
    </w:p>
    <w:p>
      <w:pPr>
        <w:spacing w:after="0" w:line="5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board of nursing establishes the state’s CNE requirements for professional nurses. CNE credits are provided through accredited providers that have been approved by the American Nurses Credentialing Center (ANCC) Commission on Accreditation and/or the state board of nursing. CNE requirements vary widely from state to state. Thirty-two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certification of perioperative nursing) also require CNE credits, with certain percentages required in specific categories based on the certification type. We are an accredited provider of CNE by the ANCC.</w:t>
      </w:r>
    </w:p>
    <w:p>
      <w:pPr>
        <w:spacing w:after="0" w:line="7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Continuing Medical Education (CME). </w:t>
      </w:r>
      <w:r>
        <w:rPr>
          <w:rFonts w:ascii="Arial" w:cs="Arial" w:eastAsia="Arial" w:hAnsi="Arial"/>
          <w:sz w:val="18"/>
          <w:szCs w:val="18"/>
          <w:color w:val="auto"/>
        </w:rPr>
        <w:t>State licensing boards, professional organizations and employers require physicians to certify that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a minimum number of continuing medical education hours to maintain their licenses. Generally, each state’s medical practice laws authorize the state’s board of medicine to establish and track CME requirements. Forty-eight state medical licensing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 (AMA)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because this has become the benchmark for quality in formally organized educational activities. Most agencies nationwide that require CME 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The 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Consumer Assessment of Healthcare Providers and Systems (CAHPS). </w:t>
      </w:r>
      <w:r>
        <w:rPr>
          <w:rFonts w:ascii="Arial" w:cs="Arial" w:eastAsia="Arial" w:hAnsi="Arial"/>
          <w:sz w:val="18"/>
          <w:szCs w:val="18"/>
          <w:color w:val="auto"/>
        </w:rPr>
        <w:t>CMS has partnered with AHRQ to develop a standardized survey instrument and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According to the Deficit Reduction Act of 2005, hospitals must submit data for certain required quality measures—which for inpatients includes the CAHPS</w:t>
      </w:r>
      <w:r>
        <w:rPr>
          <w:rFonts w:ascii="Arial" w:cs="Arial" w:eastAsia="Arial" w:hAnsi="Arial"/>
          <w:sz w:val="15"/>
          <w:szCs w:val="15"/>
          <w:color w:val="auto"/>
        </w:rPr>
        <w:t>®</w:t>
      </w:r>
      <w:r>
        <w:rPr>
          <w:rFonts w:ascii="Arial" w:cs="Arial" w:eastAsia="Arial" w:hAnsi="Arial"/>
          <w:sz w:val="18"/>
          <w:szCs w:val="18"/>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Arial" w:cs="Arial" w:eastAsia="Arial" w:hAnsi="Arial"/>
          <w:sz w:val="15"/>
          <w:szCs w:val="15"/>
          <w:color w:val="auto"/>
        </w:rPr>
        <w:t>®</w:t>
      </w:r>
      <w:r>
        <w:rPr>
          <w:rFonts w:ascii="Arial" w:cs="Arial" w:eastAsia="Arial" w:hAnsi="Arial"/>
          <w:sz w:val="18"/>
          <w:szCs w:val="18"/>
          <w:color w:val="auto"/>
        </w:rPr>
        <w:t xml:space="preserve"> Hospital Survey services.</w:t>
      </w:r>
    </w:p>
    <w:p>
      <w:pPr>
        <w:spacing w:after="0" w:line="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In January 2009, the PhRMA code of ethics was updated, and AdvaMed made changes to its code of ethics that became effective in July 2009. These changes placed further restrictions on the interactions between industry and health care professionals.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advertiser or sponsor of that information. In addition, the FDA may adopt new regulatory policies that more tightly regulate the format and content of promotional information on the Internet.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 Regulations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December 2007, the SEC issued new rules for smaller reporting companies, expanding the number of companies that qualify for its scaled disclosure requirements. The Company continues to monitor these regulations and rulings to ensure that we appropriately allocate our resources to maintain compliance with all applicable regulations. Currently, our compliance with Section 404(b) of the Sarbanes-Oxley Act is applicable for calendar year 2010.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protect our proprietary rights, we rely generally on copyright, trademark and trade secret laws, confidentiality agreements and procedures with employees, consultants and other third parties, license agreements with consultants, vendors and customers, and control access to our software, documentation and other proprietary information. We own Federal trademark and service mark registrations for the marks “HEALTHSTREAM”, “HOSPITAL DIRECT”, “OR PROTOCOL”, and “QUALITY CHECK.”</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or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a third party asserts a claim that we have infringed its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December 31, 2009, we employed 311 full-time and 86 part-time persons, including approximately 116 employees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92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c>
          <w:tcPr>
            <w:tcW w:w="20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6"/>
                <w:szCs w:val="16"/>
                <w:color w:val="auto"/>
              </w:rPr>
            </w:pPr>
          </w:p>
        </w:tc>
        <w:tc>
          <w:tcPr>
            <w:tcW w:w="692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Jeffrey S. Doster</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45</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Technology Officer</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Gerard M. Hayden, Jr.</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55</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Arthur E. Newman</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61</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 Edward Pearson</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47</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President of HealthStream Research</w:t>
            </w:r>
            <w:r>
              <w:rPr>
                <w:rFonts w:ascii="Arial" w:cs="Arial" w:eastAsia="Arial" w:hAnsi="Arial"/>
                <w:sz w:val="15"/>
                <w:szCs w:val="15"/>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Kevin P. O’Hara</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Compliance Officer</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Michael Sousa</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41</w:t>
            </w: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Robert A. Frist, Jr., one of our co-founders, has served as our chief executive officer and chairman of the board of directors since 1990 and president since 2001. Mr. Frist is the Company’s chief operating decision maker, and has primary responsibility and oversight of HealthStream Learning. He graduated with a Bachelor of Science in business with concentrations in finance, economics and marketing from Trinity University.</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From November 2006 to May 2008, he served as principal at The Altus Group LLC, a business consulting company. From March 2005 to October 2006, he served as senior vice president and chief technology officer at The Shop at Home Network, LLC, a television shopping company. From October 2000 to April 2004, he served as senior vice president of information technology at New Roads, Inc., a provider of fulfillment and other services to retailers. He earned undergraduate degrees in both Economics and Business Administration from Towson University, as well as a Master of Business Administration from Loyola College, in Maryland.</w:t>
      </w:r>
    </w:p>
    <w:p>
      <w:pPr>
        <w:spacing w:after="0" w:line="5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Gerard M. Hayden, Jr. joined the Company as senior vice president and chief financial officer in May 2008. From April 2007 to May 2008, he served as executive vice president and chief financial officer of MedAvant Healthcare Solutions, a healthcare transaction processing company. From January 2005 to April 2007, he was a consultant for various healthcare, technology and other business ventures. From November 2001 to January 2005, he served as chief financial officer for Private Business, Inc., a company offering marketing and software solutions to regional and community banks in the United States. He earned a Bachelor of Arts from the University of Notre Dame and a Master of Science from Northeastern University. Mr. Hayden served on the Company’s Board of Directors and was a member of the Audit Committee from September 2006 to May 2008.</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w:t>
      </w:r>
      <w:r>
        <w:rPr>
          <w:rFonts w:ascii="Arial" w:cs="Arial" w:eastAsia="Arial" w:hAnsi="Arial"/>
          <w:sz w:val="15"/>
          <w:szCs w:val="15"/>
          <w:color w:val="auto"/>
        </w:rPr>
        <w:t>™</w:t>
      </w:r>
      <w:r>
        <w:rPr>
          <w:rFonts w:ascii="Arial" w:cs="Arial" w:eastAsia="Arial" w:hAnsi="Arial"/>
          <w:sz w:val="18"/>
          <w:szCs w:val="18"/>
          <w:color w:val="auto"/>
        </w:rPr>
        <w:t xml:space="preserve"> during 2007. From June 2003 to June 2006, he served as president and chief executive officer of DigiScript, an Internet-based training and communication solutions provider for the life sciences industry. He earned a Bachelor of Business Administration in accounting from Middle Tennessee State University.</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Kevin P. O’Hara joined the company in January 2002, and was promoted to senior vice president and general counsel in February 2007. He assumed compliance officer responsibilities during August 2007. He previously served as vice president for the company. He earned a Bachelor of Arts degree and a J.D. from Vanderbilt University.</w:t>
      </w: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Michael Sousa joined the company in October 2004, and was promoted to senior vice president in January 2010. He previously served as vice president for the Company, with responsibilities for our strategic accounts program within HealthStream Learning. He earned a Bachelor of Science degree from Boston College and a Master of Business Administration from Boston University.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73" w:lineRule="exact"/>
        <w:rPr>
          <w:sz w:val="20"/>
          <w:szCs w:val="20"/>
          <w:color w:val="auto"/>
        </w:rPr>
      </w:pPr>
    </w:p>
    <w:p>
      <w:pPr>
        <w:ind w:left="660" w:right="48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expenses, delays and difficulties of identifying and developing new products or services and integrating such new products or services into our existing organization;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leverage our operational and financial systems sufficiently to support our growth;</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 from new products to offset investment costs;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effectively identify, manage and exploit existing and emerging market opportunities;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maintain our existing customer relationships;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increased competition from new and existing competitors;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lengthy sales cycles, or customers delaying purchasing decisions due to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reduced spending within the training, information and education departments of hospitals within our target market;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failure of the market for training, information and education in the healthcare industry to grow to a sufficient size or at a sufficient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and our competitive position in the industry, could suffer.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part of our growth strategy, we actively review possible acquisitions that complement or enhance our business. We may not be able to identify, complete or integrate the operations of future acquisitions. In addition, if we finance acquisitions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strategy include:</w:t>
      </w:r>
    </w:p>
    <w:p>
      <w:pPr>
        <w:spacing w:after="0" w:line="63"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expenses, delays or difficulties in identifying and integrating acquired companies into our organization;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retain personnel associated with acquisitions;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daily operations;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revenues, profits, and cash flows from acquisitions to offset our investment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for certain products and services may be hindered by customer scheduling.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sample size, and timing of survey cycles can vary from quarter to quarter and year to year. Also, other project-based products, such as live events, certain content development, and professional services, are subject to the customers’ involvement in the provision of the product or service. The magnitude of these project-based product and service contracts may vary widely from quarter to quarter and year to year, and thus may affect our ability to accurately forecast quarterly and annual financial performance.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may be affected by lengthy and widely varying sales cycles.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period from our initial contact with a potential customer and the first purchase of our solution by the customer typically ranges from three to nine months, and in some cases has extended much further. The range in the sales cycle can be impacted by multiple factors, including an increasing trend towards more formal request for proposals (RFP) processes and more competition within our industry, as well as formal budget timelines which impact timing of purchases by target customers. As a result of these factors, we have only limited ability to forecast the timing and type of initial sales. This, in turn, makes it more difficult to forecast quarterly and annual financial performance.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training and continuing education in the healthcare industry. We also face competition from larger survey and research companies. Given the profile and growth of the healthcare industry and the growing need for education, training,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three years, with no obligation to renew. The short terms of these agreements enable customers to shift to one of our competitors.</w:t>
      </w:r>
    </w:p>
    <w:p>
      <w:pPr>
        <w:spacing w:after="0" w:line="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retain proper distribution rights from our content partners, and this could affect projected growth in courseware subscription revenues.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expect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and we are not able to accurately predict the volume or speed with which old and new customers will adopt such new methodology.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our core software platforms. While all new products and services are subject to testing and quality control, all software is subject to error.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by new or existing customers, we may not be able to recover the cost of this development and our business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use licensed third party technology components in some of our products. Future licenses to this technology may not be available to us on commercially reasonable terms, or at all. The loss of or inability to obtain or maintain any of these licenses could result in delays in the introduction of new products and services or could force us to discontinue offering portions of our learning management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or survey and research solutions until equivalent technology, if available, is identified, licensed and integrated. The operation of our products would be impaired if errors occur in the third party technology or content that we incorporate, and we may incur additional costs to repair or replace the defective software. It may be difficult for us to correct any errors in third party software because the software is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derive a substantial portion of our revenues from a relatively small number of customers. A termination of our agreements with our significant customers or a failure of these customers to renew their contracts on favorable terms, or at all, would have a material adverse effect on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1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the year ended December 31, 2009, approximately 59 percent of our net revenues were derived from our Internet-based subscription products. Our Internet-based HLC customers have no obligation to renew their subscriptions for our products or services after the expiration of the initial subscription period, and in fact, some customers have elected not to renew their subscription. In addition, our customers may renew at a lower pricing or activity level. During the year ended December 31, 2009, we renewed 103% of the annual HLC contract value up for renewal and 102% of the subscribers which were up for renewal. Because a significant portion of our customer contracts have only renewed one or two times, we do not have sufficient historical data to accurately predict future customer renewal rates. Our customers’ renewal rates may decline or fluctuate as a result of a number of factors, including their dissatisfaction with our service. If we are unable to renew a substantial portion of the contracts that are up for renewal or maintain our pricing, our revenues could be adversely affected, which would have a material adverse affect on our results of operations and financial position. Contracts for our survey and research services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recognize revenue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 will be delayed, which could adversely impact our operating results. In addition, completion and acceptance by our customers of developed content and courseware must be achieved, survey responses must be received and tabulated, and utilization of courseware is required in connection with subscription Internet-based learning products for us to recognize revenue. As we noted above, our project-based revenues are likely to be subject to significant fluctuations.</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recognize approximately 59 percent of our revenue from customers monthly over the terms of their subscription agreements, which have initial contract terms ranging from one to three years, although terms can range from less than one to up to five years. As a result, much of the revenue we report in each quarter is related to subscription agreements entered into during previous quarters. Consequently, a decline in new or renewed subscriptions in any one quarter will not necessarily be fully reflected in the revenue in that quarter and will negatively affect our revenue in future quarters. In addition, we may be unable to adjust our cost structure to reflect these reduced revenues.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costs associated with sales are incurred up front, and therefore unexpected successes in platform and content sales may increase our costs in the near term negatively affecting our financial performance.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current cash reserves, revolving credit facility, and results of operations are expected to be sufficient to meet our cash requirements through at least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additional funds in order to:</w:t>
      </w:r>
    </w:p>
    <w:p>
      <w:pPr>
        <w:spacing w:after="0" w:line="103"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new, or enhance existing, services or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respond to competitive pressures;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finance working capital requirements; or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acquire complementary businesses, technology, content or products.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December 31, 2009, we had approximately $12.3 million in cash, cash equivalents, and related interest receivable. We also have up to $15.0 million of availability under a revolving credit facility, subject to certain covenants, which expires in July 2011. We expect to incur up to $4.0 million of capital expenditures, software feature enhancements and content purchases during 2010 to support our business. In February 2010, we authorized a stock repurchase plan, with approval to acquire up to $4.0 million of our common stock. We continue to actively review possible business acquisitions that would complement or enhance our products and services. We may not have adequate cash and investments or availability under our revolving credit facility to consummate one or more of these acquisitions. The credit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December 31, 2009, our balance sheet included goodwill of $21.1 million and identifiable intangible assets of $3.8 million. Economic, legal, regulatory, competitive, contractual, and other factors could result in future declines in the operating results of our business units or market value declines that do not support the carrying value of goodwill and identifiable intangible assets. If any of these factors impair the value of these assets, accounting rules require us to reduce their carrying value and report an impairment charge, which would reduce our reported assets and earnings in the period an impairment is recognized.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market price of our common stock is likely to be volatile and could be subject to significant fluctuations in response to factors such as the following, many of which are beyond our control: quarterly variations in our operating results; operating results that vary from the expectations of securities analysts and investors; changes in expectations as to our future financial performance; changes in market valuations of other online service companies; future sales of our common stock; stock market price and volume fluctuations; general political and economic conditions, such as a recession or war or terrorist attacks or interest rate or currency rate fluctuations; and other risk factors described in this Annual Report on Form 10-K. Moreover, our stock is thinly traded, and we have a relatively small public float. These factors may adversely affect the market price of our common stock. In addition, the market prices for stocks of many Internet related and technology companies have historically experienced significant price fluctuations that in some cases appear to bear no relationship to the operating performance of these companies.</w:t>
      </w:r>
    </w:p>
    <w:p>
      <w:pPr>
        <w:spacing w:after="0" w:line="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Sarbanes-Oxley Section 404 requires our management to report on, and will require our independent public accounting firm to attest to, the effectiveness of our internal controls over financial reporting. Although the date of our required compliance with Section 404(b) has been delayed many times in the past, it is likely that we will be required to comply with the reporting requirements under Sarbanes-Oxley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404(b) in the 2010 calendar year.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resources. Any material weaknesses identified during this process may preclude us from asserting the effectiveness of our internal controls, and this may affect our stock price if we cannot effectively remediate the issues identified in a timely manner.</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While we believe we correctly account for and report revenue and expense recognition,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62"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Over the past few years we have implemented several changes, and 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provided our online products and services since 1999 and continue to develop our ability to provide our courseware, learning management systems, and research systems on both a subscription and transactional basis over the Internet. Our future success will depend on our ability to effectively develop and maintain the infrastructure, including additional hardware and software, and implement the services, including customer support, necessary to meet the demand for our services. Our inability from time to time to successfully develop the necessary systems and implement the necessary services on a timely basis has resulted in our customers experiencing some delays or interruptions in their service. Such delays or interruptions may cause customers to become dissatisfied with our service and move to competing providers of traditional and online training and education services. If this happens, our revenues could be adversely affected, which would have a material adverse effect on our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grow as we expect or maintain the quality of our services.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upgrade our hardware and software technology infrastructure quickly enough to effectively meet demand for our services.</w:t>
      </w:r>
    </w:p>
    <w:p>
      <w:pPr>
        <w:spacing w:after="0" w:line="14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must continue to obtain reasonably priced, commercially available hardware and continue to enhance our software to accommodate the increased use of our platform and increased courseware in our library. In order to make timely decisions about hardware and software enhancements, we must be able to accurately forecast the growth in demand for our services. This growth in demand for our services is difficult to forecast and the potential audience for our services is large.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unexpected event like a telecommunications failure, fire, earthquake, or other catastrophic loss at our Internet service providers’ facilities or at our on-site data facility could cause the loss of critical data and prevent us from offering our products and services for an unknown period of time.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 if our security measures fail.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the security measures that we use to protect personal information are ineffective, we may lose users of our services, which could reduce our revenues.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errors in our software products that administer and report on hospital performance, and these errors could result in action taken against us that could harm our business.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survey data that is collected and reported by us, such as the survey data included as part of our HCAHPS patient surveys, are used by the Centers for Medicare and Medicaid Services (CMS) to determine, in part, the amount of reimbursement payments to hospitals, and any errors in data collection, survey sampling, or statistical reporting could result in reduced reimbursements to our hospital customers if we are unable to correct these errors, and this could result in litigation against us. Further, this survey data reported to CMS is then published by CMS to the general public, and any errors we experience which result in incorrect scoring or scoring that reflects badly on our hospital customer may result in damage to that hospital’s reputation, and the hospital may in turn bring litigation against us. We may be required to indemnify against such claims, and defending against any such claims could be costly and time consuming and could negatively affect our business.</w:t>
      </w:r>
    </w:p>
    <w:p>
      <w:pPr>
        <w:spacing w:after="0" w:line="66" w:lineRule="exact"/>
        <w:rPr>
          <w:sz w:val="20"/>
          <w:szCs w:val="20"/>
          <w:color w:val="auto"/>
        </w:rPr>
      </w:pPr>
    </w:p>
    <w:p>
      <w:pPr>
        <w:ind w:right="554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Content and Intellectual Property </w:t>
      </w:r>
      <w:r>
        <w:rPr>
          <w:rFonts w:ascii="Arial" w:cs="Arial" w:eastAsia="Arial" w:hAnsi="Arial"/>
          <w:sz w:val="16"/>
          <w:szCs w:val="16"/>
          <w:b w:val="1"/>
          <w:bCs w:val="1"/>
          <w:i w:val="1"/>
          <w:iCs w:val="1"/>
          <w:color w:val="auto"/>
        </w:rPr>
        <w:t>Government regulation may require us to change the way we do business.</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laws and regulations that govern our business change rapidly. Evolving areas of law that are relevant to our business include privacy and security laws, proposed encryption laws, content regulation, information security accountability regulation, and sales and use tax laws and regulations and attempts to regulate activities on the Internet. Because of this rapidly evolving and uncertain regulatory environment, we cannot predict how these laws and regulations might affect our business. These uncertainties make it difficult to ensure compliance with the laws and regulations governing the Internet.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In addition, ARRA recently expanded the application of certain of the HIPAA privacy and security regulations to apply directly to business associates including us. Violations of HIPAA privacy and security regulations may result in civil and criminal penalties. Further, ARRA has increased these penalties and strengthened other enforcement provisions of HIPAA, which may result in increased enforcement activity. See “Business - - Government Regulation of the Internet and the Healthcare Industry” for a more complete discussion of these laws and regulations.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CMS certification to conduct HCAHPS surveys, and this could adversely affect our business.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survey product offerings include providing HCAHPS survey services to assist customers in their compliance with CMS regulations. We are currently designated as a CMS certified vendor to offer HCAHPS survey data collection services. If we are unable to maintain this certification, we would not be able to offer our customers this survey instrument and our business may suffer.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or change in the regulation of continuing education and training in the healthcare industry may adversely affect our business.</w:t>
      </w:r>
    </w:p>
    <w:p>
      <w:pPr>
        <w:spacing w:after="0" w:line="1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AST, and ACPE. The failure to maintain status as an accredited provider could have a detrimental effect on our business.</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government and industry standards and regulations regarding pharmaceutical and medical device customers could negatively affect our business in these areas.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April 2003, the OIG issued “OIG Compliance Program Guidance for Pharmaceutical Manufacturers.” In July 1999, the OIG issued “Compliance Program Guidance for the Durable Medical Equipment, Prosthetics, Orthotics and Supply Industry.” These guidelines collectively identify three areas of risks for pharmaceutical and medical device companies and recommend certain best practices to be included in a compliance plan designed to avoid the risk of federal healthcare program abuse. The guidance highlighted a number of arrangements that have the potential to trigger fraud and abuse violations, including educational grants. In April 2007, the U.S. Senate Finance Committee released a report critical of practices related to the funding of educational programs by pharmaceutical manufacturers. In the final months of 2009, both houses of the U.S. Congress passed separate bills intended to reform the healthcare system. Both bills included the requirement that manufacturers of drugs, devices, and medical supplies report to HHS anything of value, including educational programs, given by such manufacturers to physicians. While neither of these bills has yet become law, such laws or similar proposals may continue to be a focus at the federal level.</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follows the rules and guidelines provided by the ACCME, ANCC and other continuing education accrediting bodies to ensure that its continuing education programming is free from commercial bias and consistent with the OIG guidance. The 2009 changes to the codes of ethics of the pharmaceutical and medical device trade associations place further restrictions on interactions between pharmaceutical and medical device manufacturers and health care professionals. The majority of the Company’s accredited continuing education programming is funded by educational grants from our pharmaceutical and medical device customers. There is no assurance that our pharmaceutical and medical device customers will continue to provide educational grants consistent with past practices. In fact, we have experienced a reduction in live event activities we provide which are supported by pharmaceutical and medical device companies. To the extent that our customers continue to curtail or restructure their business practices, our business with this customer base may suffer.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 See “Business - Intellectual Property and Other Proprietary Rights” for a more complete discussion of the potential effects of this liability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protection of certain proprietary rights, a third-party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any breach. In addition, the laws of some foreign countries do not protect our proprietary rights to the same extent as the laws of the United States, and effective intellectual property protection may not be available in those jurisdictions. We currently own several trademarks and domain names. The current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 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patents, intellectual property or other proprietary rights of third parties, which could be time consuming and costly.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 See “Business-Intellectual Property and Other Proprietary Rights” for a more complete discussion of the potential effects of this liability on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principal office is located in Nashville, Tennessee. Our lease for approximately 32,000 square feet at this location expires in April 2010. The lease provides for a five-year renewal option with rates increasing during the renewal period. Rent at this location is currently approximately $23,000 per month. The Company is currently evaluating options to either renew this lease or relocate to a new location in Nashville, Tennessee.</w:t>
      </w:r>
    </w:p>
    <w:p>
      <w:pPr>
        <w:spacing w:after="0" w:line="5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leasing approximately 19,000 square feet of office space in Laurel, Maryland. The lease expires in March 2012 and provides for two renewal options for two years each. Rent at this location is approximately $32,000 per month, with annual rental increases of approximately three percent.</w:t>
      </w:r>
    </w:p>
    <w:p>
      <w:pPr>
        <w:spacing w:after="0" w:line="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leasing approximately 8,000 square feet of office space in Franklin, Tennessee. Rent at this location is approximately $9,000 per month through August 2010 when the lease expires.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(Removed and Reserved)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Market under the ticker symbol HSTM: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Common Stock Price</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Second Quarter</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Fourth Quarter</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bl>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5, 2010, there were 134 registered holders and approximately 3,185 beneficial holders of our common stock. Because many of such shares are held by brokers and other institutions on behalf of shareholders, we are unable to estimate the total number of shareholders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to finance the expansion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2004,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2004 (for our stock and the indices) and reinvestment of all dividends).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5"/>
          <w:szCs w:val="15"/>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211455</wp:posOffset>
            </wp:positionV>
            <wp:extent cx="3121660" cy="2521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620" w:right="1340" w:hanging="4265"/>
        <w:spacing w:after="0" w:line="496" w:lineRule="auto"/>
        <w:tabs>
          <w:tab w:leader="none" w:pos="1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12/31/2004 in stock or index-including reinvestment of dividends. Fiscal year ending December 31.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since December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common stock purchases by the Company during the quarter ended 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selected statements of income and balance sheet data for the past five years are derived from our consolidated financial statements that have been audited by Ernst &amp; Young LLP, our independent registered public accounting firm.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7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HealthStream acquired TJO on March 12, 2007 and Data Management &amp; Research, Inc. (DMR) on March 28, 2005. TJO’s results of operations are included within our consolidated statement of operations effective March 13, 2007. DMR’s results of operations are included within our consolidated statement of income effective March 29, 2005. As a result of these acquisitions, the annual results presented below are not comparable. Revenues may be subject to fluctuations as discussed further in “Management’s Discussion and Analysis of Financial Condition and Results of Operations” located elsewhere in this report. During 2009, 2008, and 2007 we recognized portions of our deferred tax assets through the reversal of the valuation allowance, resulting in deferred income tax benefits of approximately $9.1 million, $375,000, and $2.0 million, respectively. During 2006, we adopted an accounting standard regarding share-based payments, which resulted in approximately $661,000, $772,000, $742,000, and $682,000 of stock based compensation expense for 2009, 2008, 2007 and 2006, respectively. As a result of these factors, the annual results presented below are not comparable. The operating results for any single year are not necessarily indicative of the results to be expected in the future.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6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Revenues, net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57,398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51,600</w:t>
            </w:r>
          </w:p>
        </w:tc>
        <w:tc>
          <w:tcPr>
            <w:tcW w:w="1880" w:type="dxa"/>
            <w:vAlign w:val="bottom"/>
            <w:gridSpan w:val="5"/>
          </w:tcPr>
          <w:p>
            <w:pPr>
              <w:jc w:val="right"/>
              <w:ind w:right="660"/>
              <w:spacing w:after="0"/>
              <w:rPr>
                <w:sz w:val="20"/>
                <w:szCs w:val="20"/>
                <w:color w:val="auto"/>
              </w:rPr>
            </w:pPr>
            <w:r>
              <w:rPr>
                <w:rFonts w:ascii="Arial" w:cs="Arial" w:eastAsia="Arial" w:hAnsi="Arial"/>
                <w:sz w:val="18"/>
                <w:szCs w:val="18"/>
                <w:color w:val="auto"/>
              </w:rPr>
              <w:t>$ 43,949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31,783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w w:val="96"/>
              </w:rPr>
              <w:t>Cost of revenues (excluding 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21,344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19,654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16,162</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10,869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Sales, marketing, general and administrative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19,508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18,972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17,060</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12,613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52,276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49,118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29,874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2,482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(8,865)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4"/>
              </w:rPr>
              <w:t>13,972</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2,855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0.64</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21,458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21,707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21,999</w:t>
            </w:r>
          </w:p>
        </w:tc>
        <w:tc>
          <w:tcPr>
            <w:tcW w:w="16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21,577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of common stock outstanding —</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4"/>
              </w:rPr>
              <w:t>21,838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22,204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22,701</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22,359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6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4"/>
                <w:szCs w:val="14"/>
                <w:b w:val="1"/>
                <w:bCs w:val="1"/>
                <w:color w:val="auto"/>
              </w:rPr>
              <w:t>At December 31,</w:t>
            </w:r>
          </w:p>
        </w:tc>
        <w:tc>
          <w:tcPr>
            <w:tcW w:w="5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83"/>
              </w:rPr>
              <w:t>2007</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$ 12,287</w:t>
            </w:r>
          </w:p>
        </w:tc>
        <w:tc>
          <w:tcPr>
            <w:tcW w:w="3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w w:val="88"/>
              </w:rPr>
              <w:t>4,107</w:t>
            </w:r>
          </w:p>
        </w:tc>
        <w:tc>
          <w:tcPr>
            <w:tcW w:w="14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3,599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10,726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Investments in marketable securities — short and long term</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24,938</w:t>
            </w:r>
          </w:p>
        </w:tc>
        <w:tc>
          <w:tcPr>
            <w:tcW w:w="300" w:type="dxa"/>
            <w:vAlign w:val="bottom"/>
          </w:tcPr>
          <w:p>
            <w:pPr>
              <w:spacing w:after="0"/>
              <w:rPr>
                <w:sz w:val="18"/>
                <w:szCs w:val="18"/>
                <w:color w:val="auto"/>
              </w:rPr>
            </w:pPr>
          </w:p>
        </w:tc>
        <w:tc>
          <w:tcPr>
            <w:tcW w:w="1100" w:type="dxa"/>
            <w:vAlign w:val="bottom"/>
            <w:gridSpan w:val="5"/>
          </w:tcPr>
          <w:p>
            <w:pPr>
              <w:jc w:val="right"/>
              <w:ind w:right="108"/>
              <w:spacing w:after="0"/>
              <w:rPr>
                <w:sz w:val="20"/>
                <w:szCs w:val="20"/>
                <w:color w:val="auto"/>
              </w:rPr>
            </w:pPr>
            <w:r>
              <w:rPr>
                <w:rFonts w:ascii="Arial" w:cs="Arial" w:eastAsia="Arial" w:hAnsi="Arial"/>
                <w:sz w:val="18"/>
                <w:szCs w:val="18"/>
                <w:color w:val="auto"/>
              </w:rPr>
              <w:t>25,885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26,851</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13,073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10,714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88"/>
              </w:rPr>
              <w:t>1,148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11,148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5"/>
          </w:tcPr>
          <w:p>
            <w:pPr>
              <w:jc w:val="right"/>
              <w:ind w:right="140"/>
              <w:spacing w:after="0"/>
              <w:rPr>
                <w:sz w:val="20"/>
                <w:szCs w:val="20"/>
                <w:color w:val="auto"/>
              </w:rPr>
            </w:pPr>
            <w:r>
              <w:rPr>
                <w:rFonts w:ascii="Arial" w:cs="Arial" w:eastAsia="Arial" w:hAnsi="Arial"/>
                <w:sz w:val="18"/>
                <w:szCs w:val="18"/>
                <w:color w:val="auto"/>
              </w:rPr>
              <w:t>71,002</w:t>
            </w:r>
          </w:p>
        </w:tc>
        <w:tc>
          <w:tcPr>
            <w:tcW w:w="300" w:type="dxa"/>
            <w:vAlign w:val="bottom"/>
          </w:tcPr>
          <w:p>
            <w:pPr>
              <w:spacing w:after="0"/>
              <w:rPr>
                <w:sz w:val="18"/>
                <w:szCs w:val="18"/>
                <w:color w:val="auto"/>
              </w:rPr>
            </w:pPr>
          </w:p>
        </w:tc>
        <w:tc>
          <w:tcPr>
            <w:tcW w:w="1100" w:type="dxa"/>
            <w:vAlign w:val="bottom"/>
            <w:gridSpan w:val="5"/>
          </w:tcPr>
          <w:p>
            <w:pPr>
              <w:jc w:val="right"/>
              <w:ind w:right="108"/>
              <w:spacing w:after="0"/>
              <w:rPr>
                <w:sz w:val="20"/>
                <w:szCs w:val="20"/>
                <w:color w:val="auto"/>
              </w:rPr>
            </w:pPr>
            <w:r>
              <w:rPr>
                <w:rFonts w:ascii="Arial" w:cs="Arial" w:eastAsia="Arial" w:hAnsi="Arial"/>
                <w:sz w:val="18"/>
                <w:szCs w:val="18"/>
                <w:color w:val="auto"/>
              </w:rPr>
              <w:t>52,797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53,361</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41,008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12,234</w:t>
            </w:r>
          </w:p>
        </w:tc>
        <w:tc>
          <w:tcPr>
            <w:tcW w:w="3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10,202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9,493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51,821</w:t>
            </w:r>
          </w:p>
        </w:tc>
        <w:tc>
          <w:tcPr>
            <w:tcW w:w="3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36,763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35,714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29,634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25,800</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discussion provides an overview of our history together with a summary of our critical accounting policies and estimates. Our critical accounting policies and estimates include revenue recognition, income taxes, product development costs and related capitalization, impairment of goodwill, intangibles and other long-lived assets, allowance for doubtful accounts, accrual for service interruptions, stock based compensation, and nonmonetary exchanges.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authoring tools, courseware subscriptions, online training and content development, online sales training courses, live events,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for the year ended December 31, 2009 were approximately $57.4 million compared to $51.6 million for the year ended December 31, 2008, an increase of 11.2%. Operating income increased by 106.4% to $5.1 million for 2009 compared to $2.5 million for 2008. Net income for 2009 was $14.0 million compared to $2.9 million for 2008. Net income includes an income tax benefit of approximately $9.1 million in 2009 and $375,000 in 2008 associated with the recognition of a portion of the Company’s deferred tax assets through a reversal of the valuation allowance. Diluted earnings per share were $0.64 for 2009 compared to $0.13 for 2008. Revenues from HealthStream Learning grew by 16.2%, or $5.3 million, and revenues from HealthStream Research grew by 2.5%, or $476,000. We had approximately 2,073,000 contracted subscribers, of which approximately 1,974,000 were fully implemented subscribers on our Internet-based HLC platform at December 31, 2009, representing over 2,500 hospitals in the United States. During 2009, we renewed approximately 677,000 HLC subscribers, representing a 102% renewal rate for the subscribers up for renewal, and a 103% renewal rate based on the annual contract value up for renewal. As of December 31, 2009 our cash and investment balances approximated $12.3 million and we maintained full availability under our $15.0 million revolving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revenues from our Internet-based learning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from survey and research services are recognized when survey results are delivered to customers via either Internet-based reporting throughout the survey period or by providing final survey results once all services are complete. Revenues for survey and reporting services, which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Revenues for survey and reporting services, which include delivery of survey results to the customer when all services are completed, are recognized upon completion.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recognize revenue from live event development services using a proportional performance method based on completion of performance milestones. Revenues from content maintenance and development services are recognized using a percentage of completion method based on labor hours, which correspond to the completion of performance milestones and deliverables. Sales of products and services to pharmaceutical and medical device companies can be subject to seasonal factors as a result of meeting and conference dates for such companies.</w:t>
      </w:r>
    </w:p>
    <w:p>
      <w:pPr>
        <w:spacing w:after="0" w:line="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to continue to generate revenues by marketing our Internet-based products and our survey and research services through healthcare organizations and to a lesser extent, through pharmaceutical and medical device companies. We expect that the portion of our revenues related to services provided via our Internet-based learning products will increase in absolute dollar amounts.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has significant net operating loss carryforwards (NOLs) which management believes will be available to reduce future tax expense. These NOLs are subject to annual limitations under the Internal Revenue Code Section 382, which could result in the expiration of certain portions of the Company’s NOLs before they are fully utilized. Management periodically assesses the realizability of its deferred tax assets, and to the extent that we believe a recovery is not likely, we establish a valuation allowance to reduce the deferred tax asset to the amount we estimate will be recoverable. At December 31, 2008 management concluded that it was more likely than not that approximately $2.4 million of the Company’s deferred tax assets would be realized in future periods. Further, at December 31, 2009, management concluded that it was more likely than not that substantially all of the remaining deferred tax assets will be realized in future periods, and released approximately $9.1 million from the valuation allowance, resulting in the recognition of net deferred tax assets of approximately $11.5 million at December 31, 2009. The Company continues to maintain a valuation allowance of approximately $1.1 million for the remaining portion of its deferred tax assets, which are related to the portion of our NOLs associated with deductions for stock option exercises.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Product development costs include our costs to initially develop and maintain software feature enhancements and content for our Internet-based learning products. Once planning is completed and development begins, we capitalize internal costs and payments to third parties associated with the cost of software feature enhancement development or content where the life expectancy is greater than one year and the anticipated cash flows from such software feature enhancements or content are expected to exceed the cost of the related asset. During 2009 and 2008, we capitalized approximately $84,000 and $75,000, respectively, related to development of content, primarily by third parties. Such amounts are included in the accompanying consolidated balance sheets under the caption “prepaid development fees” and “other assets.” During 2009 and 2008, we capitalized approximately $1.3 million and $1.0 million, respectively, for development of software feature enhancements. Such amounts are included in the accompanying consolidated balance sheets under the caption “capitalized software feature enhancements.” A significant portion of these capitalized costs was associated with the development of a new competency assessment product, a new reporting system for our survey and research platform, and additional features for our Internet-based HLC platform. We amortize content and software feature enhancements over their expected life, which is generally one to four years. Capitalized content and software feature enhancements are subject to a periodic impairment review in accordance with our impairment review policy.</w:t>
      </w:r>
    </w:p>
    <w:p>
      <w:pPr>
        <w:spacing w:after="0" w:line="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product development, our significant estimates involve the assessment of the development period for new products, as well as the expected useful life of costs associated with new products, software feature enhancements and content. Once capitalized, software feature enhancements and content development costs are subject to the policies and estimates described below regarding goodwill, intangibles and other long-lived assets.</w:t>
      </w:r>
    </w:p>
    <w:p>
      <w:pPr>
        <w:spacing w:after="0" w:line="3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Product development costs also include our systems team, which manages our efforts associated with product development and maintenance, database management, quality assurance and security. This team is responsible for new internal product development, integration of external new products, and continued enhancements and regularly scheduled maintenance to our learning and research platform products. Personnel who are responsible for our overall product portfolio as well as prioritization of new product development are also included in product development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measure goodwill for impairment at the reporting unit level using both income and market based models to determine the fair value of the reporting units.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$141,000 as of December 31,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to the complexity of our hosted applications, variability in customer utilization patterns, changes in technology, and potential software defects, our hosted learning management applications could experience periodic downtime. In addition, we have specific contractual obligations that can result in penalties to us associated with system performance and other commitments. We maintain an accrual which is intended to provide for customer concessions due to customers experiencing inconveniences or operation disruption resulting from downtime or performance of our applications, or our failure to meet certain contractual obligations to customers. Our accrual for service credits totaled approximately $318,000 as of December 31, 2009.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recognize compensation expense using a fair-value based method for costs related to share based payments including stock options.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2009, we had a stock incentive plan which qualified as a stock based compensation plan. During the years ended December 31, 2009, 2008, and 2007, we recorded approximately $661,000, $772,000, and $742,000 of stock based compensation expense, respectively. We typically grant stock options to our management group on an annual basis, or when new members of the management group begin their employment. We grant stock options to members of our board of directors in conjunction with our annual shareholders meeting, or as new members are added on a pro rata basis based on the time elapsed since our annual shareholders’ meeting. We expect to continue this practice for the foreseeable future; however, we may adjust the size of the annual grant. As of December 31, 2009, total future compensation cost related to non-vested awards not yet recognized was $913,492 net of estimated forfeitures, with a weighted average expense recognition period of 1.95 years. Future compensation expense recognition for new option grants will vary depending on the timing and size of new awards granted, changes in the market price or volatility of our common stock, changes in risk-free interest rates, or if actual forfeitures vary significantly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Exchange of Content Rights and Deferred Service Credits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2009, we recorded content rights and deferred service credits of approximately $665,000 in connection with a nonmonetary exchange with one of our customers. In order to account for this transaction, we estimated the fair value of the related assets and service credits, assessed whether the value assigned to the content was recoverable, and amortized the related assets over their estimated useful lives. Our future operating results will be impacted by the customer’s utilization of the service credits. Revenues for services provided in exchange for service credits will be recognized in accordance with our revenue recognition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The Jackson Organization, Research Consultants, Inc. </w:t>
      </w:r>
      <w:r>
        <w:rPr>
          <w:rFonts w:ascii="Arial" w:cs="Arial" w:eastAsia="Arial" w:hAnsi="Arial"/>
          <w:sz w:val="18"/>
          <w:szCs w:val="18"/>
          <w:color w:val="auto"/>
        </w:rPr>
        <w:t>On March 12, 2007, the Company acquired all of the issued and outstanding common stock of TJO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$12.6 million, consisting of approximately $11.5 million in cash and 252,616 shares of HealthStream common stock. The Company incurred approximately $690,000 of direct, incremental expenses associated with the acquisition of TJO. TJO provides healthcare organizations with quality and satisfaction surveys, data analyses of survey results, and other research-based measurement tools. This acquisition was accounted for using the purchase method of accounting. TJO’s results of operations have been included in the Company’s results in the HealthStream Research business unit from the date of the acquisition.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(add-on courseware), implementation and consulting services, maintenance of third party content, content development, online sales training courses (RepDirect™),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primarily of salaries and employee benefits, contract labor, stock based compensation,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5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During the past several years, excluding 2009, we have hosted a national customer conference in Nashville known as “The Summit,” of which a significant portion of the costs are included in sales and marketing expenses. Personnel costs within sales and marketing include our Learning and Research sales teams, strategic account management, consultants, and marketing personnel, as well as our account management group.</w:t>
      </w:r>
    </w:p>
    <w:p>
      <w:pPr>
        <w:spacing w:after="0" w:line="8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Compared to 2008</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$5.8 million, or 11.2%, to $57.4 million for 2009 from $51.6 million for 2008. Revenues for 2009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$38.2 million, or 67% of total revenue, for HealthStream Learning and $19.2 million, or 33% of total revenue, for HealthStream Research. In 2008, revenues consisted of $32.8 million, or 64% of total revenue, for HealthStream Learning and $18.8 million, or 36% of total revenue, for HealthStream Research.</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increased $5.3 million, or 16.2%, over 2009. Revenues from our Internet-based subscription learning products increased by $5.4 million over the prior year, and were comprised of revenue increases from the HLC of $3.0 million and from courseware subscriptions of</w:t>
      </w:r>
    </w:p>
    <w:p>
      <w:pPr>
        <w:ind w:right="40"/>
        <w:spacing w:after="0" w:line="254" w:lineRule="auto"/>
        <w:rPr>
          <w:sz w:val="20"/>
          <w:szCs w:val="20"/>
          <w:color w:val="auto"/>
        </w:rPr>
      </w:pPr>
      <w:r>
        <w:rPr>
          <w:rFonts w:ascii="Arial" w:cs="Arial" w:eastAsia="Arial" w:hAnsi="Arial"/>
          <w:sz w:val="18"/>
          <w:szCs w:val="18"/>
          <w:color w:val="auto"/>
        </w:rPr>
        <w:t>$2.4 million. Revenues from Internet-based subscription products increased 19% over the prior year due to an increase in the number of subscribers and more courseware consumption by subscribers. Our HLC subscriber base increased by 14% during 2009 to 1,974,000 fully-implemented subscribers at the end of 2009 compared to 1,732,000 fully-implemented subscribers at the end of 2008. Additionally, we had 2,073,000 contracted subscribers at December 31, 2009 compared to 1,855,000 contracted subscribers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December 31, 2008. Revenues associated with implementation, development, and consulting services increased $1.2 million over the prior year due to increased courseware development service revenues compared to the prior year. These increases in revenues were partially offset by a decline in revenues from live events, study guides, and other project-based activities, which collectively declined $1.3 million from the prior year due to a de-emphasis on live events and other similar project-based services.</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Revenues for HealthStream Research increased $476,000, or 2.5%, over 2008. Revenue from recurring patient surveys increased $1.7 million, or 15%, over the prior year, but was offset by revenue declines from employee, physician, and community surveys. The revenue decline in these survey categories is generally attributable to customer decisions to defer conducting surveys based on budgetary, operational, and other considerations. Also during 2009, a portion of the revenue decrease was attributable to the loss of one customer contract. Consequently, revenue fluctuations are more likely within these survey categories than patient surveys, which are conducted on continuous quarterly cycles.</w:t>
      </w:r>
    </w:p>
    <w:p>
      <w:pPr>
        <w:spacing w:after="0" w:line="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$1.7 million, or 8.6%, to $21.3 million for 2009 from</w:t>
      </w:r>
      <w:r>
        <w:rPr>
          <w:rFonts w:ascii="Arial" w:cs="Arial" w:eastAsia="Arial" w:hAnsi="Arial"/>
          <w:sz w:val="16"/>
          <w:szCs w:val="16"/>
          <w:i w:val="1"/>
          <w:iCs w:val="1"/>
          <w:color w:val="auto"/>
        </w:rPr>
        <w:t xml:space="preserve"> </w:t>
      </w:r>
      <w:r>
        <w:rPr>
          <w:rFonts w:ascii="Arial" w:cs="Arial" w:eastAsia="Arial" w:hAnsi="Arial"/>
          <w:sz w:val="16"/>
          <w:szCs w:val="16"/>
          <w:color w:val="auto"/>
        </w:rPr>
        <w:t>$19.7 million for 2008. Cost of revenues as a percentage of revenues was 37.2% of revenues for 2009 down favorably from 38.1% of revenues for 2008. Cost of revenues for HealthStream Learning increased approximately $1.3 million to $11.9 million and approximated 31.3% and 32.3% of revenues for 2009 and 2008, respectively. The expense increase was primarily associated with increased royalties paid by us resulting from growth in courseware subscription revenues as well as increased costs to support the growth in implementation, development, and consulting revenues, and was partially offset by expense decreases associated with the declines in live events and other project-based revenues. Cost of revenues for HealthStream Research increased approximately $361,000 to $9.4 million and approximated 48.8% and 48.2% of revenues for 2009 and 2008, respectively. The increase in cost of revenues for HealthStream Research is primarily a result of the costs associated with increased survey volumes for our patient survey category compared to the prior year. Cost of revenues as a percentage of revenues for HealthStream Research was impacted favorably by improved operating efficiencies compared to the prior year, but was offset by the effect of lower revenues from the employee and physician survey categories.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$615,000, or 10.9%, to $6.3 million for 2009 from $5.7 million for 2008.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11.0% of revenues for both 2009 and 2008.</w:t>
      </w:r>
    </w:p>
    <w:p>
      <w:pPr>
        <w:spacing w:after="0" w:line="10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Product development expenses for HealthStream Learning increased approximately $597,000 and approximated 13.7% and 14.1% of revenues for 2009 and 2008, respectively. This expense increase resulted from additional personnel expenses associated with both maintenance and support of our learning platform products and product portfolio management. Product development expenses for HealthStream Research increased approximately $19,000, and approximated 5.5% of revenues for both 2009 and 2008.</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$110,000, or 1.0%, and approximated $10.9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2009 compared to $10.8 million for 2008. Sales and marketing expenses approximated 19.0% and 21.0% of revenues for 2009 and 2008, respectively. The decrease as a percentage of revenues is due to the overall growth in revenues over the prior year.</w:t>
      </w:r>
    </w:p>
    <w:p>
      <w:pPr>
        <w:spacing w:after="0" w:line="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Sales and marketing expenses for HealthStream Learning increased $231,000 and approximated 19.2% and 21.6% of revenues for 2009 and 2008, respectively. This expense increase primarily resulted from increased sales personnel and commissions, but was partially offset by lower marketing expenses associated with our decision not to conduct our annual customer Summit during 2009, but rather defer the event until May 2010. Sales and marketing expenses for HealthStream Research decreased approximately $198,000, and approximated 17.3% and 18.8% of revenues for 2009 and 2008, respectively. This expense decrease resulted primarily from fewer sales and marketing personnel and related expenses when compared to the prior year. The unallocated corporate portion of sales and marketing increased $77,000 over the prior year due to additional personnel.</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$425,000, or 5.2%, and approximated $8.6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2009 compared to $8.2 million for 2008. Other general and administrative expenses as a percentage of revenues decreased to 14.9% for 2009 from 15.8% for 2008. The percentage decrease is primarily a result of the revenue increases mentioned above.</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general and administrative expenses for HealthStream Learning increased $167,000 compared to the prior year, primarily due to employee bonuses and employee recruiting fees. Other general and administrative expenses for HealthStream Research decreased $28,000 compared to the prior year, but included expense increases associated with employee bonuses, employee recruiting fees, and bad debt expense, and were offset by lower consulting expenses. The unallocated corporate portion of other general and administrative expenses increased $286,000 compared to the prior year, and included expense increases associated with additional personnel and their related costs, employee bonuses, and fees for professional services, but was partially offset by lower stock based compensation expense, consulting expenses, facility costs, and employee recruiting fees.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$317,000, or 6.6%, to $5.1 million for 2009 from $4.8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2008. The increase resulted from depreciation expense associated with capital expenditures and amortization of capitalized software features. Amortization for HealthStream Learning increased $118,000, or 6.9%, and approximated 4.8% and 5.2% of revenues for 2009 and 2008, respectively. This expense increase is primarily associated with amortization of capitalized software feature enhancements. Amortization for HealthStream Research decreased $20,000, or 2.0%, and approximated 5.1% and 5.3% of revenues for 2009 and 2008, respectively. This expense decrease resulted from certain intangible assets reaching the end of their estimated useful life. The unallocated corporate portion increased approximately $219,000 associated with the depreciation of property and equipment.</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approximately $87,000 to an expense of $15,000 for 2009 from income of $72,000 for</w:t>
      </w:r>
      <w:r>
        <w:rPr>
          <w:rFonts w:ascii="Arial" w:cs="Arial" w:eastAsia="Arial" w:hAnsi="Arial"/>
          <w:sz w:val="18"/>
          <w:szCs w:val="18"/>
          <w:i w:val="1"/>
          <w:iCs w:val="1"/>
          <w:color w:val="auto"/>
        </w:rPr>
        <w:t xml:space="preserve"> </w:t>
      </w:r>
      <w:r>
        <w:rPr>
          <w:rFonts w:ascii="Arial" w:cs="Arial" w:eastAsia="Arial" w:hAnsi="Arial"/>
          <w:sz w:val="18"/>
          <w:szCs w:val="18"/>
          <w:color w:val="auto"/>
        </w:rPr>
        <w:t>2008. Interest income decreased $114,000 from the prior year period resulting from lower yield rates on cash and cash equivalents. Interest expense decreased $27,000 from the prior year period due to reductions in debt and capital lease balances.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The Company recognized a deferred income tax benefit of approximately $9.1 million and $375,000 during 2009 and 2008,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through a reversal of the valuation allowance, which was based on management’s conclusion that a portion of the Company’s deferred tax assets would more likely than not be realized. During 2009, the $9.1 million income tax benefit was partially offset by $226,000 of current income tax expense. During 2008, the $375,000 income tax benefit was partially offset by $74,000 of current income tax expense. Taxable income for both 2009 and 2008 was substantially offset by the Company’s net operating loss carryforwards.</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$14.0 million, or $0.64 per diluted share, for the year ended December 31, 2009 up from $2.9 million, or $0.13</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for the year ended December 31, 2008. This increase was primarily the result of the $9.1 million, or $0.42 per diluted share, income tax benefit recognized during 2009 in addition to the changes in income from operations described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$7.7 million, or 17.4%, to $51.6 million for 2008 from $43.9 million for 2007. Revenues for 2008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$32.8 million, or 63.6% of total revenue, for HealthStream Learning and $18.8 million, or 36.4% of total revenue, for HealthStream Research. In 2007, revenues consisted of $27.5 million, or 62.5% of total revenue, for HealthStream Learning and $16.5 million, or 37.5% of total revenue, for HealthStream Research. HealthStream Research revenues include the results of TJO commencing with its acquisition on March 12, 2007.</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Revenues for HealthStream Learning increased approximately $5.4 million, or 19.6%, over 2007. Revenues from our Internet-based subscription learning products increased by $6.4 million, and were comprised of revenue increases from the HLC of $3.6 million and from courseware subscriptions and online training services of $2.8 million. Revenues from our Internet-based subscription products collectively increased 29% over the prior year due to an increase in the number of subscribers and more courseware consumption by subscribers. In addition, revenues associated with implementation, development, and consulting services increased $935,000 over the prior year. These increases in revenues were partially offset by a decline in revenues from live events, study guides, and association activities, which collectively declined $1.9 million compared to the prior year. Our Internet-based HLC subscriber base increased approximately 12% during 2008, from approximately 1,541,000 fully implemented subscribers at the end of 2007 to approximately 1,732,000 fully implemented subscribers at the end of 2008.</w:t>
      </w:r>
    </w:p>
    <w:p>
      <w:pPr>
        <w:spacing w:after="0" w:line="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Revenues for HealthStream Research increased $2.3 million, or 13.8%, over 2007, primarily resulting from the impact of the March 2007 acquisition of TJO. TJO revenues during 2007, prior to our acquisition and not included in our results for 2007, approximated $2.6 million. The change in revenues was also impacted by the non-renewal of a significant contract during 2008, which accounted for approximately 4% of HealthStream Research revenues during 2007.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increased approximately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$3.5 million, or 21.6%, to $19.7 million for 2008 from $16.2 million for 2007. Cost of revenues as a percentage of revenue approximated 38.1% and 36.8% of revenues for 2008 and 2007, respectively.</w:t>
      </w:r>
    </w:p>
    <w:p>
      <w:pPr>
        <w:spacing w:after="0" w:line="7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Cost of revenues for HealthStream Learning increased $1.3 million and approximated 32.3% and 33.8% of revenues for 2008 and 2007, respectively. This expense increase primarily resulted from increased royalties paid by us associated with an increase in courseware subscription revenues, as well as increased personnel and related expenses, but was partially offset by lower costs associated with live events, study guides and association projects.</w:t>
      </w:r>
    </w:p>
    <w:p>
      <w:pPr>
        <w:spacing w:after="0" w:line="3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Cost of revenues for HealthStream Research increased $2.2 million and approximated 48.2% and 41.8% of revenues for 2008 and 2007, respectively. The primary expense increase resulted from the full year impact of personnel expenses associated with the TJO acquisition. The expense increase as a percentage of revenues primarily resulted from the increase in patient and community surveys over the prior year, which have higher fulfillment costs. In addition, lower revenues from other survey products that have lower fulfillment costs contributed to this percentage increase over the prior year.</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$1.4 million, or 31.6%, to $5.7 million for 2008 from $4.3 million for 2007.</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 expenses as a percentage of revenues was 11.0% and 9.8% of revenues for 2008 and 2007, respectively. Product development expenses for HealthStream Learning increased $966,000 and approximated 14.1% and 13.4%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revenues for 2008 and 2007, respectively. The increase in amount resulted from additional personnel and contract labor associated with maintenance and support of our learning platform products. Product development expenses for HealthStream Research increased $520,000 and approximated 5.5% and 3.1% of revenues for 2008 and 2007, respectively. This expense increase is primarily due to additional personnel to support our administrative platforms and a reassignment of personnel from general and administrative tasks to product development when compared to the prior year.</w:t>
      </w:r>
    </w:p>
    <w:p>
      <w:pPr>
        <w:spacing w:after="0" w:line="4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approximately $1.6 million, or 17.5%, to $10.8 million for 2008 from $9.2 million for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is associated with additional personnel and related expenses resulting from the TJO acquisition, additional personnel for both HealthStream Learning and HealthStream Research sales teams, as well as increased marketing expenses, including our annual customer conference, The Summit. As a percentage of revenues, sales and marketing expenses were 21.0% of revenues for both 2008 and 2007.</w:t>
      </w:r>
    </w:p>
    <w:p>
      <w:pPr>
        <w:spacing w:after="0" w:line="6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Sales and marketing expenses for HealthStream Learning increased $725,000 and approximated 21.6% and 23.2% of revenues for 2008 and 2007, respectively, and was primarily associated with additional sales personnel and related expenses and increased marketing expenses. Sales and marketing expenses for HealthStream Research increased $787,000 and approximated 18.8% and 16.6% of revenues for 2008 and 2007, respectively. This expense increase was associated with the TJO acquisition, new sales personnel and related expenses, and was partially offset by lower marketing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 increased approximately $304,000, or 3.9%, to $8.2 million for 2008 from</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$7.9 million for 2007. This increase is primarily due to the full year impact of the TJO acquisition, including facilities and other operating costs. Other general and administrative expense as a percentage of revenues was 15.8% and 17.9% for 2008 and 2007, respectively.</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Other general and administrative expense for HealthStream Learning increased $522,000, primarily due to increased personnel expenses, travel, and other related expenses to manage the business unit. Other general and administrative expense for HealthStream Research decreased $475,000, primarily due to the consolidation of human resources and accounting personnel into our corporate functions, in addition to the redesignation of certain personnel to product development. These expense decreases were somewhat offset by facility costs and other expenses associated with the full year impact of the TJO acquisition. The unallocated corporate portion of other general and administrative expense increased $257,000, primarily associated with additional personnel, increases in professional fees, recruiting, and other expenses.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$319,000, or 7.1%, to $4.8 million for 2008 from $4.5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2007. Depreciation, which is included in the unallocated corporate function, increased $157,000 over the prior year resulting from new capital expenditures. Amortization increased $162,000 resulting from capitalized software feature enhancements and TJO intangible asset amortization. Amortization for HealthStream Learning increased $87,000, or 5.3%, and approximated 5.2% and 5.9% of revenues for 2008 and 2007, respectively. The increase in amount is primarily associated with amortization of capitalized software feature enhancements associated with the HLC platform and other content assets. Amortization for HealthStream Research increased $76,000, or 8.2%, and approximated 5.3% and 5.6% of revenues for 2008 and 2007, respectively. The increase in amount resulted from the amortization of TJO intangible assets.</w:t>
      </w:r>
    </w:p>
    <w:p>
      <w:pPr>
        <w:spacing w:after="0" w:line="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approximately $154,000, or 68.1%, to $72,000 for 2008 from $226,000 for 2007.</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decreased $147,000 resulting from lower invested balances and lower yield rates during 2008. Interest expense increased $7,000 over the prior year associated with our promissory note.</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The Company recognized a deferred income tax benefit of approximately $375,000 and $2.0 million during 2008 and 2007,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through a reversal of the valuation allowance, which was based on management’s conclusion that a portion of the Company’s deferred tax assets would more likely than not be realized. During 2008, the $375,000 income tax benefit was partially offset by $74,000 of current income tax expense. During 2007, the $2.0 million income tax benefit was partially offset by current income tax expense of $42,000. Taxable income for both 2008 and 2007 was substantially offset by the Company’s net operating loss carryforwards.</w:t>
      </w:r>
    </w:p>
    <w:p>
      <w:pPr>
        <w:spacing w:after="0" w:line="8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$2.9 million, or $0.13 per diluted share, for the year ended December 31, 2008 compared to $4.1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$0.18 per diluted share, for the year ended December 31, 2007. This decrease was primarily the result of the $2.0 million income tax benefit recognized during 2007, offset by the changes in income from operations described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2010</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provides projections and other forward-looking information in this “Financial Outlook for 2010” section within MD&amp;A.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expects that consolidated revenues for the full year 2010 will grow by 13 percent to 15 percent. We anticipate revenue growth in the Learning segment to be in the 14 percent to 16 percent range and the Research unit’s revenue to increase by approximately 10 percent to 12 percent.</w:t>
      </w:r>
    </w:p>
    <w:p>
      <w:pPr>
        <w:spacing w:after="0" w:line="3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expect cost of revenues to grow in relation to the expected revenue growth, and to increase modestly as a percentage of revenues compared to 2009. We also anticipate that operating expenses, including product development, sales and marketing, depreciation and amortization and other general and administrative expense will grow in the range between 11 percent and 13 percent when compared to the Company’s full year 2009 levels for these categories.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operating income will increase 10 percent to 17 percent for the full year of 2010 versus our 2009 results.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Because of the release of substantially all of the remaining balance in our income tax valuation allowance during the fourth quarter of 2009, we expect that the effective income tax rate applied, in accordance with GAAP, to pre-tax income will range between 40 percent and 42 percent. For tax return purposes, we will continue to utilize our federal and state net operating loss carryforwards of approximately $32 million and $26 million, respectively, to substantially offset our income tax liabilities. This will result in lower cash payments for income taxes compared to the amount of income tax expense we expect to record in accordance with GAAP.</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that capital expenditures, including hardware, software and capitalized software development for new features, enhancements and content development will range between approximately $3.0 to $4.0 million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tables set forth selected statements of income data for the eight quarters ended December 31, 2009 both in absolute dollars and as a percentage of total revenues. The information for each quarter has been prepared on substantially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Revenues from our subscription products are recognized ratably over the subscription term. Survey and research revenues are impacted by seasonal factors resulting from the volume, timing, and frequency of survey cycles. During the fourth quarter of 2009 we recognized substantially all of our deferred tax assets, resulting in an income tax benefit of approximately $9.1 million. During the fourth quarter of 2008, we recognized a portion of our deferred tax assets, resulting in an income tax benefit of approximately $375,000. During the second quarter of 2009, we corrected an accounting error associated with improperly expensing $105,000 of software development costs incurred during the first quarter of 2009. The error correction resulted in a reduction of product development expenses and an increase to net income during the second quarter of 2009, but does not have an effect on net income for the year ended December 31, 2009. In addition, our expense for compensated absences may fluctuate from quarter to quarter, depending on vesting and utilization by our employees.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82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gridSpan w:val="10"/>
          </w:tcPr>
          <w:p>
            <w:pPr>
              <w:jc w:val="right"/>
              <w:ind w:right="70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Revenues, net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$ 13,619</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14,584</w:t>
            </w:r>
          </w:p>
        </w:tc>
        <w:tc>
          <w:tcPr>
            <w:tcW w:w="2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14,105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5,268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5,408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2,625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12,683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12,722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21,382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21,567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21,932</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82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2008</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gridSpan w:val="10"/>
          </w:tcPr>
          <w:p>
            <w:pPr>
              <w:jc w:val="right"/>
              <w:ind w:right="70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Revenues,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11,422</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13,013</w:t>
            </w:r>
          </w:p>
        </w:tc>
        <w:tc>
          <w:tcPr>
            <w:tcW w:w="2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13,662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4,528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5,153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3,122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11,377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9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22,087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21,374</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22,727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22,578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June 30,</w:t>
            </w:r>
          </w:p>
        </w:tc>
        <w:tc>
          <w:tcPr>
            <w:tcW w:w="640" w:type="dxa"/>
            <w:vAlign w:val="bottom"/>
          </w:tcPr>
          <w:p>
            <w:pPr>
              <w:spacing w:after="0"/>
              <w:rPr>
                <w:sz w:val="10"/>
                <w:szCs w:val="10"/>
                <w:color w:val="auto"/>
              </w:rPr>
            </w:pPr>
          </w:p>
        </w:tc>
        <w:tc>
          <w:tcPr>
            <w:tcW w:w="15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6"/>
          </w:tcPr>
          <w:p>
            <w:pPr>
              <w:jc w:val="center"/>
              <w:ind w:left="520"/>
              <w:spacing w:after="0" w:line="142" w:lineRule="exact"/>
              <w:rPr>
                <w:sz w:val="20"/>
                <w:szCs w:val="20"/>
                <w:color w:val="auto"/>
              </w:rPr>
            </w:pPr>
            <w:r>
              <w:rPr>
                <w:rFonts w:ascii="Arial" w:cs="Arial" w:eastAsia="Arial" w:hAnsi="Arial"/>
                <w:sz w:val="14"/>
                <w:szCs w:val="14"/>
                <w:b w:val="1"/>
                <w:bCs w:val="1"/>
                <w:color w:val="auto"/>
                <w:w w:val="91"/>
              </w:rPr>
              <w:t>(% of Revenues)</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35.9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17.8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6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40" w:type="dxa"/>
            <w:vAlign w:val="bottom"/>
          </w:tcPr>
          <w:p>
            <w:pPr>
              <w:spacing w:after="0"/>
              <w:rPr>
                <w:sz w:val="10"/>
                <w:szCs w:val="10"/>
                <w:color w:val="auto"/>
              </w:rPr>
            </w:pPr>
          </w:p>
        </w:tc>
        <w:tc>
          <w:tcPr>
            <w:tcW w:w="13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7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June 30,</w:t>
            </w:r>
          </w:p>
        </w:tc>
        <w:tc>
          <w:tcPr>
            <w:tcW w:w="640" w:type="dxa"/>
            <w:vAlign w:val="bottom"/>
          </w:tcPr>
          <w:p>
            <w:pPr>
              <w:spacing w:after="0"/>
              <w:rPr>
                <w:sz w:val="10"/>
                <w:szCs w:val="10"/>
                <w:color w:val="auto"/>
              </w:rPr>
            </w:pPr>
          </w:p>
        </w:tc>
        <w:tc>
          <w:tcPr>
            <w:tcW w:w="1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00" w:type="dxa"/>
            <w:vAlign w:val="bottom"/>
            <w:gridSpan w:val="5"/>
          </w:tcPr>
          <w:p>
            <w:pPr>
              <w:ind w:left="620"/>
              <w:spacing w:after="0" w:line="142" w:lineRule="exact"/>
              <w:rPr>
                <w:sz w:val="20"/>
                <w:szCs w:val="20"/>
                <w:color w:val="auto"/>
              </w:rPr>
            </w:pPr>
            <w:r>
              <w:rPr>
                <w:rFonts w:ascii="Arial" w:cs="Arial" w:eastAsia="Arial" w:hAnsi="Arial"/>
                <w:sz w:val="14"/>
                <w:szCs w:val="14"/>
                <w:b w:val="1"/>
                <w:bCs w:val="1"/>
                <w:color w:val="auto"/>
              </w:rPr>
              <w:t>(% of Revenues)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6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62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6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23"/>
        </w:trPr>
        <w:tc>
          <w:tcPr>
            <w:tcW w:w="62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4.3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Net cash provided by operating activities was approximately $11.6 million during 2009 compared to $6.0 million during 2008. Our primary sources of cash were generated from receipts from the sales of our products and services. The number of days sales outstanding (DSO) was 57 days for 2009 compared to</w:t>
      </w:r>
    </w:p>
    <w:p>
      <w:pPr>
        <w:ind w:right="40"/>
        <w:spacing w:after="0" w:line="254" w:lineRule="auto"/>
        <w:rPr>
          <w:sz w:val="20"/>
          <w:szCs w:val="20"/>
          <w:color w:val="auto"/>
        </w:rPr>
      </w:pPr>
      <w:r>
        <w:rPr>
          <w:rFonts w:ascii="Arial" w:cs="Arial" w:eastAsia="Arial" w:hAnsi="Arial"/>
          <w:sz w:val="18"/>
          <w:szCs w:val="18"/>
          <w:color w:val="auto"/>
        </w:rPr>
        <w:t>60 days for 2008.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 as well as payments associated with content development.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approximately $3.1 million for 2009, compared to $2.1 million during 2008. During 2009, we purchased</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$1.8 million of property and equipment, and spent $1.3 million for software feature enhancements. During 2008, we purchased $1.1 million of property and equipment, and spent $980,000 for software feature enhancements. Software feature enhancement costs during both 2009 and 2008 were associated with enhancements to our survey administration platform and other new products. Hardware and software spending during 2009 and 2008 supported our Internet-based product infrastructure and other operational requirements.</w:t>
      </w:r>
    </w:p>
    <w:p>
      <w:pPr>
        <w:spacing w:after="0" w:line="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used in financing activities was approximately $319,000 for 2009, compared to $3.4 million during 2008. The primary uses of cash during 2009 included $724,000 of payments under the promissory note. The primary source of cash for 2009 included $425,000 in proceeds associated with the issuance of common stock upon the exercise of employee stock options. The primary uses of cash during 2008 included $2.9 million associated with a share repurchase plan and $707,000 of payments under the promissory note. The sources of cash for 2008 included $211,000 in proceeds associated with the issuance of common stock upon the exercise of employee stock options and $131,000 from our Employee Stock Purchase Plan which we terminated in February 2009.</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revenues increased and our operating income improved over the prior year period, and our balance sheet reflects positive working capital of $10.7 million at December 31, 2009 compared to $1.1 million at December 31, 2008. The improvement in working capital is primarily associated with increases in cash and cash equivalents resulting from the net cash provided by operating activities mentioned above. Current assets increased approximately $13.0 million during 2009 primarily due to increases in cash balances, accounts receivable, and deferred tax assets, while current liabilities increased approximately $3.5 million during 2009 resulting primarily from increases in deferred revenue, accrued liabilities, and accrued compensation. As of December 31, 2009, our primary source of liquidity was $12.3 million of cash and cash equivalents, and related interest receivable. The Company also has a $15.0 million revolving credit facility loan agreement, all of which was available at December 31, 2009.</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that our capital expenditures, software feature enhancements, and content purchases will range between $3.0 and $4.0 million in 2010. We expect to fund these capital expenditures with existing cash and investments and from cash generated from operations, and if necessary from our revolving credit facility. From January 1 through February 28, 2010, we had capital expenditures of approximately $500,000, primarily related to hardware, software, content, and software feature enhancements.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Tennessee, Laurel, Maryland, and Franklin, Tennessee. We are currently evaluating options to either renew our existing lease or relocate to a new location in Nashville, Tennessee. We also have scheduled monthly payments due under a promissory note through May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off-balance sheet arrangements primarily consist of operating leases, purchase commitments, and our revolving credit facility, which is described further in Note 12 to the Company’s consolidated financial statements contained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December 2007, the Financial Accounting Standards Board (“FASB”) issued authoritative guidance for how an acquirer recognizes and measures in its financial statements the identifiable assets acquired, the liabilities assumed, contractual contingencies, any noncontrolling interest in the acquiree and the goodwill acquired. This guidance changes the accounting for acquisition-related restructuring cost accruals and the recognition of changes in the acquirer’s income tax valuation allowance, and no longer permits the capitalization of certain acquisition costs. In addition, this guidance establishes disclosure requirements to enable the evaluation of the nature and financial effects of the business combination. The guidance is effective prospectively, except for certain retrospective adjustments for deferred tax balances. The Company’s consolidated financial statements will be impacted by this accounting guidance in relation to business combination activities subsequent to January 1, 2009.</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April 2008, the FASB issued authoritative guidance on the accounting requirements for goodwill and other intangible assets. This guidance amends the factors that should be considered in developing renewal or extension assumptions used to determine the useful life of a recognized intangible asset. The Company adopted the guidance effective January 1, 2009. The adoption of the guidance did not have a material effect on the Company’s financial position, results of operations, or cash flows.</w:t>
      </w:r>
    </w:p>
    <w:p>
      <w:pPr>
        <w:spacing w:after="0" w:line="7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May 2009, the FASB issued guidance which established standards for accounting and disclosure of events that occur after the balance sheet date, but before financial statements are issued. This guidance was effective for interim and annual periods ending after June 15, 2009. The FASB amended this guidance in February 2010. Adoption of this guidance did not have a material impact on our consolidated financial statements. We evaluated subsequent events occurring through the date our financial statements were issued.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2009, the FASB issued the FASB Accounting Standards Codification™ and the Hierarchy of Generally Accepted Accounting Principles (the “Codification”). The Codification became the single official source of authoritative, nongovernmental US GAAP. The Codification did not change US GAAP but reorganizes the literature. The Codification is effective for interim and annual periods ending after September 15, 2009, and we adopted the Codification during the quarter ended September 30, 2009. The adoption of the guidance did not have an effect on the Company’s financial position, results of operations, or cash flows.</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September 2009, the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revised guidance will be effective for the first annual reporting period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assessing the potential impact of adopting the revised guidance on our financial position and results of operations.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December 31, 2009, our outstanding indebtedness included a promissory note of approximately $307,000 and approximately $13,000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 with a pricing grid, but has a minimum interest rate of not less than three percent. We are also exposed to market risk with respect to our cash balances. At December 31, 2009, the Company had cash and cash equivalents, and related interest receivable totaling approximately $12.3 million. Current investment rates of return approximate 0.10%. Assuming a 0.10% rate of return on $12.3 million, a hypothetical 10% decrease in interest rates would decrease interest income and decrease net income on an annualized basis by approximately $1,200.</w:t>
      </w:r>
    </w:p>
    <w:p>
      <w:pPr>
        <w:spacing w:after="0" w:line="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7"/>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57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920" w:type="dxa"/>
            <w:vAlign w:val="bottom"/>
            <w:gridSpan w:val="7"/>
            <w:vMerge w:val="continue"/>
          </w:tcPr>
          <w:p>
            <w:pPr>
              <w:spacing w:after="0"/>
              <w:rPr>
                <w:sz w:val="14"/>
                <w:szCs w:val="14"/>
                <w:color w:val="auto"/>
              </w:rPr>
            </w:pPr>
          </w:p>
        </w:tc>
        <w:tc>
          <w:tcPr>
            <w:tcW w:w="5720" w:type="dxa"/>
            <w:vAlign w:val="bottom"/>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Income</w:t>
              </w:r>
            </w:hyperlink>
          </w:p>
        </w:tc>
        <w:tc>
          <w:tcPr>
            <w:tcW w:w="2340" w:type="dxa"/>
            <w:vAlign w:val="bottom"/>
            <w:gridSpan w:val="5"/>
          </w:tcPr>
          <w:p>
            <w:pPr>
              <w:spacing w:after="0"/>
              <w:rPr>
                <w:sz w:val="17"/>
                <w:szCs w:val="17"/>
                <w:color w:val="auto"/>
              </w:rPr>
            </w:pPr>
          </w:p>
        </w:tc>
        <w:tc>
          <w:tcPr>
            <w:tcW w:w="6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Consolidated Statements of Shareholders’ Equity</w:t>
              </w:r>
            </w:hyperlink>
          </w:p>
        </w:tc>
        <w:tc>
          <w:tcPr>
            <w:tcW w:w="1360" w:type="dxa"/>
            <w:vAlign w:val="bottom"/>
            <w:gridSpan w:val="2"/>
          </w:tcPr>
          <w:p>
            <w:pPr>
              <w:spacing w:after="0"/>
              <w:rPr>
                <w:sz w:val="17"/>
                <w:szCs w:val="17"/>
                <w:color w:val="auto"/>
              </w:rPr>
            </w:pPr>
          </w:p>
        </w:tc>
        <w:tc>
          <w:tcPr>
            <w:tcW w:w="6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17"/>
                <w:szCs w:val="17"/>
                <w:color w:val="auto"/>
              </w:rPr>
            </w:pPr>
          </w:p>
        </w:tc>
        <w:tc>
          <w:tcPr>
            <w:tcW w:w="6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6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20" w:type="dxa"/>
            <w:vAlign w:val="bottom"/>
          </w:tcPr>
          <w:p>
            <w:pPr>
              <w:jc w:val="right"/>
              <w:ind w:right="475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0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2009 and 2008, and the related consolidated statements of income, shareholders’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2009 and 2008, and the consolidated results of its operations and its cash flows for each of the three years in the period ended December 31, 2009, in conformity with U.S. generally accepted accounting principles.</w:t>
      </w:r>
    </w:p>
    <w:p>
      <w:pPr>
        <w:spacing w:after="0" w:line="3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12,287,059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65,855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$140,559 and $106,542 at December 31, 2009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9,577,409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1,638,326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2,830,477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2,084,154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419,189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29,890,859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16,862,770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14,121,140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2,004,822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1,689,350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17,815,312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16,221,351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(14,881,423)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(12,746,487)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2,933,889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$3,993,689 and $2,500,017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 and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4,181,858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21,146,864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$7,096,196 and $6,149,321 at December 31, 2009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3,790,946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8,626,400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431,464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71,002,280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52,796,882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1,552,101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3,322,794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1,401,604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350,792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12,233,876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10,202,309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306,942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19,177,014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15,714,380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21,623,350 and 21,382,055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December 31, 2009 and 2008,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96,406,765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95,320,889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(44,585,861)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(58,558,107)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51,820,904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36,762,782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71,002,280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52,796,882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57,398,230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51,599,543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43,949,264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21,343,451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19,653,450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16,162,505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6,285,305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5,669,954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4,307,738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10,930,233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10,820,062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8,577,488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8,152,291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7,848,058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5,139,475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4,822,268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4,503,180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52,275,952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49,118,025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42,033,886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5,122,278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2,481,518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(40,695)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(67,613)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(15,224)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72,188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5,107,054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2,553,706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2,141,713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w w:val="93"/>
              </w:rPr>
              <w:t>(8,865,192)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(301,089)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(1,945,496)</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13,972,246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2,854,795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4,087,209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21,457,517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21,707,364</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21,998,845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21,838,040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22,204,314</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22,700,996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60" w:type="dxa"/>
            <w:vAlign w:val="bottom"/>
            <w:gridSpan w:val="6"/>
            <w:vMerge w:val="restart"/>
          </w:tcPr>
          <w:p>
            <w:pPr>
              <w:jc w:val="right"/>
              <w:ind w:right="136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060" w:type="dxa"/>
            <w:vAlign w:val="bottom"/>
            <w:gridSpan w:val="6"/>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21,928,687</w:t>
            </w:r>
          </w:p>
        </w:tc>
        <w:tc>
          <w:tcPr>
            <w:tcW w:w="3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$95,134,550</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 (65,500,111)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$29,634,439</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4,087,209</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4,087,209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742,344</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742,344</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123,697</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248,517</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248,517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to Employee Stock Purchase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121,723</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Issuance of common stock in connection with acquisition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252,616</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960,170</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960,170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(27,200)</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(80,784)</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22,315,485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97,126,520</w:t>
            </w:r>
          </w:p>
        </w:tc>
        <w:tc>
          <w:tcPr>
            <w:tcW w:w="6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(61,412,902)</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35,713,618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2,854,795</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2,854,795</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771,560</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771,560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106,162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210,928</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210,928</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Issuance of common stock to Employee Stock Purchase Plan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53,108</w:t>
            </w:r>
          </w:p>
        </w:tc>
        <w:tc>
          <w:tcPr>
            <w:tcW w:w="320" w:type="dxa"/>
            <w:vAlign w:val="bottom"/>
          </w:tcPr>
          <w:p>
            <w:pPr>
              <w:spacing w:after="0"/>
              <w:rPr>
                <w:sz w:val="18"/>
                <w:szCs w:val="18"/>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8"/>
                <w:szCs w:val="18"/>
                <w:color w:val="auto"/>
              </w:rPr>
              <w:t>130,911</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(1,092,700)</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(2,919,030)</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(2,919,030)</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21,382,055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95,320,889</w:t>
            </w:r>
          </w:p>
        </w:tc>
        <w:tc>
          <w:tcPr>
            <w:tcW w:w="6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(58,558,107)</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36,762,782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13,972,246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13,972,246</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660,522</w:t>
            </w:r>
          </w:p>
        </w:tc>
        <w:tc>
          <w:tcPr>
            <w:tcW w:w="6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660,522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241,295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425,354</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425,354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21,623,350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96,406,765</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(44,585,861</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51,820,904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Year Ended December 31,</w:t>
            </w:r>
          </w:p>
        </w:tc>
        <w:tc>
          <w:tcPr>
            <w:tcW w:w="10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13,972,246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2,854,795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4,087,209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5,139,475</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4,822,268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benefit from recognition of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(9,091,548)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(375,467)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660,522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771,560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3,974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(48,727)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(1,393,167)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(383,277)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Prepaid royalties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(1,088,661)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(677,930)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(196,286)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(88,594)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49,726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(361,456)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129,894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186,773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165,330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(428,901)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1,081,435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(1,211,005)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3,558</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82,184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2,031,567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709,339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11,569,338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6,042,598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(11,814,274)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 of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(1,282,750)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(980,433)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(1,787,297)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(1,138,598)</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(1,264,565)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(3,070,047)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(2,128,224)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(13,945,277)</w:t>
            </w: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130,911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425,354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210,928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(2,919,030)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(20,103)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(123,219)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(724,095)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(706,698)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(3,407,108</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8,180,447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507,266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(7,126,434)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4,106,612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3,599,346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10,725,780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12,287,059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4,106,612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43,689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200"/>
              <w:spacing w:after="0"/>
              <w:rPr>
                <w:sz w:val="20"/>
                <w:szCs w:val="20"/>
                <w:color w:val="auto"/>
              </w:rPr>
            </w:pPr>
            <w:r>
              <w:rPr>
                <w:rFonts w:ascii="Arial" w:cs="Arial" w:eastAsia="Arial" w:hAnsi="Arial"/>
                <w:sz w:val="18"/>
                <w:szCs w:val="18"/>
                <w:color w:val="auto"/>
              </w:rPr>
              <w:t>Income 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665,000</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200"/>
              <w:spacing w:after="0"/>
              <w:rPr>
                <w:sz w:val="20"/>
                <w:szCs w:val="20"/>
                <w:color w:val="auto"/>
              </w:rPr>
            </w:pPr>
            <w:r>
              <w:rPr>
                <w:rFonts w:ascii="Arial" w:cs="Arial" w:eastAsia="Arial" w:hAnsi="Arial"/>
                <w:sz w:val="18"/>
                <w:szCs w:val="18"/>
                <w:color w:val="auto"/>
              </w:rPr>
              <w:t>Purchase of property and equipment through issuance of long term 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540" w:firstLine="8"/>
        <w:spacing w:after="0" w:line="378"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ind w:right="180"/>
        <w:spacing w:after="0" w:line="297" w:lineRule="auto"/>
        <w:rPr>
          <w:sz w:val="20"/>
          <w:szCs w:val="20"/>
          <w:color w:val="auto"/>
        </w:rPr>
      </w:pPr>
      <w:r>
        <w:rPr>
          <w:rFonts w:ascii="Arial" w:cs="Arial" w:eastAsia="Arial" w:hAnsi="Arial"/>
          <w:sz w:val="16"/>
          <w:szCs w:val="16"/>
          <w:color w:val="auto"/>
        </w:rPr>
        <w:t>HealthStream, Inc. (the “Company”) was incorporated in 1990 as a Tennessee corporation and is headquartered in Nashville, Tennessee. We operate our business in two segments: 1) HealthStream Learning and 2) HealthStream Research. Our HealthStream Learning products consist of Internet-based services and solutions to meet the ongoing training, information, and education needs of the healthcare community. These solutions provide, deliver and track computer based education for our customers in the United States through our application service provider (ASP) products. HealthStream Research products offer healthcare organizations a wide range of quality and satisfaction surveys, analyses of survey results, and other research-based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Revenues are derived from providing services through our Internet-based learning products, provision of survey and research services, courseware subscriptions, professional services, content maintenance, live event development, custom courseware development and other education and training services.</w:t>
      </w:r>
    </w:p>
    <w:p>
      <w:pPr>
        <w:spacing w:after="0" w:line="16"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recognize revenue when it is realized or realizable and earned. We consider revenue realized or realizable and earned when we have persuasive evidence of an arrangement, prices are fixed or determinable, services and products are provided to the customer and collectability is probable or reasonably assured.</w:t>
      </w:r>
    </w:p>
    <w:p>
      <w:pPr>
        <w:spacing w:after="0" w:line="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our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8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Revenues derived from the delivery of services through our Internet-based learning products and courseware subscriptions are recognized ratably over the term of the subscription service agreement. Other training revenues are generally recognized upon the completion of training.</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Revenues recognized from our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All other revenues are recognized as the related services are performed or products are delivered. Fees for these services are billed upon initiation of the survey cycle, with progress billings made throughout the survey cycle.</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derived from live event development services are recognized using the proportional performance method based on the completion of performance milestones. 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Principles of Consolidation</w:t>
      </w: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and cash equivalents to be unrestricted, highly liquid investments with initial maturities of less than three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received for registration fees is classified as restricted cash on the accompanying consolidated balance sheets. The use of this cash is restricted because it is held on behalf of the commercial supporter until services have been rendered, at which time the registration fees are used to pay certain expenses and fees for conducting those services. Excess registration funds are typically remitted to the commercial supporter or applied to other projects. Any deficiency in registration funds is billed to the commercial supporter.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 Deferred revenue represents amounts, which have been billed or collected, but not yet recognized in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our specific identification approach.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and the amounts charged to bad debt expense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Allowance Balance at</w:t>
            </w:r>
          </w:p>
        </w:tc>
        <w:tc>
          <w:tcPr>
            <w:tcW w:w="400" w:type="dxa"/>
            <w:vAlign w:val="bottom"/>
          </w:tcPr>
          <w:p>
            <w:pPr>
              <w:spacing w:after="0"/>
              <w:rPr>
                <w:sz w:val="14"/>
                <w:szCs w:val="14"/>
                <w:color w:val="auto"/>
              </w:rPr>
            </w:pPr>
          </w:p>
        </w:tc>
        <w:tc>
          <w:tcPr>
            <w:tcW w:w="17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Charged to Costs and</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1"/>
              </w:rPr>
              <w:t>Write-offs</w:t>
            </w:r>
          </w:p>
        </w:tc>
        <w:tc>
          <w:tcPr>
            <w:tcW w:w="400" w:type="dxa"/>
            <w:vAlign w:val="bottom"/>
          </w:tcPr>
          <w:p>
            <w:pPr>
              <w:spacing w:after="0"/>
              <w:rPr>
                <w:sz w:val="14"/>
                <w:szCs w:val="14"/>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7"/>
              </w:rPr>
              <w:t>Allowance Balance at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Beginning of Period</w:t>
            </w:r>
          </w:p>
        </w:tc>
        <w:tc>
          <w:tcPr>
            <w:tcW w:w="4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4"/>
              </w:rPr>
              <w:t>Expenses</w:t>
            </w: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w w:val="87"/>
              </w:rPr>
              <w:t>Year ended December 31,</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jc w:val="right"/>
              <w:ind w:right="3210"/>
              <w:spacing w:after="0"/>
              <w:rPr>
                <w:sz w:val="20"/>
                <w:szCs w:val="20"/>
                <w:color w:val="auto"/>
              </w:rPr>
            </w:pPr>
            <w:r>
              <w:rPr>
                <w:rFonts w:ascii="Arial" w:cs="Arial" w:eastAsia="Arial" w:hAnsi="Arial"/>
                <w:sz w:val="18"/>
                <w:szCs w:val="18"/>
                <w:color w:val="auto"/>
              </w:rPr>
              <w:t>2009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w w:val="89"/>
              </w:rPr>
              <w:t>106,542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4"/>
              <w:spacing w:after="0"/>
              <w:rPr>
                <w:sz w:val="20"/>
                <w:szCs w:val="20"/>
                <w:color w:val="auto"/>
              </w:rPr>
            </w:pPr>
            <w:r>
              <w:rPr>
                <w:rFonts w:ascii="Arial" w:cs="Arial" w:eastAsia="Arial" w:hAnsi="Arial"/>
                <w:sz w:val="18"/>
                <w:szCs w:val="18"/>
                <w:color w:val="auto"/>
                <w:w w:val="86"/>
              </w:rPr>
              <w:t>150,000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w w:val="86"/>
              </w:rPr>
              <w:t>115,983</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140,559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jc w:val="right"/>
              <w:ind w:right="3210"/>
              <w:spacing w:after="0"/>
              <w:rPr>
                <w:sz w:val="20"/>
                <w:szCs w:val="20"/>
                <w:color w:val="auto"/>
              </w:rPr>
            </w:pPr>
            <w:r>
              <w:rPr>
                <w:rFonts w:ascii="Arial" w:cs="Arial" w:eastAsia="Arial" w:hAnsi="Arial"/>
                <w:sz w:val="18"/>
                <w:szCs w:val="18"/>
                <w:color w:val="auto"/>
              </w:rPr>
              <w:t>2008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72,895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86"/>
              </w:rPr>
              <w:t>130,000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96,353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106,542</w:t>
            </w:r>
          </w:p>
        </w:tc>
        <w:tc>
          <w:tcPr>
            <w:tcW w:w="0" w:type="dxa"/>
            <w:vAlign w:val="bottom"/>
          </w:tcPr>
          <w:p>
            <w:pPr>
              <w:spacing w:after="0"/>
              <w:rPr>
                <w:sz w:val="1"/>
                <w:szCs w:val="1"/>
                <w:color w:val="auto"/>
              </w:rPr>
            </w:pPr>
          </w:p>
        </w:tc>
      </w:tr>
      <w:tr>
        <w:trPr>
          <w:trHeight w:val="230"/>
        </w:trPr>
        <w:tc>
          <w:tcPr>
            <w:tcW w:w="3880" w:type="dxa"/>
            <w:vAlign w:val="bottom"/>
          </w:tcPr>
          <w:p>
            <w:pPr>
              <w:jc w:val="right"/>
              <w:ind w:right="3210"/>
              <w:spacing w:after="0"/>
              <w:rPr>
                <w:sz w:val="20"/>
                <w:szCs w:val="20"/>
                <w:color w:val="auto"/>
              </w:rPr>
            </w:pPr>
            <w:r>
              <w:rPr>
                <w:rFonts w:ascii="Arial" w:cs="Arial" w:eastAsia="Arial" w:hAnsi="Arial"/>
                <w:sz w:val="18"/>
                <w:szCs w:val="18"/>
                <w:color w:val="auto"/>
              </w:rPr>
              <w:t>2007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0"/>
              <w:spacing w:after="0"/>
              <w:rPr>
                <w:sz w:val="20"/>
                <w:szCs w:val="20"/>
                <w:color w:val="auto"/>
              </w:rPr>
            </w:pPr>
            <w:r>
              <w:rPr>
                <w:rFonts w:ascii="Arial" w:cs="Arial" w:eastAsia="Arial" w:hAnsi="Arial"/>
                <w:sz w:val="18"/>
                <w:szCs w:val="18"/>
                <w:color w:val="auto"/>
                <w:w w:val="89"/>
              </w:rPr>
              <w:t>112,234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4"/>
              <w:spacing w:after="0"/>
              <w:rPr>
                <w:sz w:val="20"/>
                <w:szCs w:val="20"/>
                <w:color w:val="auto"/>
              </w:rPr>
            </w:pPr>
            <w:r>
              <w:rPr>
                <w:rFonts w:ascii="Arial" w:cs="Arial" w:eastAsia="Arial" w:hAnsi="Arial"/>
                <w:sz w:val="18"/>
                <w:szCs w:val="18"/>
                <w:color w:val="auto"/>
              </w:rPr>
              <w:t>30,000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69,339</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72,895</w:t>
            </w:r>
          </w:p>
        </w:tc>
        <w:tc>
          <w:tcPr>
            <w:tcW w:w="0" w:type="dxa"/>
            <w:vAlign w:val="bottom"/>
          </w:tcPr>
          <w:p>
            <w:pPr>
              <w:spacing w:after="0"/>
              <w:rPr>
                <w:sz w:val="1"/>
                <w:szCs w:val="1"/>
                <w:color w:val="auto"/>
              </w:rPr>
            </w:pPr>
          </w:p>
        </w:tc>
      </w:tr>
      <w:tr>
        <w:trPr>
          <w:trHeight w:val="391"/>
        </w:trPr>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Capitalized Software Feature Enhancements</w:t>
      </w:r>
    </w:p>
    <w:p>
      <w:pPr>
        <w:ind w:right="40"/>
        <w:spacing w:after="0" w:line="257" w:lineRule="auto"/>
        <w:rPr>
          <w:sz w:val="20"/>
          <w:szCs w:val="20"/>
          <w:color w:val="auto"/>
        </w:rPr>
      </w:pPr>
      <w:r>
        <w:rPr>
          <w:rFonts w:ascii="Arial" w:cs="Arial" w:eastAsia="Arial" w:hAnsi="Arial"/>
          <w:sz w:val="18"/>
          <w:szCs w:val="18"/>
          <w:color w:val="auto"/>
        </w:rPr>
        <w:t>Capitalized software feature enhancements are stated on the basis of cost, and are presented net of accumulated amortization. The Company capitalizes costs incurred during the software development phase for projects when such costs are material. These assets are amortized using the straight-line method, generally over one to four years. The Company capitalized approximately $1.3 million and $1.0 million during 2009 and 2008, respectively. Maintenance and operating costs are expensed as incurred. As of December 31, 2009 and 2008, there were no capitalized internal development costs for computer software developed for resale.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$2,324,297 and $2,104,746 for the years ended December 31, 2009 and 2008,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Equipment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Goodwill represents the excess of purchase price over fair value of net tangible assets acquired. The Company measures goodwill for impairment at the reporting unit level using both income and market based models to determine the fair value of the reporting units. The Company will perform its goodwill impairment test whenever events or changes in facts or circumstances indicate that impairment may exist, or at least annually during the fourth quarter each year.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Intangible assets acquired through acquisitions are comprised of content, contract rights, customer relationships, non-competition agreements and favorable lease rights. As of December 31, 2009 intangible assets with remaining unamortized balances include contract rights, customer relationships and non-competition agreements recorded in connection with the acquisitions of The Jackson Organization, Research Consultants, Inc. (TJO) and Data Management and Research, Inc. (DMR). Intangible assets are considered to have definite useful lives and are being amortized on a straight line basis over the expected periods to be benefited, generally three to five years for content, two to eight years for contract rights, customer lists and customer relationships, six months to four years for non-competition agreements, and over the lease term for favorable lease rights. The weighted average amortization period for definite lived intangible assets as of December 31, 2009 is 7.7 years. Intangible assets are reviewed for impairment whenever events or changes in facts or circumstances indicate that the carrying amount of the assets may not be recoverable. There were no impairments identified or recorded for the years ended December 31, 2009, 2008, or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Long-lived assets to be held for use are reviewed for events or changes in facts and circumstances, both internally and externally, which may indicate that an impairment of long-lived assets held for use are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the carrying value of long-lived assets, including property and equipment, capitalized software feature enhancements, other assets and intangible assets. There were no impairments identified or recorded for the years ended December 31, 2009, 2008, or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long-term portion of content development fees and other assets of a long-term nature.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spacing w:after="0" w:line="287"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2009, the Company has established a valuation allowance of $1.1 million for the portion of its net deferred tax assets that are not more likely than not expected to be realized.</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Support Liabilities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Commercial support liabilities represent grant funds received from entities supporting educational activities, in which we are the accredited provider. The funds are unrestricted, and are primarily used to pay for expenses associated with conducting the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an accrual for service credits that may occur from our Internet-based learning products. The accrual is estimated using management’s judgment and analysis of potential risk of loss associated with downtime, system performance, or other contractual obligations associated with our hosted applications. At December 31, 2009, and 2008, the accrual for service credits balance was approximately $318,000 and $345,000, respectively, and is included on the accompanying consolidated balance sheets under the caption “accrued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2009, 2008, and 2007 was approximately $137,000, $284,000, and $226,000,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Product Development Costs</w:t>
      </w:r>
    </w:p>
    <w:p>
      <w:pPr>
        <w:spacing w:after="0" w:line="291" w:lineRule="auto"/>
        <w:rPr>
          <w:sz w:val="20"/>
          <w:szCs w:val="20"/>
          <w:color w:val="auto"/>
        </w:rPr>
      </w:pPr>
      <w:r>
        <w:rPr>
          <w:rFonts w:ascii="Arial" w:cs="Arial" w:eastAsia="Arial" w:hAnsi="Arial"/>
          <w:sz w:val="16"/>
          <w:szCs w:val="16"/>
          <w:color w:val="auto"/>
        </w:rPr>
        <w:t>Product development costs include internal and external costs to develop and convert content for our Internet-based learning products. We capitalize the cost of content developed by third parties where the life expectancy is greater than one year and the anticipated cash flows from such content is expected to exceed its cost. The Company capitalized approximately $84,000 and $75,000 of content development costs during 2009 and 2008, respectively. Capitalized content development costs are included in the accompanying consolidated balance sheets under the captions “prepaid development fees” and “other assets.” We amortize content development over its expected life, which is generally one to three years. Content development costs that have been capitalized are subject to a periodic impairment review in accordance with our policy. The Company did not capitalize any internal web site development costs during 2009 or 2008, since the costs incurred were related to planning or operation of such products and sites.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2009, 2008, and 2007.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places its temporary excess cash investments in high quality, short-term money market instruments. At times, such investments may be in excess of the FDIC insurance limits.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2009, 2008, or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2009, the Company maintained one stock based compensation plan, which is described in Note 10. The Company accounts for its stock based compensation plan using the fair-value based method for costs related to share-based payments, including stock options. The Company uses the Black Scholes option pricing model for calculating the fair value of awards issued under its stock based compensation plan. Stock based compensation cost is measured at the grant date, based on the fair value of the award that is ultimately expected to vest, and is recognized as an expense over the requisite service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 for financial instruments: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The carrying amounts approximate the fair value because of the short-term maturity or short-term nature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Accounts receivable, accounts receivable-unbilled, interest receivable, accounts payable, accrued liabilities and deferred revenue: </w:t>
      </w:r>
      <w:r>
        <w:rPr>
          <w:rFonts w:ascii="Arial" w:cs="Arial" w:eastAsia="Arial" w:hAnsi="Arial"/>
          <w:sz w:val="18"/>
          <w:szCs w:val="18"/>
          <w:color w:val="auto"/>
        </w:rPr>
        <w:t>The carrying amounts,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allowance for doubtful accounts, approximate the fair value because of the short-term nature of such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Promissory note: </w:t>
      </w:r>
      <w:r>
        <w:rPr>
          <w:rFonts w:ascii="Arial" w:cs="Arial" w:eastAsia="Arial" w:hAnsi="Arial"/>
          <w:sz w:val="17"/>
          <w:szCs w:val="17"/>
          <w:color w:val="auto"/>
        </w:rPr>
        <w:t>The carrying amount approximates fair value based on current market rates for similar arrangements available to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580" w:firstLine="8"/>
        <w:spacing w:after="0" w:line="378"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Newly Issued Accounting Standards</w:t>
      </w:r>
    </w:p>
    <w:p>
      <w:pPr>
        <w:ind w:right="20"/>
        <w:spacing w:after="0" w:line="272" w:lineRule="auto"/>
        <w:rPr>
          <w:sz w:val="20"/>
          <w:szCs w:val="20"/>
          <w:color w:val="auto"/>
        </w:rPr>
      </w:pPr>
      <w:r>
        <w:rPr>
          <w:rFonts w:ascii="Arial" w:cs="Arial" w:eastAsia="Arial" w:hAnsi="Arial"/>
          <w:sz w:val="17"/>
          <w:szCs w:val="17"/>
          <w:color w:val="auto"/>
        </w:rPr>
        <w:t>In December 2007, the Financial Accounting Standards Board (“FASB”) issued authoritative guidance for how an acquirer recognizes and measures in its financial statements the identifiable assets acquired, the liabilities assumed, contractual contingencies, any noncontrolling interest in the acquiree and the goodwill acquired. This guidance changes the accounting for acquisition-related restructuring cost accruals and the recognition of changes in the acquirer’s income tax valuation allowance, and no longer permits the capitalization of certain acquisition costs. In addition, this guidance establishes disclosure requirements to enable the evaluation of the nature and financial effects of the business combination. The guidance is effective prospectively, except for certain retrospective adjustments for deferred tax balances. The Company’s consolidated financial statements will be impacted by this accounting guidance in relation to business combination activities subsequent to January 1, 2009.</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April 2008, the FASB issued authoritative guidance on the accounting requirements for goodwill and other intangible assets. This guidance amends the factors that should be considered in developing renewal or extension assumptions used to determine the useful life of a recognized intangible asset. The Company adopted the guidance effective January 1, 2009. The adoption of the guidance did not have a material effect on the Company’s financial position, results of operations, or cash flows.</w:t>
      </w:r>
    </w:p>
    <w:p>
      <w:pPr>
        <w:spacing w:after="0" w:line="7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May 2009, the FASB issued guidance which established standards for accounting and disclosure of events that occur after the balance sheet date, but before financial statements are issued. This guidance was effective for interim and annual periods ending after June 15, 2009. The FASB amended this guidance in February 2010. Adoption of this guidance did not have a material impact on our consolidated financial statements. We evaluated subsequent events occurring through the date our financial statements were issued.</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2009, the FASB issued the FASB Accounting Standards Codification™ and the Hierarchy of Generally Accepted Accounting Principles (the “Codification”). The Codification became the single official source of authoritative, nongovernmental US GAAP. The Codification did not change US GAAP but reorganizes the literature. The Codification is effective for interim and annual periods ending after September 15, 2009, and we adopted the Codification during the quarter ended September 30, 2009. The adoption of the guidance did not have an effect on the Company’s financial position, results of operations, or cash flows.</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September 2009, the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revised guidance will be effective for the first annual reporting period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assessing the potential impact of adopting the revised guidance on our financial position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12, 2007, the Company acquired all of the stock of The Jackson Organization, Research Consultants, Inc. (TJO). Consideration paid to the seller of TJO included approximately $11.5 million in cash and 252,616 shares of our common stock. The Company also incurred direct, incremental expenses associated with the acquisition of approximately $690,000, which are included in the table below in “purchase price in excess of net tangible assets acquired” and “cash paid.” Total cash paid of $12.2 million includes cash paid for TJO and direct expenses associated with the acquisition. The allocation of purchase price was as follows:</w:t>
      </w:r>
    </w:p>
    <w:p>
      <w:pPr>
        <w:sectPr>
          <w:pgSz w:w="11900" w:h="16838" w:orient="portrait"/>
          <w:cols w:equalWidth="0" w:num="1">
            <w:col w:w="11380"/>
          </w:cols>
          <w:pgMar w:left="240" w:top="419" w:right="2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liabilities assumed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in excess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fair value of stock issued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 including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jc w:val="right"/>
        <w:ind w:right="387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6" w:hanging="206"/>
        <w:spacing w:after="0"/>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2,856,480</w:t>
      </w:r>
    </w:p>
    <w:p>
      <w:pPr>
        <w:spacing w:after="0" w:line="34" w:lineRule="exact"/>
        <w:rPr>
          <w:rFonts w:ascii="Arial" w:cs="Arial" w:eastAsia="Arial" w:hAnsi="Arial"/>
          <w:sz w:val="17"/>
          <w:szCs w:val="17"/>
          <w:color w:val="auto"/>
        </w:rPr>
      </w:pPr>
    </w:p>
    <w:p>
      <w:pPr>
        <w:ind w:left="146"/>
        <w:spacing w:after="0"/>
        <w:rPr>
          <w:rFonts w:ascii="Arial" w:cs="Arial" w:eastAsia="Arial" w:hAnsi="Arial"/>
          <w:sz w:val="17"/>
          <w:szCs w:val="17"/>
          <w:color w:val="auto"/>
        </w:rPr>
      </w:pPr>
      <w:r>
        <w:rPr>
          <w:rFonts w:ascii="Arial" w:cs="Arial" w:eastAsia="Arial" w:hAnsi="Arial"/>
          <w:sz w:val="16"/>
          <w:szCs w:val="16"/>
          <w:color w:val="auto"/>
        </w:rPr>
        <w:t>(4,410,215)</w:t>
      </w:r>
    </w:p>
    <w:p>
      <w:pPr>
        <w:spacing w:after="0" w:line="32" w:lineRule="exact"/>
        <w:rPr>
          <w:rFonts w:ascii="Arial" w:cs="Arial" w:eastAsia="Arial" w:hAnsi="Arial"/>
          <w:sz w:val="17"/>
          <w:szCs w:val="17"/>
          <w:color w:val="auto"/>
        </w:rPr>
      </w:pPr>
    </w:p>
    <w:p>
      <w:pPr>
        <w:ind w:left="106"/>
        <w:spacing w:after="0"/>
        <w:rPr>
          <w:rFonts w:ascii="Arial" w:cs="Arial" w:eastAsia="Arial" w:hAnsi="Arial"/>
          <w:sz w:val="17"/>
          <w:szCs w:val="17"/>
          <w:color w:val="auto"/>
        </w:rPr>
      </w:pPr>
      <w:r>
        <w:rPr>
          <w:rFonts w:ascii="Arial" w:cs="Arial" w:eastAsia="Arial" w:hAnsi="Arial"/>
          <w:sz w:val="17"/>
          <w:szCs w:val="17"/>
          <w:color w:val="auto"/>
        </w:rPr>
        <w:t>14,704,471</w:t>
      </w:r>
    </w:p>
    <w:p>
      <w:pPr>
        <w:spacing w:after="0" w:line="20" w:lineRule="exact"/>
        <w:rPr>
          <w:rFonts w:ascii="Arial" w:cs="Arial" w:eastAsia="Arial" w:hAnsi="Arial"/>
          <w:sz w:val="17"/>
          <w:szCs w:val="17"/>
          <w:color w:val="auto"/>
        </w:rPr>
      </w:pPr>
    </w:p>
    <w:p>
      <w:pPr>
        <w:ind w:left="266"/>
        <w:spacing w:after="0"/>
        <w:rPr>
          <w:rFonts w:ascii="Arial" w:cs="Arial" w:eastAsia="Arial" w:hAnsi="Arial"/>
          <w:sz w:val="17"/>
          <w:szCs w:val="17"/>
          <w:color w:val="auto"/>
        </w:rPr>
      </w:pPr>
      <w:r>
        <w:rPr>
          <w:rFonts w:ascii="Arial" w:cs="Arial" w:eastAsia="Arial" w:hAnsi="Arial"/>
          <w:sz w:val="16"/>
          <w:szCs w:val="16"/>
          <w:color w:val="auto"/>
        </w:rPr>
        <w:t>(960,170)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82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12,190,566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$12,093,472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2">
            <w:col w:w="9674" w:space="720"/>
            <w:col w:w="986"/>
          </w:cols>
          <w:pgMar w:left="240" w:top="419" w:right="27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4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120" w:type="dxa"/>
            <w:vAlign w:val="bottom"/>
          </w:tcPr>
          <w:p>
            <w:pPr>
              <w:jc w:val="center"/>
              <w:ind w:left="490"/>
              <w:spacing w:after="0"/>
              <w:rPr>
                <w:sz w:val="20"/>
                <w:szCs w:val="20"/>
                <w:color w:val="auto"/>
              </w:rPr>
            </w:pPr>
            <w:r>
              <w:rPr>
                <w:rFonts w:ascii="Arial" w:cs="Arial" w:eastAsia="Arial" w:hAnsi="Arial"/>
                <w:sz w:val="18"/>
                <w:szCs w:val="18"/>
                <w:b w:val="1"/>
                <w:bCs w:val="1"/>
                <w:color w:val="auto"/>
              </w:rPr>
              <w:t>HEALTHSTREAM, INC.</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120" w:type="dxa"/>
            <w:vAlign w:val="bottom"/>
          </w:tcPr>
          <w:p>
            <w:pPr>
              <w:jc w:val="center"/>
              <w:ind w:left="49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2. BUSINESS COMBINATION (continued)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80" w:type="dxa"/>
            <w:vAlign w:val="bottom"/>
            <w:gridSpan w:val="3"/>
          </w:tcPr>
          <w:p>
            <w:pPr>
              <w:spacing w:after="0"/>
              <w:rPr>
                <w:sz w:val="20"/>
                <w:szCs w:val="20"/>
                <w:color w:val="auto"/>
              </w:rPr>
            </w:pPr>
            <w:r>
              <w:rPr>
                <w:rFonts w:ascii="Arial" w:cs="Arial" w:eastAsia="Arial" w:hAnsi="Arial"/>
                <w:sz w:val="18"/>
                <w:szCs w:val="18"/>
                <w:color w:val="auto"/>
              </w:rPr>
              <w:t>The purchase price in excess of the net tangible assets acquired was allocated as follows: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Customer related intangibles (estimated life of eight years)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 (estimated life of four years)</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TJO have been included in the Company’s statement of income beginning March 13, 2007.</w:t>
      </w:r>
    </w:p>
    <w:p>
      <w:pPr>
        <w:spacing w:after="0" w:line="11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following unaudited combined results of operations for the year ended December 31, 2007 give effect to the operations of TJO as if the acquisition had occurred as of January 1, 2007. These unaudited combined results of operations include certain adjustments arising from the acquisition such as adjustments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46,499,403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4,366,948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92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ind w:right="260"/>
        <w:spacing w:after="0" w:line="259"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2009 and 2008 was 21,623,350 and 21,382,055, respectively. During September 2007, our Board of Directors authorized the Company to purchase up to $3.0 million of its common stock over a one year period. During 2008, we completed the stock repurchase plan resulting in a cumulative total of 1,119,900 shares purchased at an average price of $2.68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connection with a distribution agreement we entered into during 1999, we provided a business partner with a warrant to purchase 245,032 shares of our common stock at $4.06 per share. The warrant expired in June 2009, and no portion of the stock warrant was exercised.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13,972,246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2,854,795</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4,087,209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21,457,417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21,707,364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21,998,845</w:t>
            </w: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380,623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496,950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21,838,040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22,204,314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22,700,996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years ended December 31, 2009, 2008, and 2007, the calculation of weighted average and equivalent shares excluded options and warrants that were anti-dilutive. The equivalent common shares related to such options and warrants were 1,478,664 in 2009, 1,913,082 in 2008, and 1,915,641 in 2007.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Goodwill is tested for impairment at least annually using a fair value method. The Company tests goodwill for impairment using both income and market based models.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additional impairment charges, which could adversely impact our operating results for the period in which such a determination is made. The Company performs its annual impairment evaluation of goodwill during the fourth quarter of each year and as changes in facts and circumstances indicate impairment exists. During the annual impairment evaluation in the fourth quarter of 2009 and 2008, the results of our goodwill impairment analysis indicated the fair value of our reporting units exceeded their carrying values. Therefore no impairment existed at December 31, 2009 and 2008.</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for HealthStream Learning totaled $3,306,688 at December 31, 2009 and 2008, and goodwill for HealthStream Research totaled $17,840,176 at December 31, 2009 and 2008. There were no changes in the carrying amount of goodwill during the years ended December 31, 2009 and 2008. On January 1, 2002, upon the adoption of FASB guidance for goodwill and other intangible assets, we recorded a $5.0 million goodwill impairment charge for HealthStream Learning.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All intangible assets are considered to have finite useful lives. Customer related intangible assets include contract rights, customer lists, and customer relationships associated with our acquisitions of DMR and TJO. Other intangible assets include non-competition agreements associated with the same acquired entities. The intangibles are being amortized over their estimated useful lives, ranging from one to eight years. Amortization of intangible assets was approximately $947,000, $967,000, and $926,000, for the years ended December 31, 2009, 2008 and 2007,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6"/>
              </w:rPr>
              <w:t>As of December 31, 2009</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6"/>
              </w:rPr>
              <w:t>As of December 31, 2008</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0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6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1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(6,213,974)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$ 3,701,026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9,915,000</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(5,342,099)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$ 4,572,901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972,142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(882,222)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89,920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972,142</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(807,222)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164,920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10,887,142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(7,096,196)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$ 3,790,946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10,887,142</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(6,149,321)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$ 4,737,821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December 31,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946,875</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886,794</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871,875</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549,632</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446,875</w:t>
            </w: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88,895</w:t>
            </w:r>
          </w:p>
        </w:tc>
        <w:tc>
          <w:tcPr>
            <w:tcW w:w="100" w:type="dxa"/>
            <w:vAlign w:val="bottom"/>
          </w:tcPr>
          <w:p>
            <w:pPr>
              <w:spacing w:after="0"/>
              <w:rPr>
                <w:sz w:val="19"/>
                <w:szCs w:val="19"/>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3,790,946</w:t>
            </w:r>
          </w:p>
        </w:tc>
      </w:tr>
      <w:tr>
        <w:trPr>
          <w:trHeight w:val="20"/>
        </w:trPr>
        <w:tc>
          <w:tcPr>
            <w:tcW w:w="10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CONTENT RIGHTS AND DEFERRED SERVICE CREDITS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During 2009, the Company entered into a renewal agreement with a customer in which we were provided continued rights to distribute and resell courseware owned by them. In exchange for the receipt of an exclusive license to distribute and resell this courseware, the Company provided the customer with service credits that can be exchanged for future purchases of our products and services. The value assigned to the content rights and the deferred service credits was $665,000, which represented the estimated fair value of the assets relinquished. The content rights are classified within prepaid development fees and other assets, and the deferred service credits are classified within accrued liabilities on our condensed consolidated balance sheet as of December 31, 2009.</w:t>
      </w:r>
    </w:p>
    <w:p>
      <w:pPr>
        <w:spacing w:after="0" w:line="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exchangeable service credits will be issued annually through December 31, 2011, and will expire twenty-four months after issuance. Any unused credits will be forfeited upon expiration. During the year ended December 31, 2009, we issued exchangeable service credits of $465,000 in accordance with this agreement, and are obligated to issue remaining service credits of $100,000 per year in both 2010 and 2011. The content rights are being amortized on a straight-line basis through December 31, 2012. Revenues for products or services provided in exchange for these service credits will be recognized in accordance with our revenue recognition policies.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provides services to healthcare organizations, pharmaceutical and medical device companies, and other members within the healthcare industry. These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authoring tools, courseware subscriptions, online training and content development, online sales training courses, live events,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is our business segment information as of and for the years ended December 31, 2009, 2008 and 2007. The Company measures segment performance based on operating income (loss)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as well as depreciation, a portion of amortization, and certain other expenses, which are not currently allocated in measuring segment performance.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2009</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3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Unallocated</w:t>
            </w:r>
          </w:p>
        </w:tc>
        <w:tc>
          <w:tcPr>
            <w:tcW w:w="6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38,153,924</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19,244,306</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$57,398,230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11,945,931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9,397,520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21,343,451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5,231,410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1,053,895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6,285,305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7,318,205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3,324,589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287,439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10,930,233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1,784,121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1,862,433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4,930,934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8,577,488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1,832,542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982,636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2,324,297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5,139,475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10,041,715</w:t>
            </w: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2,623,233</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(7,542,670)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5,122,278</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18,185,466</w:t>
            </w:r>
          </w:p>
        </w:tc>
        <w:tc>
          <w:tcPr>
            <w:tcW w:w="5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26,209,873</w:t>
            </w:r>
          </w:p>
        </w:tc>
        <w:tc>
          <w:tcPr>
            <w:tcW w:w="3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26,606,941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1,131,642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168,055</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1,787,297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783,786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498,964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1,282,750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4"/>
                <w:szCs w:val="14"/>
                <w:b w:val="1"/>
                <w:bCs w:val="1"/>
                <w:color w:val="auto"/>
              </w:rPr>
              <w:t>Year ended December 31, 2008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Learning</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Research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gridSpan w:val="2"/>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8"/>
              </w:rPr>
              <w:t>32,831,640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18,767,903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$51,599,543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w w:val="88"/>
              </w:rPr>
              <w:t>10,616,573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9,036,877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19,653,450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4,634,664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1,035,290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5,669,954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w w:val="99"/>
              </w:rPr>
              <w:t>7,087,094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3,522,928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210,040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1,617,432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1,889,971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4,644,888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8,152,291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1,714,119</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1,002,527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2,105,622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4,822,268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7,161,758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2,280,310</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(6,960,560)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2,481,518</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w w:val="88"/>
              </w:rPr>
              <w:t>16,027,451</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27,018,000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9,751,430</w:t>
            </w:r>
          </w:p>
        </w:tc>
        <w:tc>
          <w:tcPr>
            <w:tcW w:w="60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594,816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118,328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1,138,598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513,540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466,893</w:t>
            </w:r>
          </w:p>
        </w:tc>
        <w:tc>
          <w:tcPr>
            <w:tcW w:w="3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99"/>
              </w:rPr>
              <w:t>Year ended December 31, 2007</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Learning</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6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27,461,507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16,487,757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43,949,264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9,272,559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6,889,946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16,162,505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3,668,651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515,605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123,482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4,307,738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6,362,109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2,735,565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114,731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1,095,217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2,364,937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4,387,904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7,848,058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1,627,564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926,393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1,949,223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4,503,180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5,435,407</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3,055,311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(6,575,340)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1,915,378</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17,270,540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26,284,097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9,806,820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807,450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410,413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1,264,565</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2,460,254</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2,566,438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included within Unallocated.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is comprised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Current state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109,955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54,928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(8,134,543)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(335,944)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(1,780,403)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state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(957,005)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(39,523)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(8,865,192)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(301,089)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(1,945,496)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(benefit) provision for income taxes differs from the amounts computed by applying the federal statutory rate of 34% to the income before income taxes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the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1,736,259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728,176</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10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202,223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135,883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113,081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Difference related to warrants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943,018</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229,484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335,641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197,989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valuation allowance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(11,033,158)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(1,640,973)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(3,927,760)</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(8,865,192</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(301,089</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(1,945,496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December 31, 2009, the Company concluded that substantially all of its deferred tax assets would more likely than not be realized. The recognition of these assets was recorded in our statements of income as a deferred income tax benefit of $9,091,548, $375,467, and $1,989,862 for the years ended December 31, 2009, 2008, and 2007, respectively. At December 31, 2009, a valuation allowance of $1,093,699 exists for the remaining portion of deferred tax assets, which are comprised of the portion of our net operating loss carryforwards attributable to the exercises of stock options. Any future reductions of the valuation allowance associated with this deferred tax asset would be recognized as an increase to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2009, the Company had federal and state net operating loss carryforwards of $32,356,445 and $25,997,138, respectively. These loss carryforwards will expire in years 2012 through 2024. As of December 31, 2009, $2,878,155 of the net operating loss carryforwards is attributable to the exercise of stock options, and if realized, the tax benefit will be recorded as an increase to common stock. The net operating loss carryforwards are subject to annual limitations under Internal Revenue Code Section 382. The annual limitations could result in the expiration of a portion of our net operating loss and tax credit carryforwards before they are fully utilized.</w:t>
      </w:r>
    </w:p>
    <w:p>
      <w:pPr>
        <w:spacing w:after="0" w:line="8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Company has research and development tax credit carryforwards of $285,787 that expire in varying amounts through 2024. As of December 31, 2009, the Company has alternative minimum tax credit carryforwards of $215,057 that are available to offset future regular tax liabilities and they do not expire. Federal income tax payments of $95,000, $5,300, and $43,000, were made during the years ended December 31, 2009, 2008, and 2007, respectively. State income tax payments of $50,835, $41,560, and $-0- were made during the years ended December 31, 2009, 2008, and 2007, respectively.</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2009 and 2008,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2009, subject to the statute of limitations. The Company has no income tax examinations in process.</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53,412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Net operating loss carryforwards</w:t>
            </w: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2,320,194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3,080,656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(250,179)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(1,242,918)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Current deferred tax assets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2,830,477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200"/>
              <w:spacing w:after="0"/>
              <w:rPr>
                <w:sz w:val="20"/>
                <w:szCs w:val="20"/>
                <w:color w:val="auto"/>
              </w:rPr>
            </w:pPr>
            <w:r>
              <w:rPr>
                <w:rFonts w:ascii="Arial" w:cs="Arial" w:eastAsia="Arial" w:hAnsi="Arial"/>
                <w:sz w:val="18"/>
                <w:szCs w:val="18"/>
                <w:color w:val="auto"/>
              </w:rPr>
              <w:t>Noncurrent deferred tax assets:</w:t>
            </w: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301,388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Deductible goodwill</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Difference related to warrants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Research and development credits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285,787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154,430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Alternative minimum tax credits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215,057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operating loss carryforwards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9,721,833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13,071,557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10,678,495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14,007,604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Valuation allowance</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(843,520)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(10,883,939)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Net Noncurrent deferred tax assets</w:t>
            </w:r>
          </w:p>
        </w:tc>
        <w:tc>
          <w:tcPr>
            <w:tcW w:w="4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9,834,975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Deductible goodwill</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291,565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Nondeductible intangible assets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1,115,323</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Noncurrent deferred tax liabilities</w:t>
            </w:r>
          </w:p>
        </w:tc>
        <w:tc>
          <w:tcPr>
            <w:tcW w:w="4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1,208,575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8,626,400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500" w:type="dxa"/>
            <w:vAlign w:val="bottom"/>
            <w:vMerge w:val="restart"/>
          </w:tcPr>
          <w:p>
            <w:pPr>
              <w:jc w:val="right"/>
              <w:ind w:right="2870"/>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stock based compensation expense recorded for the years ended December 31, 2009, 2008, and 2007, which is recorded in our statements of income,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Years Ended 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22,722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113,324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157,969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199,529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199,832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368,280</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660,522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771,560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742,344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2000 Stock Incentive Plan (the Plan) authorizes the grant of options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our board of directors’ options) to annual vesting over four years, beginning one year after the grant date (generally for employee and officer options). As of December 31, 2009, 1,302,387 shares of unissued common stock remained reserved for future grants under the Plan, although the Plan expires in April 2010. The Company is submitting a new Stock Incentive Plan to shareholders as part of its 2010 proxy solicitation. The Company issues new shares of common stock when options are exercised.</w:t>
      </w:r>
    </w:p>
    <w:p>
      <w:pPr>
        <w:spacing w:after="0" w:line="5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fair value of options granted was estimated using the Black-Scholes method. The ranges of assumptions used for these estimates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19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2008</w:t>
            </w:r>
          </w:p>
        </w:tc>
        <w:tc>
          <w:tcPr>
            <w:tcW w:w="19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2007</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1.73 — 3.22%</w:t>
            </w:r>
          </w:p>
        </w:tc>
        <w:tc>
          <w:tcPr>
            <w:tcW w:w="4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 — 3.56%</w:t>
            </w:r>
          </w:p>
        </w:tc>
        <w:tc>
          <w:tcPr>
            <w:tcW w:w="4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4.45 — 4.80%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 to 7</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 to 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 to 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0-20%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0-20%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0-30%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Expected life</w:t>
      </w:r>
      <w:r>
        <w:rPr>
          <w:rFonts w:ascii="Arial" w:cs="Arial" w:eastAsia="Arial" w:hAnsi="Arial"/>
          <w:sz w:val="16"/>
          <w:szCs w:val="16"/>
          <w:color w:val="auto"/>
        </w:rPr>
        <w:t xml:space="preserve"> is the period of time the option is expected to remain outstanding, and is based on historical experience. The contractual option life ranges from eight to ten years. We estimate the expected life of options granted to members of management to be five years and seven to eight years for directors.</w:t>
      </w:r>
    </w:p>
    <w:p>
      <w:pPr>
        <w:spacing w:after="0" w:line="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u w:val="single" w:color="auto"/>
          <w:color w:val="auto"/>
        </w:rPr>
        <w:t>Volatility</w:t>
      </w:r>
      <w:r>
        <w:rPr>
          <w:rFonts w:ascii="Arial" w:cs="Arial" w:eastAsia="Arial" w:hAnsi="Arial"/>
          <w:sz w:val="17"/>
          <w:szCs w:val="17"/>
          <w:color w:val="auto"/>
        </w:rPr>
        <w:t xml:space="preserve"> is the measure of the amount by which the price is expected to fluctuate. We estimate volatility based on the actual historical volatility of our common stock, and we believe future volatility will be similar to our historical volatility experience based on our measurements.</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amortize the fair value of all stock based awards, net of estimated forfeitures, on a straight-line basis over the requisite service period, which generally is the vesting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activity and various other information relative to stock options for the year ended December 31, 2009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gridSpan w:val="4"/>
          </w:tcPr>
          <w:p>
            <w:pPr>
              <w:ind w:left="3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2,426,795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289,000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(241,295)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Expired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(3,750)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Outstanding — end of period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2,465,750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6,735,142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1,558,075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4,178,881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in the table above represents the total difference between the Company’s closing stock price on December 31, 2009 (the last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trading day of the year) of $3.95 and the option exercise price, multiplied by the number of in-the-money options as of December 31, 2009.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total unrecognized compensation expense related to non-vested stock options was $913,492, net of estimated forfeitures, with a weighted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average expense recognition period of 1.95 years. The weighted average remaining contractual term of options outstanding at December 31, 2009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4.5 years. Options exercisable at December 31, 2009 have a weighted average remaining contractual term of 3.5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years ended December 31, 2009, 2008, and 2007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531,104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629,528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547,628</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61,617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144,826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425,354</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210,928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9, 2009, the Company terminated the Employee Stock Purchase Plan (Purchase Plan) and deregistered the unsold and unissued shares remaining in the Purchase Plan. No shares were purchased under the plan during 2009. During 2008, 53,108 shares were purchased under the plan at $2.46 per share. The Company recognized a reduction of stock based compensation expense of $17,450 during the year ended December 31, 2009 associated with the termination of the Purchase Plan. During the year ended December 31, 2008, the Company recognized $24,855 of stock based compensation expense for the Purchase Plan.</w:t>
      </w:r>
    </w:p>
    <w:p>
      <w:pPr>
        <w:spacing w:after="0" w:line="184" w:lineRule="exact"/>
        <w:rPr>
          <w:sz w:val="20"/>
          <w:szCs w:val="20"/>
          <w:color w:val="auto"/>
        </w:rPr>
      </w:pPr>
    </w:p>
    <w:p>
      <w:pPr>
        <w:ind w:right="8760" w:firstLine="8"/>
        <w:spacing w:after="0" w:line="378" w:lineRule="auto"/>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ind w:right="80"/>
        <w:spacing w:after="0" w:line="259"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and 2008, the Company had the following debt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306,942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1,031,037</w:t>
            </w: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current portion</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(306,942)</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(724,095)</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2007, the Company financed the purchase of approximately $2.1 million in multi-year software licenses. As a result of this transaction, the Company entered into a promissory note loan agreement which is scheduled to be repaid in 36 payments due on a monthly basis beginning July 1, 2007. The promissory note bears interest at an annual rate of 2.32%, and is unsecured. The Company may not prepay the loan without consent from the lender, and if a prepayment request is granted by the lender, a prepayment fee may be assessed. As of December 31, 2009, the amount outstanding under this loan agreement was $306,942.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for the remaining debt outstanding as of December 31, 2009 are scheduled to be paid during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$15.0 million, which matures on July 21, 2011. The obligations under the revolving credit facility are guaranteed by each of the Company’s subsidiaries. The Company’s borrowings under the revolving credit facility bear interest at the 30-Day LIBOR Rate plus a margin of either 190 or 220 basis points determined in accordance with a pricing grid, but has a minimum interest rate of not less than three percent. Principal is payable in full on the maturity date. The Company is required to pay a commitment fee of 25 basis points per annum of the average daily unused portion of the revolving credit facility.</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 maximum total leverage ratio (consolidated debt/consolidated EBITDA) of 2.0 to 1.0;</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funded debt to total capitalization may not exceed 40%;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tangible net worth may not be less than $1.00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2009, the Company believes it was in compliance with all covenants. There were no balances outstanding on the revolving credit facility as of December 31,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December 31, 2009, the Company leased office facilities in Nashville, TN, Laurel, MD, and Franklin, TN, under agreements that expire before or during June 2012.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$1,467,000, $1,502,000, and $1,410,000, for the years ended December 31, 2009, 2008, and 2007, respectively. The Company also leases office equipment from third parties which are accounted for as capital leases.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rental payment commitments at December 31, 2009 under capital and non-cancelable operating leases, with initial terms of one year or more,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Capital Leases</w:t>
            </w: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Operating Leases</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882,185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582,721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124,277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1,589,183</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Present value of minimum lease payments (including $8,905 classified as current)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carrying value of assets under capital leases, which are included with owned assets in the accompanying consolidated balance sheets, was $7,500 and $24,250 at December 31, 2009 and 2008, respectively. Amortization of the assets under the capital leases is included in depreciation expense on the accompanying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 / 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February 23, 2010, our Board of Directors authorized us to purchase up to $4,000,000 of our common stock over a one year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2009.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2009.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2009, the Company’s internal control over financial reporting was effective based on those criteria.</w:t>
      </w:r>
    </w:p>
    <w:p>
      <w:pPr>
        <w:spacing w:after="0" w:line="80"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2009 that have materially affected, or that are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proxy statement for the 2010 Annual Meeting of Shareholders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2010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2010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2010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2010 Annual Meeting of Shareholders that we will file with the Securities and Exchange Commission within 120 days of the end of the fiscal year to which this report relates.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Financial Statements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131"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Stock Purchase Agreement, dated as of March 28, 2005, by and among HealthStream, Inc., Mel B. Thompson and Data Management &amp;</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Research, Inc.</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Stock Purchase Agreement, dated as of March 12, 2007, by and among HealthStream, Inc., The Jackson Organization, Research Consultants,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dated March 27, 1995, as amended June 6, 1995 and September 22, 1998, between Cummins Station LLC, as landlord, and NewOrder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Media, Inc., as tenant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Education Services Provider Agreement dated October 1, 2001 between HealthStream, Inc. and HCA Information Technology &amp; Services,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as amended</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5"/>
                <w:szCs w:val="15"/>
                <w:color w:val="auto"/>
              </w:rPr>
              <w:t>(4)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5"/>
                <w:szCs w:val="15"/>
                <w:color w:val="auto"/>
              </w:rPr>
              <w:t>(5)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5"/>
                <w:szCs w:val="15"/>
                <w:color w:val="auto"/>
              </w:rPr>
              <w:t>(6)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5"/>
                <w:szCs w:val="15"/>
                <w:color w:val="auto"/>
              </w:rPr>
              <w:t>(7)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5"/>
                <w:szCs w:val="15"/>
                <w:color w:val="auto"/>
              </w:rPr>
              <w:t>(8)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HealthStream, Inc.</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80" w:right="500" w:hanging="57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76"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13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ectPr>
          <w:pgSz w:w="11900" w:h="16838" w:orient="portrait"/>
          <w:cols w:equalWidth="0" w:num="1">
            <w:col w:w="11420"/>
          </w:cols>
          <w:pgMar w:left="240" w:top="419" w:right="239" w:bottom="0" w:gutter="0" w:footer="0" w:header="0"/>
        </w:sectPr>
      </w:pPr>
    </w:p>
    <w:bookmarkStart w:id="60" w:name="page61"/>
    <w:bookmarkEnd w:id="60"/>
    <w:p>
      <w:pPr>
        <w:ind w:left="572" w:hanging="572"/>
        <w:spacing w:after="0"/>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25, 2005.</w:t>
      </w:r>
    </w:p>
    <w:p>
      <w:pPr>
        <w:spacing w:after="0" w:line="155" w:lineRule="exact"/>
        <w:rPr>
          <w:rFonts w:ascii="Arial" w:cs="Arial" w:eastAsia="Arial" w:hAnsi="Arial"/>
          <w:sz w:val="17"/>
          <w:szCs w:val="17"/>
          <w:color w:val="auto"/>
        </w:rPr>
      </w:pPr>
    </w:p>
    <w:p>
      <w:pPr>
        <w:ind w:left="572" w:hanging="572"/>
        <w:spacing w:after="0"/>
        <w:tabs>
          <w:tab w:leader="none" w:pos="5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Annual Report on Form 10-K, dated March 30, 2007.</w:t>
      </w:r>
    </w:p>
    <w:p>
      <w:pPr>
        <w:spacing w:after="0" w:line="153" w:lineRule="exact"/>
        <w:rPr>
          <w:rFonts w:ascii="Arial" w:cs="Arial" w:eastAsia="Arial" w:hAnsi="Arial"/>
          <w:sz w:val="16"/>
          <w:szCs w:val="16"/>
          <w:color w:val="auto"/>
        </w:rPr>
      </w:pPr>
    </w:p>
    <w:p>
      <w:pPr>
        <w:ind w:left="572" w:hanging="572"/>
        <w:spacing w:after="0"/>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25, 2006.</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Current Report on Form 8-K, dated February 20, 2007.</w:t>
      </w:r>
    </w:p>
    <w:p>
      <w:pPr>
        <w:spacing w:after="0" w:line="153" w:lineRule="exact"/>
        <w:rPr>
          <w:rFonts w:ascii="Arial" w:cs="Arial" w:eastAsia="Arial" w:hAnsi="Arial"/>
          <w:sz w:val="16"/>
          <w:szCs w:val="16"/>
          <w:color w:val="auto"/>
        </w:rPr>
      </w:pPr>
    </w:p>
    <w:p>
      <w:pPr>
        <w:ind w:left="572" w:hanging="572"/>
        <w:spacing w:after="0"/>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24, 2007.</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from exhibit filed on our Current Report on Form 8-K, dated July 17, 2009.</w:t>
      </w:r>
    </w:p>
    <w:p>
      <w:pPr>
        <w:spacing w:after="0" w:line="196"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25th day of March, 2010.</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40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Title(s)</w:t>
            </w:r>
          </w:p>
        </w:tc>
        <w:tc>
          <w:tcPr>
            <w:tcW w:w="220" w:type="dxa"/>
            <w:vAlign w:val="bottom"/>
          </w:tcPr>
          <w:p>
            <w:pPr>
              <w:spacing w:after="0"/>
              <w:rPr>
                <w:sz w:val="14"/>
                <w:szCs w:val="14"/>
                <w:color w:val="auto"/>
              </w:rPr>
            </w:pPr>
          </w:p>
        </w:tc>
        <w:tc>
          <w:tcPr>
            <w:tcW w:w="290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Date</w:t>
            </w:r>
          </w:p>
        </w:tc>
      </w:tr>
      <w:tr>
        <w:trPr>
          <w:trHeight w:val="42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A. Frist, Jr.</w:t>
            </w:r>
          </w:p>
        </w:tc>
        <w:tc>
          <w:tcPr>
            <w:tcW w:w="22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Chairman (Principal Executive Officer)</w:t>
            </w: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Gerard M. Hayden, Jr.</w:t>
            </w:r>
          </w:p>
        </w:tc>
        <w:tc>
          <w:tcPr>
            <w:tcW w:w="22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D</w:t>
            </w:r>
            <w:r>
              <w:rPr>
                <w:rFonts w:ascii="Arial" w:cs="Arial" w:eastAsia="Arial" w:hAnsi="Arial"/>
                <w:sz w:val="12"/>
                <w:szCs w:val="12"/>
                <w:color w:val="auto"/>
              </w:rPr>
              <w:t>ANIELL</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James Daniell</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HOMPSON</w:t>
            </w:r>
            <w:r>
              <w:rPr>
                <w:rFonts w:ascii="Arial" w:cs="Arial" w:eastAsia="Arial" w:hAnsi="Arial"/>
                <w:sz w:val="18"/>
                <w:szCs w:val="18"/>
                <w:color w:val="auto"/>
              </w:rPr>
              <w:t xml:space="preserve"> D</w:t>
            </w:r>
            <w:r>
              <w:rPr>
                <w:rFonts w:ascii="Arial" w:cs="Arial" w:eastAsia="Arial" w:hAnsi="Arial"/>
                <w:sz w:val="12"/>
                <w:szCs w:val="12"/>
                <w:color w:val="auto"/>
              </w:rPr>
              <w:t>ENT</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Thompson Dent</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G</w:t>
            </w:r>
            <w:r>
              <w:rPr>
                <w:rFonts w:ascii="Arial" w:cs="Arial" w:eastAsia="Arial" w:hAnsi="Arial"/>
                <w:sz w:val="12"/>
                <w:szCs w:val="12"/>
                <w:color w:val="auto"/>
              </w:rPr>
              <w:t>ORDON</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Frank Gordon</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EFFREY</w:t>
            </w:r>
            <w:r>
              <w:rPr>
                <w:rFonts w:ascii="Arial" w:cs="Arial" w:eastAsia="Arial" w:hAnsi="Arial"/>
                <w:sz w:val="18"/>
                <w:szCs w:val="18"/>
                <w:color w:val="auto"/>
              </w:rPr>
              <w:t xml:space="preserve"> L.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AREN</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Jeffrey L. McLaren</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ALE</w:t>
            </w:r>
            <w:r>
              <w:rPr>
                <w:rFonts w:ascii="Arial" w:cs="Arial" w:eastAsia="Arial" w:hAnsi="Arial"/>
                <w:sz w:val="18"/>
                <w:szCs w:val="18"/>
                <w:color w:val="auto"/>
              </w:rPr>
              <w:t xml:space="preserve"> P</w:t>
            </w:r>
            <w:r>
              <w:rPr>
                <w:rFonts w:ascii="Arial" w:cs="Arial" w:eastAsia="Arial" w:hAnsi="Arial"/>
                <w:sz w:val="12"/>
                <w:szCs w:val="12"/>
                <w:color w:val="auto"/>
              </w:rPr>
              <w:t>OLLEY</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Dale Polley</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INDA</w:t>
            </w:r>
            <w:r>
              <w:rPr>
                <w:rFonts w:ascii="Arial" w:cs="Arial" w:eastAsia="Arial" w:hAnsi="Arial"/>
                <w:sz w:val="18"/>
                <w:szCs w:val="18"/>
                <w:color w:val="auto"/>
              </w:rPr>
              <w:t xml:space="preserve"> R</w:t>
            </w:r>
            <w:r>
              <w:rPr>
                <w:rFonts w:ascii="Arial" w:cs="Arial" w:eastAsia="Arial" w:hAnsi="Arial"/>
                <w:sz w:val="12"/>
                <w:szCs w:val="12"/>
                <w:color w:val="auto"/>
              </w:rPr>
              <w:t>EBROVICK</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Linda Rebrovick</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HMERLING</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Michael Shmerling</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3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S</w:t>
            </w:r>
            <w:r>
              <w:rPr>
                <w:rFonts w:ascii="Arial" w:cs="Arial" w:eastAsia="Arial" w:hAnsi="Arial"/>
                <w:sz w:val="12"/>
                <w:szCs w:val="12"/>
                <w:color w:val="auto"/>
              </w:rPr>
              <w:t>TEAD</w:t>
            </w:r>
          </w:p>
        </w:tc>
        <w:tc>
          <w:tcPr>
            <w:tcW w:w="22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March 25, 2010</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William Stead</w:t>
            </w:r>
          </w:p>
        </w:tc>
        <w:tc>
          <w:tcPr>
            <w:tcW w:w="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04"/>
        </w:trPr>
        <w:tc>
          <w:tcPr>
            <w:tcW w:w="4040" w:type="dxa"/>
            <w:vAlign w:val="bottom"/>
          </w:tcPr>
          <w:p>
            <w:pPr>
              <w:spacing w:after="0"/>
              <w:rPr>
                <w:sz w:val="24"/>
                <w:szCs w:val="24"/>
                <w:color w:val="auto"/>
              </w:rPr>
            </w:pPr>
          </w:p>
        </w:tc>
        <w:tc>
          <w:tcPr>
            <w:tcW w:w="4260" w:type="dxa"/>
            <w:vAlign w:val="bottom"/>
            <w:gridSpan w:val="2"/>
          </w:tcPr>
          <w:p>
            <w:pPr>
              <w:jc w:val="right"/>
              <w:ind w:right="2411"/>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Stock Purchase Agreement, dated as of March 28, 2005, by and among HealthStream, Inc., Mel B. Thompson and Data Management &amp;</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Research, Inc.</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Stock Purchase Agreement, dated as of March 12, 2007, by and among HealthStream, Inc., The Jackson Organization, Research Consultants,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dated March 27, 1995, as amended June 6, 1995 and September 22, 1998, between Cummins Station LLC, as landlord, and NewOrder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Media, Inc., as tenant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c>
          <w:tcPr>
            <w:tcW w:w="0" w:type="dxa"/>
            <w:vAlign w:val="bottom"/>
          </w:tcPr>
          <w:p>
            <w:pPr>
              <w:spacing w:after="0"/>
              <w:rPr>
                <w:sz w:val="1"/>
                <w:szCs w:val="1"/>
                <w:color w:val="auto"/>
              </w:rPr>
            </w:pP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Education Services Provider Agreement dated October 1, 2001 between HealthStream, Inc. and HCA Information Technology &amp; Systems,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as amended</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5"/>
                <w:szCs w:val="15"/>
                <w:color w:val="auto"/>
              </w:rPr>
              <w:t>(4)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5"/>
                <w:szCs w:val="15"/>
                <w:color w:val="auto"/>
              </w:rPr>
              <w:t>(5)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5"/>
                <w:szCs w:val="15"/>
                <w:color w:val="auto"/>
              </w:rPr>
              <w:t>(6)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5"/>
                <w:szCs w:val="15"/>
                <w:color w:val="auto"/>
              </w:rPr>
              <w:t>(7)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5"/>
                <w:szCs w:val="15"/>
                <w:color w:val="auto"/>
              </w:rPr>
              <w:t>(8)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HealthStream,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80" w:right="56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76"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13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Annual Report on Form 10-K, dated March 30, 2007.</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ectPr>
          <w:pgSz w:w="11900" w:h="16838" w:orient="portrait"/>
          <w:cols w:equalWidth="0" w:num="1">
            <w:col w:w="11420"/>
          </w:cols>
          <w:pgMar w:left="240" w:top="419" w:right="239" w:bottom="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color w:val="auto"/>
        </w:rPr>
        <w:t>Director Compensation</w:t>
      </w:r>
      <w:r>
        <w:rPr>
          <w:rFonts w:ascii="Arial" w:cs="Arial" w:eastAsia="Arial" w:hAnsi="Arial"/>
          <w:sz w:val="16"/>
          <w:szCs w:val="16"/>
          <w:color w:val="auto"/>
        </w:rPr>
        <w:t>. Directors who are employees of the Company do not receive additional compensation for serving as directors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current rates of cash compensation for the Company’s non-employee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Retainers and Fees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fee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Board meeting fee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Committee chair meeting fee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Committee member meeting fee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addition to the cash compensation set forth above, each non-employee director receives a nondiscretionary annual grant of a non-qualified option for the purchase of 10,000 shares of the Company’s common stock. The option is granted in connection with our Annual Meeting of Shareholders, vests over a two year period, and has an exercise price equal to the fair market value of the stock on the grant date.</w:t>
      </w:r>
    </w:p>
    <w:p>
      <w:pPr>
        <w:spacing w:after="0" w:line="69" w:lineRule="exact"/>
        <w:rPr>
          <w:sz w:val="20"/>
          <w:szCs w:val="20"/>
          <w:color w:val="auto"/>
        </w:rPr>
      </w:pPr>
    </w:p>
    <w:p>
      <w:pPr>
        <w:ind w:right="580" w:firstLine="8"/>
        <w:spacing w:after="0" w:line="282"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the fiscal 2009 performance bonuses provided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including the individuals who the Company expects to be its Named Executive Officers for 2010.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5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Current Salary</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w w:val="96"/>
              </w:rPr>
              <w:t>Fiscal 2009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Arthur E. Newman</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210,000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Kevin P. O’Hara</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Jeffrey S. Doster</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205,000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Michael Sousa</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40" w:firstLine="8"/>
        <w:spacing w:after="0" w:line="26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our proxy statement for the 2010 Annual Meeting of Shareholders that we will file with the Securities and Exchange Commission within 120 days of the end of the fiscal year to which this report relates.</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HEALTHSTREAM,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w:t>
            </w: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 or</w:t>
            </w:r>
          </w:p>
        </w:tc>
      </w:tr>
      <w:tr>
        <w:trPr>
          <w:trHeight w:val="167"/>
        </w:trPr>
        <w:tc>
          <w:tcPr>
            <w:tcW w:w="20" w:type="dxa"/>
            <w:vAlign w:val="bottom"/>
          </w:tcPr>
          <w:p>
            <w:pPr>
              <w:spacing w:after="0"/>
              <w:rPr>
                <w:sz w:val="14"/>
                <w:szCs w:val="14"/>
                <w:color w:val="auto"/>
              </w:rPr>
            </w:pPr>
          </w:p>
        </w:tc>
        <w:tc>
          <w:tcPr>
            <w:tcW w:w="684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Names Under Which We Do Business</w:t>
            </w:r>
          </w:p>
        </w:tc>
        <w:tc>
          <w:tcPr>
            <w:tcW w:w="114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Organization</w:t>
            </w:r>
          </w:p>
        </w:tc>
      </w:tr>
      <w:tr>
        <w:trPr>
          <w:trHeight w:val="195"/>
        </w:trPr>
        <w:tc>
          <w:tcPr>
            <w:tcW w:w="2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Education Design, Inc.</w:t>
            </w:r>
          </w:p>
        </w:tc>
        <w:tc>
          <w:tcPr>
            <w:tcW w:w="114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83"/>
              </w:rPr>
              <w:t>Tennessee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Data Management &amp; Research, Inc.</w:t>
            </w:r>
          </w:p>
        </w:tc>
        <w:tc>
          <w:tcPr>
            <w:tcW w:w="11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The Jackson Organization, Research Consultants, Inc.</w:t>
            </w:r>
          </w:p>
        </w:tc>
        <w:tc>
          <w:tcPr>
            <w:tcW w:w="11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11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114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bl>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No. 333-37440) pertaining to the (1) HealthStream, Inc. 1994 Employee Stock Option Plan; and (2) HealthStream, Inc. 2000 Stock Incentive Plan; of our report dated March 25, 2010, with respect to the consolidated financial statements of HealthStream, Inc. included in this Annual Report (Form 10-K) for the year ended December 31, 2009.</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2010</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340" w:hanging="7"/>
        <w:spacing w:after="0" w:line="264" w:lineRule="auto"/>
        <w:tabs>
          <w:tab w:leader="none" w:pos="88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8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840" w:hanging="7"/>
        <w:spacing w:after="0" w:line="342" w:lineRule="auto"/>
        <w:tabs>
          <w:tab w:leader="none" w:pos="88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00" w:right="220" w:hanging="7"/>
        <w:spacing w:after="0" w:line="264" w:lineRule="auto"/>
        <w:tabs>
          <w:tab w:leader="none" w:pos="8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240" w:hanging="7"/>
        <w:spacing w:after="0" w:line="277" w:lineRule="auto"/>
        <w:tabs>
          <w:tab w:leader="none" w:pos="88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80" w:hanging="7"/>
        <w:spacing w:after="0" w:line="277" w:lineRule="auto"/>
        <w:tabs>
          <w:tab w:leader="none" w:pos="8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25,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340" w:hanging="7"/>
        <w:spacing w:after="0" w:line="264" w:lineRule="auto"/>
        <w:tabs>
          <w:tab w:leader="none" w:pos="8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840" w:hanging="7"/>
        <w:spacing w:after="0" w:line="342" w:lineRule="auto"/>
        <w:tabs>
          <w:tab w:leader="none" w:pos="8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00" w:right="220" w:hanging="7"/>
        <w:spacing w:after="0" w:line="264"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240" w:hanging="7"/>
        <w:spacing w:after="0" w:line="277" w:lineRule="auto"/>
        <w:tabs>
          <w:tab w:leader="none" w:pos="8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80" w:hanging="7"/>
        <w:spacing w:after="0" w:line="277" w:lineRule="auto"/>
        <w:tabs>
          <w:tab w:leader="none" w:pos="8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25,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2009, as filed with the Securities and Exchange Commission on the date hereof (the “Report”), Robert A. Frist, Jr., Chief Executive Officer of the Company certifies, pursuant to 18 U.S.C. §1350, as adopted pursuant to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2010</w:t>
      </w:r>
    </w:p>
    <w:p>
      <w:pPr>
        <w:sectPr>
          <w:pgSz w:w="11900" w:h="16838" w:orient="portrait"/>
          <w:cols w:equalWidth="0" w:num="1">
            <w:col w:w="11420"/>
          </w:cols>
          <w:pgMar w:left="240" w:top="55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2009,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2010</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emdash "/>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upperLetter"/>
      <w:start w:val="35"/>
    </w:lvl>
  </w:abstractNum>
  <w:abstractNum w:abstractNumId="30">
    <w:nsid w:val="4516DDE9"/>
    <w:multiLevelType w:val="hybridMultilevel"/>
    <w:lvl w:ilvl="0">
      <w:lvlJc w:val="left"/>
      <w:lvlText w:val="%1."/>
      <w:numFmt w:val="upperLetter"/>
      <w:start w:val="6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2019-12-10T18:58:33Z</dcterms:created>
  <dcterms:modified xsi:type="dcterms:W3CDTF">2019-12-10T18:58:33Z</dcterms:modified>
</cp:coreProperties>
</file>