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96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-5080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0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8"/>
              </w:rPr>
              <w:t>209 10th Avenue South, Suite 450</w:t>
            </w:r>
          </w:p>
        </w:tc>
        <w:tc>
          <w:tcPr>
            <w:tcW w:w="1500" w:type="dxa"/>
            <w:vAlign w:val="bottom"/>
          </w:tcPr>
          <w:p>
            <w:pPr>
              <w:spacing w:after="0"/>
              <w:rPr>
                <w:sz w:val="24"/>
                <w:szCs w:val="24"/>
                <w:color w:val="auto"/>
              </w:rPr>
            </w:pPr>
          </w:p>
        </w:tc>
      </w:tr>
      <w:tr>
        <w:trPr>
          <w:trHeight w:val="227"/>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Nashville, Tennessee</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190"/>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10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(615) 301-3100</w:t>
            </w:r>
          </w:p>
        </w:tc>
        <w:tc>
          <w:tcPr>
            <w:tcW w:w="1500" w:type="dxa"/>
            <w:vAlign w:val="bottom"/>
          </w:tcPr>
          <w:p>
            <w:pPr>
              <w:spacing w:after="0"/>
              <w:rPr>
                <w:sz w:val="24"/>
                <w:szCs w:val="24"/>
                <w:color w:val="auto"/>
              </w:rPr>
            </w:pPr>
          </w:p>
        </w:tc>
      </w:tr>
      <w:tr>
        <w:trPr>
          <w:trHeight w:val="190"/>
        </w:trPr>
        <w:tc>
          <w:tcPr>
            <w:tcW w:w="6100" w:type="dxa"/>
            <w:vAlign w:val="bottom"/>
          </w:tcPr>
          <w:p>
            <w:pPr>
              <w:jc w:val="center"/>
              <w:ind w:left="19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34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w w:val="81"/>
              </w:rPr>
              <w:t>Common</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120" w:type="dxa"/>
            <w:vAlign w:val="bottom"/>
            <w:gridSpan w:val="6"/>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3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700" w:type="dxa"/>
            <w:vAlign w:val="bottom"/>
            <w:gridSpan w:val="4"/>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40" w:type="dxa"/>
            <w:vAlign w:val="bottom"/>
            <w:vMerge w:val="continue"/>
          </w:tcPr>
          <w:p>
            <w:pPr>
              <w:spacing w:after="0"/>
              <w:rPr>
                <w:sz w:val="20"/>
                <w:szCs w:val="20"/>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 No Par Value</w:t>
            </w:r>
          </w:p>
        </w:tc>
        <w:tc>
          <w:tcPr>
            <w:tcW w:w="238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40" w:type="dxa"/>
            <w:vAlign w:val="bottom"/>
          </w:tcPr>
          <w:p>
            <w:pPr>
              <w:spacing w:after="0"/>
              <w:rPr>
                <w:sz w:val="24"/>
                <w:szCs w:val="24"/>
                <w:color w:val="auto"/>
              </w:rPr>
            </w:pPr>
          </w:p>
        </w:tc>
        <w:tc>
          <w:tcPr>
            <w:tcW w:w="618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840" w:type="dxa"/>
            <w:vAlign w:val="bottom"/>
            <w:gridSpan w:val="2"/>
            <w:vMerge w:val="restart"/>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5"/>
              </w:rPr>
              <w:t>Yes</w:t>
            </w:r>
          </w:p>
        </w:tc>
        <w:tc>
          <w:tcPr>
            <w:tcW w:w="280" w:type="dxa"/>
            <w:vAlign w:val="bottom"/>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of 15(d) of the Act.  Yes</w:t>
            </w:r>
          </w:p>
        </w:tc>
        <w:tc>
          <w:tcPr>
            <w:tcW w:w="380" w:type="dxa"/>
            <w:vAlign w:val="bottom"/>
          </w:tcPr>
          <w:p>
            <w:pPr>
              <w:jc w:val="center"/>
              <w:ind w:right="50"/>
              <w:spacing w:after="0" w:line="181" w:lineRule="exact"/>
              <w:rPr>
                <w:sz w:val="20"/>
                <w:szCs w:val="20"/>
                <w:color w:val="auto"/>
              </w:rPr>
            </w:pPr>
            <w:r>
              <w:rPr>
                <w:rFonts w:ascii="MS PGothic" w:cs="MS PGothic" w:eastAsia="MS PGothic" w:hAnsi="MS PGothic"/>
                <w:sz w:val="18"/>
                <w:szCs w:val="18"/>
                <w:color w:val="auto"/>
                <w:w w:val="88"/>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p>
      <w:pPr>
        <w:spacing w:after="0" w:line="207" w:lineRule="exact"/>
        <w:tabs>
          <w:tab w:leader="none" w:pos="1900" w:val="left"/>
          <w:tab w:leader="none" w:pos="8840" w:val="left"/>
          <w:tab w:leader="none" w:pos="112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420"/>
          </w:cols>
          <w:pgMar w:left="240" w:top="226" w:right="239" w:bottom="0" w:gutter="0" w:footer="0" w:header="0"/>
        </w:sectPr>
      </w:pPr>
    </w:p>
    <w:bookmarkStart w:id="1" w:name="page2"/>
    <w:bookmarkEnd w:id="1"/>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3" w:lineRule="exact"/>
        <w:rPr>
          <w:sz w:val="20"/>
          <w:szCs w:val="20"/>
          <w:color w:val="auto"/>
        </w:rPr>
      </w:pPr>
    </w:p>
    <w:p>
      <w:pPr>
        <w:sectPr>
          <w:pgSz w:w="11900" w:h="16838" w:orient="portrait"/>
          <w:cols w:equalWidth="0" w:num="4">
            <w:col w:w="1540" w:space="380"/>
            <w:col w:w="6220" w:space="720"/>
            <w:col w:w="1980" w:space="420"/>
            <w:col w:w="160"/>
          </w:cols>
          <w:pgMar w:left="240" w:top="91" w:right="239" w:bottom="144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7" w:lineRule="exact"/>
        <w:rPr>
          <w:sz w:val="20"/>
          <w:szCs w:val="20"/>
          <w:color w:val="auto"/>
        </w:rPr>
      </w:pPr>
    </w:p>
    <w:p>
      <w:pPr>
        <w:sectPr>
          <w:pgSz w:w="11900" w:h="16838" w:orient="portrait"/>
          <w:cols w:equalWidth="0" w:num="4">
            <w:col w:w="7420" w:space="180"/>
            <w:col w:w="260" w:space="80"/>
            <w:col w:w="160" w:space="180"/>
            <w:col w:w="3140"/>
          </w:cols>
          <w:pgMar w:left="240" w:top="91" w:right="239" w:bottom="1440" w:gutter="0" w:footer="0" w:header="0"/>
          <w:type w:val="continuous"/>
        </w:sectPr>
      </w:pPr>
    </w:p>
    <w:p>
      <w:pPr>
        <w:spacing w:after="0" w:line="3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issued and outstanding and held by non-affiliates of the Registrant, based upon the closing sales price for the Common Stock on the NASDAQ Global Select Market on June 30, 2015 was approximately $768.8 million. All executive officers and directors of the registrant have been deemed, solely for the purpose of the foregoing calculation, to be “affiliates” of the registrant.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23, 2016, there were 31,651,860 shares of the Registrant’s common stock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definitive Proxy Statement for its 2016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60" w:type="dxa"/>
            <w:vAlign w:val="bottom"/>
            <w:gridSpan w:val="8"/>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300" w:type="dxa"/>
            <w:vAlign w:val="bottom"/>
          </w:tcPr>
          <w:p>
            <w:pPr>
              <w:spacing w:after="0"/>
              <w:rPr>
                <w:sz w:val="20"/>
                <w:szCs w:val="20"/>
                <w:color w:val="auto"/>
              </w:rPr>
            </w:pPr>
          </w:p>
        </w:tc>
      </w:tr>
      <w:tr>
        <w:trPr>
          <w:trHeight w:val="41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60" w:type="dxa"/>
            <w:vAlign w:val="bottom"/>
            <w:gridSpan w:val="8"/>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40" w:type="dxa"/>
            <w:vAlign w:val="bottom"/>
            <w:gridSpan w:val="9"/>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30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128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w:t>
              </w:r>
            </w:hyperlink>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196"/>
        </w:trPr>
        <w:tc>
          <w:tcPr>
            <w:tcW w:w="54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74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910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21"/>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740" w:type="dxa"/>
            <w:vAlign w:val="bottom"/>
            <w:gridSpan w:val="21"/>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Properties</w:t>
              </w:r>
            </w:hyperlink>
          </w:p>
        </w:tc>
        <w:tc>
          <w:tcPr>
            <w:tcW w:w="770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Legal Proceedings</w:t>
              </w:r>
            </w:hyperlink>
          </w:p>
        </w:tc>
        <w:tc>
          <w:tcPr>
            <w:tcW w:w="84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1"/>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304"/>
        </w:trPr>
        <w:tc>
          <w:tcPr>
            <w:tcW w:w="1280" w:type="dxa"/>
            <w:vAlign w:val="bottom"/>
            <w:gridSpan w:val="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6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680" w:type="dxa"/>
            <w:vAlign w:val="bottom"/>
            <w:gridSpan w:val="3"/>
          </w:tcPr>
          <w:p>
            <w:pPr>
              <w:spacing w:after="0"/>
              <w:rPr>
                <w:sz w:val="17"/>
                <w:szCs w:val="17"/>
                <w:color w:val="auto"/>
              </w:rPr>
            </w:pPr>
          </w:p>
        </w:tc>
        <w:tc>
          <w:tcPr>
            <w:tcW w:w="8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6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Selected Financial Data.</w:t>
              </w:r>
            </w:hyperlink>
          </w:p>
        </w:tc>
        <w:tc>
          <w:tcPr>
            <w:tcW w:w="798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740" w:type="dxa"/>
            <w:vAlign w:val="bottom"/>
            <w:gridSpan w:val="21"/>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Quantitative and Qualitative Disclosures About Market Risk.</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3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Controls and Procedures</w:t>
              </w:r>
            </w:hyperlink>
          </w:p>
        </w:tc>
        <w:tc>
          <w:tcPr>
            <w:tcW w:w="79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740" w:type="dxa"/>
            <w:vAlign w:val="bottom"/>
            <w:gridSpan w:val="21"/>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304"/>
        </w:trPr>
        <w:tc>
          <w:tcPr>
            <w:tcW w:w="1280" w:type="dxa"/>
            <w:vAlign w:val="bottom"/>
            <w:gridSpan w:val="5"/>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620" w:type="dxa"/>
            <w:vAlign w:val="bottom"/>
            <w:gridSpan w:val="2"/>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Directors, Executive Officers and Corporate Governance</w:t>
              </w:r>
            </w:hyperlink>
          </w:p>
        </w:tc>
        <w:tc>
          <w:tcPr>
            <w:tcW w:w="56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40" w:type="dxa"/>
            <w:vAlign w:val="bottom"/>
            <w:gridSpan w:val="21"/>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Executive Compensation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6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4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740" w:type="dxa"/>
            <w:vAlign w:val="bottom"/>
            <w:gridSpan w:val="21"/>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Certain Relationships and Related Transactions, and Director Independence</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Principal Accounting Fees and Services</w:t>
              </w:r>
            </w:hyperlink>
          </w:p>
        </w:tc>
        <w:tc>
          <w:tcPr>
            <w:tcW w:w="430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304"/>
        </w:trPr>
        <w:tc>
          <w:tcPr>
            <w:tcW w:w="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64">
              <w:r>
                <w:rPr>
                  <w:rFonts w:ascii="Times New Roman" w:cs="Times New Roman" w:eastAsia="Times New Roman" w:hAnsi="Times New Roman"/>
                  <w:sz w:val="18"/>
                  <w:szCs w:val="18"/>
                  <w:color w:val="0000EE"/>
                  <w:w w:val="94"/>
                </w:rPr>
                <w:t>PART IV</w:t>
              </w:r>
            </w:hyperlink>
          </w:p>
        </w:tc>
        <w:tc>
          <w:tcPr>
            <w:tcW w:w="6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12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Exhibits, Financial Statement Schedules</w:t>
              </w:r>
            </w:hyperlink>
          </w:p>
        </w:tc>
        <w:tc>
          <w:tcPr>
            <w:tcW w:w="68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Signatures</w:t>
              </w:r>
            </w:hyperlink>
          </w:p>
        </w:tc>
        <w:tc>
          <w:tcPr>
            <w:tcW w:w="89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10-K. HealthStream undertakes no obligation to publicly release any revisions to the forward-looking statements or reflect events or circumstances after the date of this document.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HISTORY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HealthStream, Inc. (HealthStream or the Company) provides workforce, patient experience, and provider solutions for healthcare organizations—all designed to support the people that deliver patient care which, in turn, supports the improvement of business and clinical outcomes. Delivered primarily as Software-as-a-Service (“SaaS”), our solutions focus on some of the most significant challenges facing the healthcare workforce and healthcare organizations today, including the need to effectively manage, retain, engage, and develop healthcare workforce talent; meet rigorous compliance requirements; efficiently manage ongoing medical staff credentialing and privileging processes; and deliver optimal patient experiences of care in healthcare organizations.</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26 years of experience, HealthStream is recognized as a leading innovator and thought leader in the healthcare industry for its healthcare workforce solutions. Using technology to enhance learning and productivity, HealthStream pioneered the delivery of online learning for hospitals’ required regulatory training as Internet-based training was first introduced. Stemming from that early success, demand for expanded learning solutions led the Company to build what is now a full eco-system of diverse HR and clinical-focused applications, courseware, assessments, and talent management programs. At year-end 2015 —with over 4.6 million healthcare professionals subscribing to HealthStream’s platform through their respective organizations, HealthStream is a leading provider in workforce development in the healthcare industry.</w:t>
      </w:r>
    </w:p>
    <w:p>
      <w:pPr>
        <w:spacing w:after="0" w:line="18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With its singular healthcare focus, HealthStream understands that healthcare organizations want to provide their patients with an engaged, confident, and competent workforce that delivers optimal patient experiences. HealthStream’s solutions offer organizations a robust array of products and services that provide targeted insights to take actions that produce sustainable performance improvements. Moreover, HealthStream’s vast database of healthcare workforce benchmarks offer organizations a powerful tool to compare, assess, and fine-tune their strategies for managing initiatives to success.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HealthStream believes that the key to quality patient care is—and always has been—a result of the people who deliver care. To that end, the Company’s solutions support the recruiting, retaining, engaging, assessing, and developing the healthcare workforce, including medical staff who provide patient care in our customers’ organizations.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Headquartered in Nashville, Tennessee, the Company was incorporated in 1990 and began providing its SaaS-based workforce solutions in 1999, its survey and research solutions in 2005, and its provider solutions in 2012. Including additional offices in Laurel, Maryland; Nashville, Tennessee; Jericho, New York; Brentwood, Tennessee; San Diego, California; Boulder, Colorado; and Pensacola, Florida, HealthStream had 833 full-time and 139 part-time employees as of December 31, 2015. Our business has evolved from an initial focus on technology-based training to a company providing workforce development, patient experience, and provider solutions to the nation’s healthcare providers.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According to the deputy director of the National Health Statistics Group at the Centers for Medicare and Medicaid Services (CMS), spending in the healthcare industry reached approximately $3.0 trillion in 2014, or 17.5% of the U.S. gross domestic product. Hospital care expenditures accounted for approximately 32.4% of the $3.0 trillion industry. According to the Bureau of Labor Statistics, approximately 18.9 million professionals are employed in the healthcare segment of the domestic economy, with approximately 4.8 million employed in acute-care hospitals and approximately 3.3 million employed in post-acute-care organizations, our primary target markets for our products. As of December 31, 2015, approximately 4.62 million healthcare professionals were subscribers to our SaaS-based solutions, which include 4.48 million subscribers already implemented and 142,000 subscribers in the process of implementation.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the 4.8 million hospital-based healthcare professionals that work in the nation’s approximately 5,000 acute-care hospitals are required by federal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hospitals, staffing issues and personnel shortages have also contributed to the need for facility based workforce development as well as additional assessment and competency based training. An ongoing nursing shortage, for example, is resulting in skill gaps and rising costs. The U.S. Bureau of Labor Statistics projects the need for 525,000 replacement nurses over the next several years, bringing the total number of openings for nurses due to growth and replacements to 1.05 million by 2022. We believe that offering training and education for hospital personnel is increasingly being utilized as a retention and recruitment incentive.</w:t>
      </w:r>
    </w:p>
    <w:p>
      <w:pPr>
        <w:spacing w:after="0" w:line="18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Many healthcare professionals use continuing education to keep abreast of the latest developments and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large portion of the nation’s hospitals utilize research and survey tools to gain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(Consumer Assessment of Healthcare Providers and Systems) Hospital Survey launched by CMS in partnership with the Agency for Healthcare Research and Quality (AHRQ). Hospitals must submit data to CMS for certain required quality measures —which for inpatients includes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Survey—in order to receive the full market basket increase to their reimbursement payment rates from CMS. Hospitals that fail to submit this survey data will incur a reduction in the inpatient market basket update amount for the following federal fiscal year. We are designated as a certified vendor for and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services.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healthcare education and training industry is highly fragmented, varies significantly in delivery methods (i.e., online products, live events, written materials, and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that is available from independent survey research vendors.</w:t>
      </w:r>
    </w:p>
    <w:p>
      <w:pPr>
        <w:spacing w:after="0" w:line="19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Provider data management has become more complex and arduous for healthcare organizations. Spurred by the Joint Commission Medical Staff standards and other regulatory requirements, credentialing and privileging has been transformed from a periodic review to continuous, evidence-driven analysis of professional competency and provider performance. This transformation requires ongoing, automatic monitoring of licenses, sanctions, and exclusions, as well as expanding the area to review at initial and re-credentialing. In addition, provider enrollment processes have compounded in difficulty. For example, a single provider may need to enroll annually with some 30-40 payers, with each payer application often taking two to four hours to complete.</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HEALTHSTREAM’S SOLUTIONS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HealthStream’s products and services are organized into three segments—Workforce Solutions, Patient Experience Solutions, and Provider Solutions—that collectively help healthcare organizations meet their ongoing talent management, training, education, assessment, competency management, compliance, provider credentialing &amp; privileging management, and provider enrollment needs. HealthStream’s solutions are provided to a wide range of customers within the healthcare industry across the continuum of care.</w:t>
      </w:r>
    </w:p>
    <w:p>
      <w:pPr>
        <w:spacing w:after="0" w:line="17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HealthStream Workforce Solutions</w:t>
      </w:r>
      <w:r>
        <w:rPr>
          <w:rFonts w:ascii="Times New Roman" w:cs="Times New Roman" w:eastAsia="Times New Roman" w:hAnsi="Times New Roman"/>
          <w:sz w:val="18"/>
          <w:szCs w:val="18"/>
          <w:color w:val="auto"/>
        </w:rPr>
        <w:t>— Our workforce development solutions, which are comprised primarily of SaaS, subscription-based products, are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healthcare organizations to meet a broad range of their talent management, training, certification, competency assessment, performance appraisal, and development needs. Our numerous content libraries allow our customers to subscribe to a wide array of additional courseware, which includes content from leading healthcare and nursing associations, medical and healthcare publishers, and other content providers. Additionally, medical device companies and other industry partners offer online training support through HealthStream’s platform for their products and they sponsor continuing education directly to healthcare workers.</w:t>
      </w:r>
    </w:p>
    <w:p>
      <w:pPr>
        <w:sectPr>
          <w:pgSz w:w="11900" w:h="16838" w:orient="portrait"/>
          <w:cols w:equalWidth="0" w:num="1">
            <w:col w:w="11420"/>
          </w:cols>
          <w:pgMar w:left="240" w:top="455"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December 31, 2015, HealthStream had approximately 4.62 million “total subscribers” to its subscription-based solutions. Each individual end-user who utilizes at least one HealthStream subscription-based solution is counted as one subscriber, regardless of the number of subscriptions contracted by or for that end-user. Our subscription-based solutions include any one or a combination of our many platform applications, plus courseware, or content. For example, we deliver courseware to our customers primarily through our learning application, the HealthStream Learning Center™ (HLC), while we deliver competency management and performance appraisal tools through our applications known as the HealthStream Competency Center (HCC) and HealthStream Performance Center (HPC), respectively, which are all on our SaaS-based platform, along with a series of other applications.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Pricing for the HLC, HCC, and HPC are subscription based, with fees based on the number of subscribers, courseware provided, and other factors. We offer training, implementation, and account management services to facilitate adoption of our subscription-based solutions. Fees for training are based on the time and efforts of the personnel involved. Implementation fees vary based on the size, scope, and complexity of the project. Our SaaS-based platform and subscription-based solutions are hosted in a central data center that allows authorized subscribers Internet access to our services, thereby eliminating the need for onsite local implementations of installed workforce development products. During 2015, 2014, and 2013, our subscription-based solutions accounted for approximately 74%, 76%, and 72% of consolidated revenues, respectively.</w:t>
      </w:r>
    </w:p>
    <w:p>
      <w:pPr>
        <w:spacing w:after="0" w:line="18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Applications on our Platform </w:t>
      </w:r>
      <w:r>
        <w:rPr>
          <w:rFonts w:ascii="Times New Roman" w:cs="Times New Roman" w:eastAsia="Times New Roman" w:hAnsi="Times New Roman"/>
          <w:sz w:val="18"/>
          <w:szCs w:val="18"/>
          <w:color w:val="auto"/>
        </w:rPr>
        <w:t>— HealthStream offers an array of other applications on our platform, each serving a unique function for hospitals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systems. Each application on our platform has its own value proposition and revenue stream. Examples of individual applications that are offered on our platform include applications for recruiting and applicant tracking; learning; performance appraisal; compensation management; succession planning; competency management; credentialing and privileging; provider enrollment; disclosure management; clinical development; simulation-based education; and industry-sponsored training.</w:t>
      </w:r>
    </w:p>
    <w:p>
      <w:pPr>
        <w:spacing w:after="0" w:line="17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HealthStream Patient Experience Solutions </w:t>
      </w:r>
      <w:r>
        <w:rPr>
          <w:rFonts w:ascii="Times New Roman" w:cs="Times New Roman" w:eastAsia="Times New Roman" w:hAnsi="Times New Roman"/>
          <w:sz w:val="18"/>
          <w:szCs w:val="18"/>
          <w:color w:val="auto"/>
        </w:rPr>
        <w:t>— Our patient experience solutions complement HealthStream’s workforce solutions’ product and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by providing customers with Patient Insights™, Employee Insights™, Physician Insights™, and Community Insights™ surveys, data analyses of survey results, and other research-based measurement tools. Our services are designed to provide thorough analyses with insightful recommendations for change; benchmarking capability using our comprehensive databases; and consulting services to identify solutions for our customers based on their survey results. Clients are able to access and analyze their survey results data through Insights Online™, our secure web-based reporting platform.</w:t>
      </w:r>
    </w:p>
    <w:p>
      <w:pPr>
        <w:spacing w:after="0" w:line="184"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As a CMS-approved vendor, HealthStream offers its customers full services to meet their Consumer Assessment of Healthcare Providers and Systems, or CAHPS, program requirements. Along with the mandatory-for-hospitals CAHPS (HCAHPS), the Company offers a range of solutions for other mandated CAHPS reporting, including those for accountable care organizations, medical groups, and home health organizations. Other CAHPS survey services are offered for fulfilling voluntary reporting needs for pediatrics, emergency departments, hospice, in-center hemodialysis, and outpatient surgery.</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All of our survey and research solutions focus on providing statistically valid data to assist our customers with their decision making related to their organization’s performance improvement objectives. In addition to collecting and reporting data, we provide analysis and consulting to help customers understand and improve their survey results and patient experiences and the underlying impact on their business. Pricing for these services is based on the survey type, delivery method, size of the survey instrument, sample size, frequency of survey cycles, and other factors. During 2015, 2014, and 2013, our Patient Insights™ survey product accounted for approximately 13%, 14%, and 17% of consolidated revenues, respectively.</w:t>
      </w:r>
    </w:p>
    <w:p>
      <w:pPr>
        <w:spacing w:after="0" w:line="1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HealthStream Provider Solutions </w:t>
      </w:r>
      <w:r>
        <w:rPr>
          <w:rFonts w:ascii="Times New Roman" w:cs="Times New Roman" w:eastAsia="Times New Roman" w:hAnsi="Times New Roman"/>
          <w:sz w:val="18"/>
          <w:szCs w:val="18"/>
          <w:color w:val="auto"/>
        </w:rPr>
        <w:t>– Our provider solutions are offered through our business segment that is branded in the marketplace as “Echo,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HealthStream Company.” Echo solutions enable healthcare organizations to launch paperless credentialing processes, reduce provider enrollment timelines, accelerate the provider onboarding process, and drive improvement through validated provider profiles. Together, more than 2,000 healthcare organizations in the U.S. use one or more Echo products.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EchoCredentialing™ is a comprehensive platform that manages medical staff credentialing and privileging processes. Healthcare organizations leverage EchoCredentialing to support enterprise-wide or regional Credentialing Verification Organizations (CVOs), unified privileging, peer review, one-click integration with CVO services, and the move to paperless processes. EchoOneApp™is a provider enrollment platform, which includes automatic form population directly from a continuously updated library of 3,500+ preformatted payer form templates as well as online form integration with CAQH, CMS, PECOS, and state-based payer enrollment sites. EchoAccess™is our enterprise class platform to support hospital call centers with physician referral, call triage, provider directories, class enrollment, and discharge planning functionalities. EchoAnalytics™ offers a wide array of validation tools and EchoOnboarding™ consists of an onboarding dashboard with a workflow functionality, along with onboarding navigator tools to facilitate coordination of the provider onboarding process.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acquired substantially all of the assets of Baptist Leadership Group (BLG) in September 2013, acquired Health Care Compliance Strategies, Inc. (HCCS) in March 2014 and acquired HealthLine Systems, LLC (HLS) in March 2015. For additional information regarding acquisitions, please see Note 5 of the Consolidated Financial Statements and Item 7, “Management’s Discussion and Analysis of Financial Condition and Results of Operations” included elsewhere in this report.</w:t>
      </w:r>
    </w:p>
    <w:p>
      <w:pPr>
        <w:sectPr>
          <w:pgSz w:w="11900" w:h="16838" w:orient="portrait"/>
          <w:cols w:equalWidth="0" w:num="1">
            <w:col w:w="11400"/>
          </w:cols>
          <w:pgMar w:left="240" w:top="455" w:right="25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455" w:right="25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provide our solutions to customers across a broad range of entities within the healthcare industry, including private, not for profit, and government entities, as well as pharmaceutical and medical device companies. We derive a substantial portion of our revenues from a relatively small number of customers, although no single customer represented more than 10 percent of our revenues during 2015, 2014, or 2013. Examples of customers that have purchased or contracted for products and services from HealthStream include: Ardent Health Services; Saint Luke’s Health System; HCA Holdings, Inc.; Community Health Systems, Inc.; McLaren Health Care Corporation; Sutter Health; and Tenet Healthcare Corporation.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market our products and services primarily through our direct sales teams, who are based at our corporate headquarters in Nashville, Tennessee and in our additional offices located in Laurel, Maryland; Jericho, New York; Brentwood, Tennessee; San Diego, California and Pensacola, Florida as well as remote home office sales locations. As of December 31, 2015, our HealthStream Workforce Development Solutions sales personnel consisted of 105 employees who carried sales quotas; our HealthStream Patient Experience Solutions sales personnel consisted of 15 employees who carried sales quotas; and our Provider Solutions sales personnel consisted of 17 employees who carried sales quotas. We also have nine employees who support our sales teams with sales force productivity and optimization, onboarding, training, and administration services.</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conduct a variety of marketing programs to promote our products and services, including product catalogs, user groups—including our annual customer Summit, trade shows, internet promotion and demonstrations, telemarketing campaigns, public relations, distribution of product-specific literature, direct mail, and advertising.</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Over most of the last fourteen years, we have hosted an annual conference in Nashville, Tennessee for our customers known as the “Summit.” We have utilized this client conference to reach out to existing and potential customers and business partners, provide training and educational services, and to demonstrate our new and existing product offerings. We have marketing teams that are responsible for these initiatives and for working with and supporting our product management and sales teams. At December 31, 2015, our marketing personnel consisted of 29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TECHNOLOGY</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2015, our Workforce Development Solutions operations team consisted of 302 employees associated with customer support, implementation services, product development and maintenance, training, and project management; our Patient Experience Solutions operations team consisted of 352 employees (of which 205 employees worked in our interviewing centers) associated with phone interviewing, distributing and processing paper-based survey instruments, patient experience coaching and consulting, data analysis and reporting of survey results, and project management; and our Provider Solutions operations team consisted of 69 employees associated with implementation services, data integration, product development and quality assurance, credentials verification, consulting, and other services.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services are designed to be reliable, secure, and scalable. Our software is a combination of proprietary and commercially available software and operating systems. Our software solutions support hosting and management of content, publication of our web sites, execution of courseware, registration and tracking of users, collection, sampling, and analysis of survey data, tracking and reporting of physician credentialing and provider enrollment information,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software applications, servers, and network infrastructure that deliver our services are hosted by a combination of third-party data center providers and HealthStream owned data centers. We maintain fully redundant disaster recovery data centers which are located in geographically separate locations. Our technology equipment is maintained in secure, limited access environments, supported by redundant power, environmental conditioning, and network connectivity, and we follow industry best practices for backup and disaster recovery. Company personnel monitor all servers, networks, and systems on a continuous basis, and we employ enterprise firewall systems and data abstraction to protect our databases, customer information, and courseware library from unauthorized access.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competing healthcare education delivery methods in the industry, we also have direct competitors. In our workforce solutions business segment, a number of companies offer competitive learning management products and talent management modules to the healthcare industry. We compete with companies such as Cornerstone OnDemand, Healthcare Source, Oracle, SABA, SAP, and SumTotal Systems that provide their services to multiple industries, including healthcare. We also compete with large medical publishers that have operating units that offer learning management systems that focus on healthcare, such as Reed Elsevier Group’s MC Strategies. In our patient experience business segment, we face competition from large nationally recognized research firms such as Avatar International, Gallup, National Research Corporation, Press Ganey Associates, Studer Group, Professional Research Consultants, Inc., and others. Our patient experience business also experiences direct competition from vendors who provide research services to other industries including Kenexa, which is now owned by IBM, and Foresight, which is now owned by TNS Global. In our provider solutions business segment, we see competition primarily from several large companies, such as MD-Staff, Morissey &amp; Associates, and Cactus Software.</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our workforce solutions, which include both products and services that facilitate training, assessment, and development for healthcare professionals, a wide assortment of courseware, a mechanism for measuring satisfaction and/or other results, and the ability to provide all our services on a single platform over the Internet, provide us with a competitive advantage. In our patient experience business segment, we believe our large proprietary database of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In our provider solutions business segment, we believe the scope and quality of our products, capability to connect medical staff credentialing with provider enrollment, and innovative new predictive analytics provide us with a competitive advantage. We believe that the principal competitive factors affecting the marketing of our workforce, patient experience, and provider solutions to the healthcare industry include:</w:t>
      </w:r>
    </w:p>
    <w:p>
      <w:pPr>
        <w:spacing w:after="0" w:line="91" w:lineRule="exact"/>
        <w:rPr>
          <w:sz w:val="20"/>
          <w:szCs w:val="20"/>
          <w:color w:val="auto"/>
        </w:rPr>
      </w:pPr>
    </w:p>
    <w:p>
      <w:pPr>
        <w:ind w:left="900" w:right="100" w:hanging="325"/>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of our SaaS-based platform and applications, including reporting, management functionality, ability to manage a variety of events or modalities, courseware assignment, curriculum management, documenting competency assessments and performance appraisals, scalability, and the ability to track utilization and results;</w:t>
      </w:r>
    </w:p>
    <w:p>
      <w:pPr>
        <w:spacing w:after="0" w:line="81"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variety of Internet-based learning courseware available, including mandated content for OSHA, The Joint Commission, patient safety, and HIPAA requirements, ICD-10 training, competency-based content, courseware scenarios that drive simulators, courseware that provides CPR certification, as well as the ability of our customers to create and host their own web-enabled courseware;</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singular focus on the healthcare industry and our deep healthcare expertise;</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quality of professional services offered, including survey execution, implementation, benchmarking, training and the expertise and technical knowledge of the customers’ employees;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which supports a return on investment to customers when compared to other alternative delivery methods;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reputation.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Collectively, we believe these capabilities provide us with the ability to improve the quality of healthcare by assessing and developing the people who deliver care.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THE INTERNET AND THE HEALTHCARE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the Internet and the Privacy and Security of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and regulations that govern our business change rapidly. The following are some of the evolving areas of law that are relevant to our business:</w:t>
      </w:r>
    </w:p>
    <w:p>
      <w:pPr>
        <w:spacing w:after="0" w:line="129" w:lineRule="exact"/>
        <w:rPr>
          <w:sz w:val="20"/>
          <w:szCs w:val="20"/>
          <w:color w:val="auto"/>
        </w:rPr>
      </w:pPr>
    </w:p>
    <w:p>
      <w:pPr>
        <w:ind w:left="900" w:right="120" w:hanging="325"/>
        <w:spacing w:after="0" w:line="26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Privacy and Security Laws. </w:t>
      </w:r>
      <w:r>
        <w:rPr>
          <w:rFonts w:ascii="Times New Roman" w:cs="Times New Roman" w:eastAsia="Times New Roman" w:hAnsi="Times New Roman"/>
          <w:sz w:val="18"/>
          <w:szCs w:val="18"/>
          <w:color w:val="auto"/>
        </w:rPr>
        <w:t>Federal, state and foreign privacy and security regulations and other laws restricting the collection, use, security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personal information limit our ability to collect information or use and disclose the information in our databases or derived from other sources to generate revenues. It may be costly to implement security or other measures designed to comply with any new legislation.</w:t>
      </w:r>
    </w:p>
    <w:p>
      <w:pPr>
        <w:spacing w:after="0" w:line="78" w:lineRule="exact"/>
        <w:rPr>
          <w:rFonts w:ascii="Times New Roman" w:cs="Times New Roman" w:eastAsia="Times New Roman" w:hAnsi="Times New Roman"/>
          <w:sz w:val="18"/>
          <w:szCs w:val="18"/>
          <w:color w:val="auto"/>
        </w:rPr>
      </w:pPr>
    </w:p>
    <w:p>
      <w:pPr>
        <w:ind w:left="900" w:hanging="325"/>
        <w:spacing w:after="0" w:line="26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Regulation. </w:t>
      </w:r>
      <w:r>
        <w:rPr>
          <w:rFonts w:ascii="Times New Roman" w:cs="Times New Roman" w:eastAsia="Times New Roman" w:hAnsi="Times New Roman"/>
          <w:sz w:val="18"/>
          <w:szCs w:val="18"/>
          <w:color w:val="auto"/>
        </w:rPr>
        <w:t>Both foreign and domestic governments have adopted and proposed laws governing the content of material transmitted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Internet. These include laws relating to obscenity, indecency, libel and defamation. We could be liable if content delivered by us violates these regulations.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hanging="325"/>
        <w:spacing w:after="0" w:line="25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Security Accountability Regulation. </w:t>
      </w:r>
      <w:r>
        <w:rPr>
          <w:rFonts w:ascii="Times New Roman" w:cs="Times New Roman" w:eastAsia="Times New Roman" w:hAnsi="Times New Roman"/>
          <w:sz w:val="18"/>
          <w:szCs w:val="18"/>
          <w:color w:val="auto"/>
        </w:rPr>
        <w:t>As a business associate of our customers, we are required to report certain breaches of protected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information to our customers, which must in turn notify affected individuals, the U.S. Department of Health and Human Services (HHS) and, in certain situations involving large breaches, the media. All non-permitted uses or disclosures of unsecured, protected health information are presumed to be breaches unless the covered entity or business associate establishes that there is a low probability the information has been compromised. In addition, we are subject to certain state laws that relate to privacy or the reporting of security breaches. For example, California law requires notification of security breaches involving personal information and medical information. We may incur costs to comply with these privacy and security requirements. Because many of these laws are new and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report a breach of security or if one of the Company’s customers is required to report a breach of security by the Company, the Company’s business could be negatively impacted.</w:t>
      </w:r>
    </w:p>
    <w:p>
      <w:pPr>
        <w:spacing w:after="0" w:line="91"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Sales and Use Tax. </w:t>
      </w:r>
      <w:r>
        <w:rPr>
          <w:rFonts w:ascii="Times New Roman" w:cs="Times New Roman" w:eastAsia="Times New Roman" w:hAnsi="Times New Roman"/>
          <w:sz w:val="17"/>
          <w:szCs w:val="17"/>
          <w:color w:val="auto"/>
        </w:rPr>
        <w:t>Through December 31, 2015, we collected sales, use or other taxes on taxable transactions in states in which we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Laws and regulations directly applicable to content regulation,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 Training and Other Services for Healthcare Professionals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Occupational Safety and Health Administration (OSHA). </w:t>
      </w:r>
      <w:r>
        <w:rPr>
          <w:rFonts w:ascii="Times New Roman" w:cs="Times New Roman" w:eastAsia="Times New Roman" w:hAnsi="Times New Roman"/>
          <w:sz w:val="18"/>
          <w:szCs w:val="18"/>
          <w:color w:val="auto"/>
        </w:rPr>
        <w:t>OSHA regulations require employers to provide training to employees to minimize the risk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18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The Joint Commission. </w:t>
      </w:r>
      <w:r>
        <w:rPr>
          <w:rFonts w:ascii="Times New Roman" w:cs="Times New Roman" w:eastAsia="Times New Roman" w:hAnsi="Times New Roman"/>
          <w:sz w:val="18"/>
          <w:szCs w:val="18"/>
          <w:color w:val="auto"/>
        </w:rPr>
        <w:t>The Joint Commission mandates that employers in the healthcare industry provide certain workplace safety and patient 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Health Insurance Portability and Accountability Act (HIPAA). </w:t>
      </w:r>
      <w:r>
        <w:rPr>
          <w:rFonts w:ascii="Times New Roman" w:cs="Times New Roman" w:eastAsia="Times New Roman" w:hAnsi="Times New Roman"/>
          <w:sz w:val="18"/>
          <w:szCs w:val="18"/>
          <w:color w:val="auto"/>
        </w:rPr>
        <w:t>HIPAA regulations require certain organizations (known as covered entities), including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providers and health plans, to adopt safeguards regarding the use and disclosure of health-related information. HIPAA regulations also require these organizations to provide reasonable and appropriate safeguards to protect the privacy, integrity and confidentiality of individually identifiable healthcare information. Covered entities are required to establish, maintain and provide training with regard to their policies and procedures for protecting the integrity and confidentiality of individually identifiable healthcare information and must document training on these topics to support their compliance. Certain HIPAA privacy and security requirements apply to (entities known as business associates that handle individually identifiable healthcare information on behalf of covered entities) companies and business associates and their subcontractors may be directly subject to criminal and civil sanctions for violations of HIPAA privacy and security standards.</w:t>
      </w:r>
    </w:p>
    <w:p>
      <w:pPr>
        <w:spacing w:after="0" w:line="1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The American Nurses Credentialing Center (ANCC). </w:t>
      </w:r>
      <w:r>
        <w:rPr>
          <w:rFonts w:ascii="Times New Roman" w:cs="Times New Roman" w:eastAsia="Times New Roman" w:hAnsi="Times New Roman"/>
          <w:sz w:val="17"/>
          <w:szCs w:val="17"/>
          <w:color w:val="auto"/>
        </w:rPr>
        <w:t>ANCC, a subsidiary of the American Nurses Association (ANA), provides individuals and organizations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the Pathway to Excellence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Program; and accredit providers of continuing nursing education. In addition, ANCC’s Institute for Credentialing Innovation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recognizes healthcare organizations that provide the very best in nursing care and professionalism in nursing practice. The program also provides a vehicle for disseminating best practices and strategies among nursing systems. The ANCC Magnet Recognition Program is a highly recognized standard for nursing excellence. The Pathway to Excellence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Continuing Nursing Education (CNE). </w:t>
      </w:r>
      <w:r>
        <w:rPr>
          <w:rFonts w:ascii="Times New Roman" w:cs="Times New Roman" w:eastAsia="Times New Roman" w:hAnsi="Times New Roman"/>
          <w:sz w:val="18"/>
          <w:szCs w:val="18"/>
          <w:color w:val="auto"/>
        </w:rPr>
        <w:t>State nurse practice laws are usually the source of authority for establishing the state board of nursing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board of nursing establishes the state’s CNE requirements for professional nurses. CNE credits are provided through accredited providers that have been approved by the ANCC Commission on Accreditation and/or the state board of nursing. CNE requirements vary widely from state to state. Thirty-four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45 credits annually, with reporting generally on a bi-annual basis. Board certifications (e.g., CNOR – certification of perioperative nursing) also require CNE credits, with certain percentages required in specific categories based on the certification type. We are an accredited provider of CNE by the ANCC.</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Continuing Medical Education (CME). </w:t>
      </w:r>
      <w:r>
        <w:rPr>
          <w:rFonts w:ascii="Times New Roman" w:cs="Times New Roman" w:eastAsia="Times New Roman" w:hAnsi="Times New Roman"/>
          <w:sz w:val="18"/>
          <w:szCs w:val="18"/>
          <w:color w:val="auto"/>
        </w:rPr>
        <w:t>State licensing boards, professional organizations and employers require physicians to certify that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accumulated a minimum number of continuing medical education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15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American Medical Association (AMA) classifies continuing medical education activities as either Category 1, which includes formal CME activities, or Category 2, which includes most informal activities. Sponsors can only designate CME activities for </w:t>
      </w:r>
      <w:r>
        <w:rPr>
          <w:rFonts w:ascii="Times New Roman" w:cs="Times New Roman" w:eastAsia="Times New Roman" w:hAnsi="Times New Roman"/>
          <w:sz w:val="18"/>
          <w:szCs w:val="18"/>
          <w:i w:val="1"/>
          <w:iCs w:val="1"/>
          <w:color w:val="auto"/>
        </w:rPr>
        <w:t>AMA PRA Category 1 Credit™</w:t>
      </w:r>
      <w:r>
        <w:rPr>
          <w:rFonts w:ascii="Times New Roman" w:cs="Times New Roman" w:eastAsia="Times New Roman" w:hAnsi="Times New Roman"/>
          <w:sz w:val="18"/>
          <w:szCs w:val="18"/>
          <w:color w:val="auto"/>
        </w:rPr>
        <w:t xml:space="preserve">. Most agencies nationwide that require CME participation specify </w:t>
      </w:r>
      <w:r>
        <w:rPr>
          <w:rFonts w:ascii="Times New Roman" w:cs="Times New Roman" w:eastAsia="Times New Roman" w:hAnsi="Times New Roman"/>
          <w:sz w:val="18"/>
          <w:szCs w:val="18"/>
          <w:i w:val="1"/>
          <w:iCs w:val="1"/>
          <w:color w:val="auto"/>
        </w:rPr>
        <w:t>AMA PRA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Category 1 Credit™</w:t>
      </w:r>
      <w:r>
        <w:rPr>
          <w:rFonts w:ascii="Times New Roman" w:cs="Times New Roman" w:eastAsia="Times New Roman" w:hAnsi="Times New Roman"/>
          <w:sz w:val="18"/>
          <w:szCs w:val="18"/>
          <w:color w:val="auto"/>
        </w:rPr>
        <w:t>. Only institutions and organizations accredited to provide CME can designate an activity for</w:t>
      </w:r>
      <w:r>
        <w:rPr>
          <w:rFonts w:ascii="Times New Roman" w:cs="Times New Roman" w:eastAsia="Times New Roman" w:hAnsi="Times New Roman"/>
          <w:sz w:val="18"/>
          <w:szCs w:val="18"/>
          <w:i w:val="1"/>
          <w:iCs w:val="1"/>
          <w:color w:val="auto"/>
        </w:rPr>
        <w:t xml:space="preserve"> AMA PRA Category 1 Credit™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Accreditation Council for Continuing Medical Education (ACCME) is responsible for awarding accreditation status to state medical societies, medical schools, and other institutions and organizations that provide CME activities for a national audience of physicians. Only institutions and organizations are accredited.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Centers for Medicare &amp; Medicaid Services (CMS). </w:t>
      </w:r>
      <w:r>
        <w:rPr>
          <w:rFonts w:ascii="Times New Roman" w:cs="Times New Roman" w:eastAsia="Times New Roman" w:hAnsi="Times New Roman"/>
          <w:sz w:val="18"/>
          <w:szCs w:val="18"/>
          <w:color w:val="auto"/>
        </w:rPr>
        <w:t>CMS has articulated a vision for health care quality—</w:t>
      </w:r>
      <w:r>
        <w:rPr>
          <w:rFonts w:ascii="Times New Roman" w:cs="Times New Roman" w:eastAsia="Times New Roman" w:hAnsi="Times New Roman"/>
          <w:sz w:val="18"/>
          <w:szCs w:val="18"/>
          <w:i w:val="1"/>
          <w:iCs w:val="1"/>
          <w:color w:val="auto"/>
        </w:rPr>
        <w:t>the right care for every person every time</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this vision, CMS is committed to care that is safe, effective, timely, patient-centered, efficient, and equitable.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voluntary efforts, CMS has launched VBP initiatives in hospitals, physician offices, nursing homes, home health services, and dialysis facilities. Further, pursuant to the Patient Protection and Affordable Care Act, as amended by the Healthcare and Education Reconciliation Act of 2010 (collectively, ACA), CMS is implementing a number of initiatives designed to link payments to quality and efficiency, including a VBP program for inpatient hospital services.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Consumer Assessment of Healthcare Providers and Systems (CAHPS). </w:t>
      </w:r>
      <w:r>
        <w:rPr>
          <w:rFonts w:ascii="Times New Roman" w:cs="Times New Roman" w:eastAsia="Times New Roman" w:hAnsi="Times New Roman"/>
          <w:sz w:val="18"/>
          <w:szCs w:val="18"/>
          <w:color w:val="auto"/>
        </w:rPr>
        <w:t>CMS has partnered with AHRQ to develop a standardized survey instrument and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Hospitals must submit data for certain required quality measures—which for inpatients includes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We have received certified vendor designation and will continue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services. In addition, we are a certified vendor approved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Home Health Care Survey used to measure the experiences of people receiving home health care from Medicare-certified home health agencies. We also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Clinician and Group Survey used to measure patient experiences with health care providers and staff in doctor’s offices.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Medicare and Medicaid Electronic Health Records (EHR) Incentive Programs. </w:t>
      </w:r>
      <w:r>
        <w:rPr>
          <w:rFonts w:ascii="Times New Roman" w:cs="Times New Roman" w:eastAsia="Times New Roman" w:hAnsi="Times New Roman"/>
          <w:sz w:val="18"/>
          <w:szCs w:val="18"/>
          <w:color w:val="auto"/>
        </w:rPr>
        <w:t>The Medicare and Medicaid EHR Incentive Programs provide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eligible professionals, eligible hospitals and critical access hospitals (CAHs) as they adopt, implement, upgrade or demonstrate meaningful use of certified EHR technology. By putting into action and meaningfully using an EHR system, providers will reap benefits beyond financial incentives–such as reduction in errors, availability of records and data, reminders and alerts, clinical decision support, and e-prescribing/refill automation.</w:t>
      </w:r>
    </w:p>
    <w:p>
      <w:pPr>
        <w:spacing w:after="0" w:line="18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Allied Disciplines. </w:t>
      </w:r>
      <w:r>
        <w:rPr>
          <w:rFonts w:ascii="Times New Roman" w:cs="Times New Roman" w:eastAsia="Times New Roman" w:hAnsi="Times New Roman"/>
          <w:sz w:val="18"/>
          <w:szCs w:val="18"/>
          <w:color w:val="auto"/>
        </w:rPr>
        <w:t>Various allied health professionals are required to obtain continuing education to maintain their licenses. For example, emergency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Continuing Education. </w:t>
      </w:r>
      <w:r>
        <w:rPr>
          <w:rFonts w:ascii="Times New Roman" w:cs="Times New Roman" w:eastAsia="Times New Roman" w:hAnsi="Times New Roman"/>
          <w:sz w:val="18"/>
          <w:szCs w:val="18"/>
          <w:color w:val="auto"/>
        </w:rPr>
        <w:t>We are also an accredited provider of continuing education and continuing pharmacy education by the Association of Surgical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Technologists, Inc. (AST) and the Accreditation Council for Pharmacy Education (ACPE), respectively.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Educational Program Sponsorship and Support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 Sunshine Act (“Sunshine Act”) requires manufacturers of drugs, biological devices and medical devices covered by Medicare, Medicaid, or the Children’s Health Insurance Program to report annually to CMS payments and other transfers of value, including educational programs, given by such manufacturers to physicians and teaching hospitals, with limited exceptions. CMS has issued a final rule implementing the Sunshine Act. Manufacturers are required to report the physician’s name, business address and national provider identifier as well as other information including the value, date, form and nature of what is offered. CMS publishes the information on its website. Manufacturers that do not meet the reporting obligations will be subject to significant monetary penalties.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Food and Drug Administration (FDA) and the Federal Trade Commission (FTC)</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and, in limited circumstances, to a limited number of indications not approved by the FDA. Therefore, any truthful or untruthful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protect our proprietary rights, we rely generally on copyright, trademark and trade secret laws; confidentiality agreements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“EXCELLENCE THROUGH INSIGHT’, “HEALTHSTREAM”, “HOSPITAL DIRECT”, “OR PROTOCOL”, “PATIENT INSIGHTS”, “PHYSICIAN INSIGHTS”, “INSIGHTS ONLINE”, “INSIGHT INTO ACTION”, “QUALITY CHECK”, “SIMCENTER”, “SIMMANAGER”, and “SIMSTORE.” We also have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courseware that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a third party asserts a claim that we have infringed its patents or other intellectual property right,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ectPr>
          <w:pgSz w:w="11900" w:h="16838" w:orient="portrait"/>
          <w:cols w:equalWidth="0" w:num="1">
            <w:col w:w="11420"/>
          </w:cols>
          <w:pgMar w:left="240" w:top="45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w:t>
      </w:r>
    </w:p>
    <w:p>
      <w:pPr>
        <w:spacing w:after="0" w:line="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website address is www.healthstream.com. Please note that our website address is provided as an inactive textual reference only. We make available free of charge through our website, our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2015, we employed 833 full-time and 139 part-time persons, of which 205 persons are employed in our interviewing centers.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information regarding the executive officers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Frist, Jr.</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Chairman of the Board of Directors</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Doster</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Technology Officer</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7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Edward Pearson</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Schultz</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7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Vice President, Sales</w:t>
            </w: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Sousa</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Senior Vice President and President, Echo, Inc.</w:t>
            </w:r>
          </w:p>
        </w:tc>
      </w:tr>
    </w:tbl>
    <w:p>
      <w:pPr>
        <w:spacing w:after="0" w:line="17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Robert A. Frist, Jr., one of our co-founders, has served as our chief executive officer and chairman of the board of directors since 1990 and president since 2001. Mr. Frist is the company’s chief operating decision maker. He graduated with a Bachelor of Science in business with concentrations in finance, economics and marketing from Trinity University.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Jeffrey S. Doster joined the Company in May 2008 as senior vice president and chief technology officer. He earned undergraduate degrees in both Economics and Business Administration from Towson University, as well as a Master of Business Administration from Loyola College, in Maryland.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Gerard M. Hayden, Jr. joined the Company as senior vice president and chief financial officer in May 2008. He earned a Bachelor of Arts from the University of Notre Dame and a Master of Science from Northeastern University.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J. Edward Pearson joined the Company in June 2006 as senior vice president and was promoted to Chief Operating Officer in 2011. He earned a Bachelor of Business Administration in accounting from Middle Tennessee State University.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Thomas Schultz joined the Company in June 2014 as senior vice president of sales. He worked for Lawson Software, a subsidiary of Infor, Inc., in various sales leadership roles for sixteen years prior to joining the Company. He earned a Bachelor of Arts from St. Mary’s University of Minnesota.</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Michael Sousa joined the Company in October 2004, and served as senior vice president of sales from January 2010 to June 2014. In June 2014, he was promoted to senior vice president of business development. In September 2015, he was named president of Echo, Inc., HealthStream’s Provider Solutions business segment, while continuing to serve as a senior vice president of the Company. He earned a Bachelor of Science degree from Boston College and a Master of Business Administration from Boston University.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effectively execute our growth strategy which could have an adverse effect on our business and competitive position in the industry.</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82" w:lineRule="exact"/>
        <w:rPr>
          <w:sz w:val="20"/>
          <w:szCs w:val="20"/>
          <w:color w:val="auto"/>
        </w:rPr>
      </w:pPr>
    </w:p>
    <w:p>
      <w:pPr>
        <w:ind w:left="460" w:right="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and difficulties of identifying and developing new products or services and integrating such new products or services into our existing organization;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leverage our operational and financial systems sufficiently to support our growth;</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from new products to offset investment costs;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identify, manage and exploit existing and emerging market opportunities;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our existing customer relationships;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new and existing competitors;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sales cycles, or customers delaying purchasing decisions due to economic conditions;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spending within the training, information and education departments of hospitals within our target market;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market for training, information and education in the healthcare industry to grow to a sufficient size or at a sufficient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risks are realized, our business, and our competitive position in the industry, could suffer.</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identify, complete or integrate the operations of future acquisitions, joint ventures, collaborative arrangements or other strategic investments.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actively review possible acquisitions, joint ventures, collaborative arrangements or strategic investments that complement or enhance our business. We may not be able to identify, complete or integrate the operations of future acquisitions, joint ventures, collaborative arrangements or other strategic investments.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joint venture, collaborative arrangement or strategic investment strategies include:</w:t>
      </w:r>
    </w:p>
    <w:p>
      <w:pPr>
        <w:spacing w:after="0" w:line="93" w:lineRule="exact"/>
        <w:rPr>
          <w:sz w:val="20"/>
          <w:szCs w:val="20"/>
          <w:color w:val="auto"/>
        </w:rPr>
      </w:pPr>
    </w:p>
    <w:p>
      <w:pPr>
        <w:ind w:left="460" w:right="50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or difficulties in identifying and integrating acquired companies or joint venture operations, collaborative arrangements or other strategic investments into our organization;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personnel associated with acquisitions, joint ventures, collaborative arrangements or other strategic investments;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initiatives and/or day-to-day operations to effectively execute our growth strategy; and</w:t>
      </w:r>
    </w:p>
    <w:p>
      <w:pPr>
        <w:spacing w:after="0" w:line="13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profit, and cash flow from acquisitions, joint ventures, collaborative arrangements or other strategic investments to offset our investment costs.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accurately forecast revenue for certain products and services may be hindered by customer scheduling.</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revenues from our subscription business continue to increase, a larger portion of our revenues will be predictable; however, quarterly performance may be more subject to fluctuations. Our HealthStream Patient Experience Solutions products and services are typically contracted by healthcare organizations for multi-year terms, but the frequency, sample size, and timing of survey cycles can vary from quarter to quarter and year to year. The contract structure for some Patient Experience Solutions products gives customers latitude about when to initiate a survey, which can affect quarterly or annual revenue forecasts. Also, other project-based products, such as certain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quarterly and annual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accurately forecast revenue may be affected by lengthy and widely varying sales cycles.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period from our initial contact with a potential customer and their first purchase of our solution typically ranges from three to nine months, and in some cases has extended much further. The range in the sales cycle can be impacted by multiple factors, including an increasing trend towards more formal request for proposal processes and more competition within our industry, as well as formal budget timelines which impact timing of purchases by target customers. New products tend to have a longer and more unpredictable revenue ramp period. As a result of these factors, we have only limited ability to forecast the timing and type of initial sales. This, in turn, makes it more difficult to forecast quarterly and annual financial performance.</w:t>
      </w:r>
    </w:p>
    <w:p>
      <w:pPr>
        <w:spacing w:after="0" w:line="1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Several of our competitors and many potential competitors have longer operating histories and significantly greater financial, technical, marketing, or other resources than we do. We encounter direct competition from both large and small companies and other companies focused on workforce development management in the healthcare industry. We also face competition from larger survey and research companies. Given the profile and growth of the healthcare industry and the growing need for education, training, simulation, research, and information,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a more robust talent management suite to a cross-section of industries. These companies may be able to respond more quickly than we can to new or changing opportunities, technologies, standards or customer requirements. Further, most of our customer agreements are for terms ranging from one to four or five years, with no obligation to renew. The short terms of these agreements may enable customers to more easily shift to one of our competitors.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entered into contracts with strategic partners,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for such strategic partners in using alternative products being developed and marketed by them or our competitors, rather than our products and services.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cannot guarantee that we will be able to maintain and strengthen our relationships with strategic partners, that we will be successful in effectively integrating such partners’ products and technology into our own, or that such relationships will be successful in generating additional revenue. If any of these strategic partners have negative experiences with our products and services, or seek to amend the financial or other terms of the contracts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Lastly, we could be subject to claims and liability, as a result of the activities, products, or services of these strategic partners, and/or our acts or omissions with regard to these strategic partners.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retain distribution rights from our content partners, and this could affect projected growth in courseware subscription revenue.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 non-exclusive, and our competitors offer, or could offer, training, development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18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growth strategy depends in part on our ability to generate revenue growth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We are not able to accurately predict the volume or speed with which existing and new customers will adopt such new products and services. Because healthcare training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core software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will be harmed. Continued growth of our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our workforce development or patient experience solutions until equivalent technology, if available, is identified, licensed and integrated.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generated from a relatively small number of customers.</w:t>
      </w:r>
    </w:p>
    <w:p>
      <w:pPr>
        <w:spacing w:after="0" w:line="229"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7"/>
          <w:szCs w:val="17"/>
          <w:color w:val="auto"/>
        </w:rPr>
        <w:t>We derive a substantial portion of our revenues from a relatively small number of customers. A termination of our agreements with any of our significant customers or a failure of these customers to renew their contracts on favorable terms, or at all, could have a material adverse effect on our business.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is subject to renewal each year. Therefore, renewals have a significant impact on our revenue and operating results.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2015, approximately 74% of our net revenue was derived from our subscription-based solution products. Our subscription-based customers have no obligation to renew their subscriptions for our products or services after the expiration of the subscription agreement, and in fact, some customers have elected not to renew their subscription. In addition, our customers may renew at a lower pricing or activity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revenue could be adversely affected, which would have a material adverse effect on our results of operations and financial position. For example, the requirement mandated by CMS for healthcare organizations to transition to the ICD-10 coding system, effective in October 2015, generated significant demand for our ICD-10 readiness training courseware from 2012 through 2015, when subscriptions for that product positively influenced the Company’s revenue and operating income. However, sales of that product have ceased and revenue and operating income from that product will significantly decline during 2016 compared to the previous year since there will not be renewals of that product. HealthStream Patient Experience Solutions product and service contracts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recognize revenue is dependent upon several factors including the transfer of customer-specific information such as unique subscriber IDs, which are required for us to implement customers on our subscription-based platform and certain platform applications. Accordingly, if customers do not provide us with the specified information in a timely manner, our ability to recognize revenue will be delayed, which could adversely impact our operating results. In addition, implementation completion and acceptance of our subscription-based platform and certain platform applications by our customers must be achieved, survey responses must be received and tabulated, and delivery of courseware is required in connection with subscription-based products for us to recognize revenue.</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2015, we recognized approximately 74% of our revenue from customers monthly over the terms of their subscription agreements, which have initial contract terms ranging from one to five years. As a result, much of the revenue we report in each quarter is related to subscription agreements entered into during previous quarters. Consequently, a decline in new or renewed subscription agreements in any one quarter will not necessarily be fully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majority of costs associated with our sales cycles are incurred up front before revenue recognition commences, and therefore periods of strong sales performance may increase our costs in the near term negatively affecting our financial performance.</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15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However, we may need to raise additional funds in order to:</w:t>
      </w:r>
    </w:p>
    <w:p>
      <w:pPr>
        <w:spacing w:after="0" w:line="82" w:lineRule="exact"/>
        <w:rPr>
          <w:sz w:val="20"/>
          <w:szCs w:val="20"/>
          <w:color w:val="auto"/>
        </w:rPr>
      </w:pPr>
    </w:p>
    <w:p>
      <w:pPr>
        <w:ind w:left="1480" w:hanging="446"/>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services or products;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working capital requirements;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technologies, content or products; or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effectively execute our growth strategy.</w:t>
      </w:r>
    </w:p>
    <w:p>
      <w:pPr>
        <w:spacing w:after="0" w:line="22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At December 31, 2015, we had approximately $149.0 million in cash, cash equivalents, and marketable securities. We also have up to $50.0 million of availability under our Revolving Credit Facility, subject to certain covenants, which expires in November 2017. We expect to incur between $14.0 and $16.0 million of capital expenditures, software development and content purchases during 2016. We actively review possible business acquisitions to complement or enhance our products and services. We may not have adequate cash and investments or availability under our Revolving Credit Facility to consummate one or more of these acquisitions. We cannot assure you that if we</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15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of December 31, 2015, our balance sheet included goodwill of $83.1 million and identifiable intangible assets of $56.0 million. There are inherent uncertainties in the estimates, judgments and assumptions used in assessing recoverability of goodwill and intangible assets. Economic, legal, regulatory, competitive, reputational, contractual, and other factors could result in future declines in the operating results of our business units or market value declines that do not support the carrying value of goodwill and identifiable intangible assets. If the value of our goodwill and/or intangible assets is impaired, accounting rules require us to reduce their carrying value and report an impairment charge, which would reduce our reported assets and earnings for the period in which an impairment is recognized.</w:t>
      </w:r>
    </w:p>
    <w:p>
      <w:pPr>
        <w:spacing w:after="0" w:line="1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uncertain economic environment may have a negative impact on our customers and us which could have a significant impact on our revenue, operating results and financial condition.</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It is difficult to predict the full magnitude and duration of the current uncertain economic environment and its related impact on our customers, suppliers and our company. For example, our customers may experience fluctuations or declines in their business and as a consequence, some customers may choose to invest less in information technology assets for their business which, in turn, could have an impact on us. The potential negative effects on us include, but are not limited to, reductions in our renewal and revenue growth rates, shorter contract terms, pricing pressures, and delays in payments from customers that increase our accounts receivable resulting in a deterioration of our cash flow and working capital position. We continue to monitor general economic conditions, however, and depending on the severity and/or duration of any economic downturn, these circumstances could have a material adverse effect on our revenue, results from operations and financial condition. In addition, because our clients are concentrated in the healthcare industry, our revenue and operating results may be adversely affected by changes in regulations, a business downturn in the healthcare industry, or consolidation with respect to the healthcare industry.</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compliance with Sarbanes-Oxley Section 404 in a timely manner, and the correction of any deficiencies identified during annual audits may be costly and could harm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Sarbanes-Oxley Section 404 requires our management to report on, and requires our independent public accounting firm to attest to, the effectiveness of our internal controls over financial reporting. The rules governing the standards to be met are complex and will require significant process review, documentation and testing, as well as possible remediation efforts for any identified deficiencies. This process of review, documentation, testing and remediation will result in increased expenses and require significant attention from management and other internal and external resources.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generally accepted accounting principles (GAAP) and other accounting regulations and interpretations could require us to delay recognition of revenue and/or accelerate the recognition of expenses, resulting in lower earnings.</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While we believe we correctly account for and recognize revenue and expenses, any changes in GAAP or other accounting regulations and interpretations concerning revenue and expense recognition could decrease our revenue or increase our expenses.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Changes to either revenue recognition or expense recognition accounting practices could affect our financial performance.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Sales, Marketing and Competition</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ectPr>
          <w:pgSz w:w="11900" w:h="16838" w:orient="portrait"/>
          <w:cols w:equalWidth="0" w:num="1">
            <w:col w:w="11400"/>
          </w:cols>
          <w:pgMar w:left="240" w:top="455" w:right="25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develop our systems, processes and support in a manner that will enable us to meet the demand for our services.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provided our online products and services for over 16 years and continue to develop our ability to provide our solutions on both a subscription and transactional basis over the Internet. Our future success will depend on our ability to effectively develop and maintain the infrastructure, including procurement of additional hardware and software, and to implement the services, including customer support, necessary to meet the demand for our products and services. Our inability from time to time to successfully develop the necessary systems and implement the necessary services on a timely basis has resulted in our customers experiencing some delays, interruptions and/or errors in their service. Such delays or interruptions may cause customers to become dissatisfied with our service and move to competing providers of traditional and online training and education services. If this happens, our revenue and reputation could be adversely affected, which would have a material adverse effect on our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could be significantly disrupted if we lose members of, or fail to integrate, our management team.</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 retain a sufficient number of qualified employees and, as a result, we may not be able to effectively execute our growth strategy or maintain the quality of our services.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future success will depend on our ability to attract, train, motivate, and retain other highly skilled technical, managerial, marketing, customer support, and survey personnel. Competition for certain personnel is intense, especially for developers, web designers and sales personnel, and we may be unable to successfully attract sufficiently qualified personnel. We have experienced in the past, and continue to experience, difficulty hiring qualified personnel in a timely manner for these positions. The pool of qualified technical personnel, in particular, is limited in Nashville, Tennessee, where our headquarters are located. We operate interviewing centers located in Laurel, Maryland, and Nashville, Tennessee. We may experience difficulty in maintaining and recruiting qualified individuals to perform interviewing services. We will also need to maintain or 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w:t>
      </w:r>
    </w:p>
    <w:p>
      <w:pPr>
        <w:spacing w:after="0" w:line="18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upgrade our hardware and software technology infrastructure quickly enough to effectively meet demand for our services or our operational needs.</w:t>
      </w:r>
    </w:p>
    <w:p>
      <w:pPr>
        <w:spacing w:after="0" w:line="15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must continue to obtain reasonably priced, commercially available hardware and operating software as well as continue to enhance our software and systems to accommodate the increased use of our platform, the increased courseware and content in our library and the resulting increase in operational demands on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 material adverse effect on our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infrastructure and computer systems and software may fail.</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 unexpected event (including but not limited to a cyber-security incident, telecommunications failure, fire, earthquake, or other catastrophic loss) at our Internet service providers’ facilities or at our on-site data facilities could cause the loss of critical data and prevent us from offering our products and services for an unknown period of time. System downtime could negatively affect our reputation and ability to sell our products and services and may expose us to significant third-party claims.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revenues.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users and lose revenue if our security measures fail.</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the security measures that we use to protect customer or personal information are ineffective, we may lose users of our services, which could reduce our revenue, tarnish our reputation, and subject us to significant liability.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8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security incident could result in a loss of confidential data, give rise to remediation and other expenses, expose us to liability under the Health Insurance Portability and Accountability Act (HIPAA), the Health Information Technology for Economic and Clinical Health Act (HITECH), state privacy laws, consumer protection laws, common law theories or other laws, subject us to litigation and federal and state governmental inquiries, damage our reputation, and otherwise be disruptive to our business.</w:t>
      </w:r>
    </w:p>
    <w:p>
      <w:pPr>
        <w:spacing w:after="0" w:line="18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collect and store sensitive information, including intellectual property and protected health information (“PHI”) and other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tested internally and by external parties. Despite these efforts, a security breach or failure could result from a variety of circumstances and events, including third-party action, system errors, employee negligence or error, malfeasance, computer viruses,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create risk of security incidents. Like many other organizations, we have experienced data incidents from time to time in the course of our business and handled these incidents in accordance with our understanding of the applicable laws.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we may experience data incidents again in the future, including incidents more significant than we have experienced to date, which could expose us and our customers to penalties under HIPAA or applicable state laws, damage our reputation, and result in plaintiff or state Attorney General litigation, especially if a large number of patients are affected or if the compromised information is highly sensitive.</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errors or omissions in our software products or processes that (i) deliver provider credentialing, privileging and payer enrollment services for our hospitals and medical practice customers and (ii) administer and report on hospital performance, and these errors could result in action taken against us that could harm our business.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Hospitals and medical practices use our credentialing, privileging, and payer enrollment software to manage, validate and maintain their providers’ credentials and authorization to practice in a particular facility, and to maintain authorization to perform care covered by insurance providers. In some instances, we also rely on information from sources outside the Company that we then use in our credentialing and privileging products. If errors or omissions occur that inaccurately validate or invalidate the credentials of a provider, or improperly deny or authorize a provider to practice in a hospital or medical practice, these errors or omissions could result in litigation brought against us either by our hospital and medical practice customers, or by the provider. For example, an important element in a malpractice case brought against a hospital or other provider would often be the validation of proper credentialing for the provider, and any errors or omissions in our products that provide these services could subject us to claims. Further, a list of providers’ privileges are made available to the general public by hospitals and medical practices, and errors in credentialing and privileging may result in damage to that hospital’s or medical practice’s reputation.</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Certain survey data collected and reported by us, such as the survey data included as part of our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is used by CMS to determine, in part, the amount of reimbursement payments to hospitals, and any errors in data collection, survey sampling, or statistical reporting could result in reduced reimbursements to our hospital customers if we are unable to correct these errors, and this could, in turn, result in litigation against us. Further, this survey data reported to CMS is then published by CMS to the general public, and any errors we experience that result in incorrect scoring on our hospital customer may result in damage to that hospital’s reputation, and the hospital may in turn bring litigation against us.</w:t>
      </w:r>
    </w:p>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be required to indemnify against such claims, and defending against any such claims could be costly, time consuming and could negatively affect our business.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Content and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may subject us to investigation, litigation, or liability or require us to change the way we do business.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laws and regulations that govern our business change rapidly. Evolving areas of law that are relevant to our business include privacy and security laws, proposed encryption laws, content regulation, information security accountability regulation, sales and use tax laws and regulations and attempts to regulate activities on the Internet. In addition to being directly subject to certain requirements of the HIPAA privacy and security regulations, we are required through contracts with our customers known as “business associate agreements” to protect the privacy and security of certain personal and health related information. Our current and past privacy and security practices, including any breaches of PHI or other data, could also be subject to review or other investigation by various state and federal regulatory authorities or could become the subject of future pending or threatened litigation.</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rapidly evolving and uncertain regulatory and technology environment could require us to change how we do business or incur additional costs. Further, we cannot predict how changes to these laws and regulations might affect our business. Failure to comply with applicable laws and regulations, including those governing privacy and security, could subject us to civil and criminal penalties, subject us to contractual penalties (including termination of our customer agreements), adversely affect our ability to retain clients and attract new clients, damage our reputation and have a detrimental impact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certification to conduct CMS mandated surveys, and this could adversely affect our business.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survey product offerings include providing survey services to assist customers in their compliance with CMS regulations. We are currently designated by CMS as a certified vendor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Surveys and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Home Health Care Surveys, including data collection and submission services. We are also a certified vendor for CG-CAHPS; ICH-CAHPS, ED-CAHPS; PCMH-CAHPS; Hospice CAHPS; and ACO-CAHPS. If we are unable to maintain these certifications, or secure certifications for future CMS mandated surveys, we would not be able to administer these survey instruments for our customers and our business may suffer.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or change in the regulation of continuing education and training in the healthcare industry may adversely affect our business.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and ACPE. The failure to maintain status as an accredited provider could have a detrimental effect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to third parties for content that is available from our online library.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in most instances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w:t>
      </w:r>
    </w:p>
    <w:p>
      <w:pPr>
        <w:spacing w:after="0" w:line="18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Protection of certain intellectual property may be difficult and costly, and our inability to protect our intellectual property could reduce the value of our products and services.</w:t>
      </w:r>
    </w:p>
    <w:p>
      <w:pPr>
        <w:spacing w:after="0" w:line="15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Despite our efforts to protect our intellectual proprietary rights, a third 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our trade secrets and other intellectual property could be independently developed by competitors.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 We currently own several applications and registrations for trademarks and domain names in the United States and other countries as well as certain common law trademarks and service marks.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w:t>
      </w:r>
    </w:p>
    <w:p>
      <w:pPr>
        <w:spacing w:after="0" w:line="1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business could be harmed if unauthorized parties infringe upon or misappropriate our intellectual property, proprietary systems, content, platform, services or other information. Our efforts to protect our intellectual property through copyright, trademarks and other controls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w:t>
      </w:r>
    </w:p>
    <w:p>
      <w:pPr>
        <w:sectPr>
          <w:pgSz w:w="11900" w:h="16838" w:orient="portrait"/>
          <w:cols w:equalWidth="0" w:num="1">
            <w:col w:w="11380"/>
          </w:cols>
          <w:pgMar w:left="240" w:top="455" w:right="279" w:bottom="1440" w:gutter="0" w:footer="0" w:header="0"/>
        </w:sectPr>
      </w:pP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infringing the intellectual property rights of others.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competitors may develop similar intellectual property, duplicate our products and/or services, or design around any patents or other intellectual property rights we hold. In the future,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and/or our affiliates and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principal office is located in Nashville, Tennessee, which is primarily used to support our workforce development operations and corporate functions. Our lease for approximately 73,000 square feet at this location expires in April 2017. The lease provides for a two-year renewal option with rates increasing during the renewal period. We also lease other facilities in Laurel, Maryland; Nashville, Tennessee; Jericho, New York; Brentwood, Tennessee; San Diego, Colorado; Boulder, Colorado; and Pensacola, Florida. The facilities in Laurel, Maryland and Nashville, Tennessee are used to support our survey operations, while the other leased locations are satellite offices for acquired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“HSTM”. Our common stock began trading on the NASDAQ National Market on April 14, 2000.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each quarter of the two most recent years, the high and low closing prices per share of our common stock as reported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8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$30.36</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$24.63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$34.43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36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25.15</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27.10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21.02</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21.60</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3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21.31</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31.95</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23.38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17, 2016, the Company had a total of 8,086 shareholders, including 650 registered holders and 7,436 beneficial 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our Board of Directors authorized a share repurchase program for up to $25 million of our outstanding common stock. Repurchases will be made under the repurchase program in accordance with applicable securities laws and may be made at management’s discretion from time to time in the open market, through privately negotiated transactions, or otherwise. The share repurchase program will terminate on the earlier of December 31, 2016 or when the maximum dollar amount has been expended. The share repurchase program may be suspended or discontinued at any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paying cash dividends in the foreseeable future. We intend to retain earnings for use in the operation of our business.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See the table labeled “Securities Authorized for Issuance Under Equity Compensation Plans” to be contained in our 2016 Proxy Statement, incorporated by reference in Part III, Item 12 of this Annual Report on Form 10-K.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graph below compares HealthStream, Inc.’s cumulative total shareholder return on common stock with the cumulative total returns of companies on the NASDAQ Composite Index and the NASDAQ Computer &amp; Data Processing Index for each of the last five fiscal years ended December 31, 2015, assuming an initial investment of $100. Data for the NASDAQ Composite Index and the NASDAQ Computer &amp; Data Processing Index assume the reinvestment of dividends.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comparisons in the graph below are based on historical data and are not necessarily indicative of future performance of our common stock.</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COMPARISON OF 5 YEAR CUMULATIVE TOTAL RETURN </w:t>
      </w:r>
      <w:r>
        <w:rPr>
          <w:rFonts w:ascii="Times New Roman" w:cs="Times New Roman" w:eastAsia="Times New Roman" w:hAnsi="Times New Roman"/>
          <w:sz w:val="15"/>
          <w:szCs w:val="15"/>
          <w:b w:val="1"/>
          <w:bCs w:val="1"/>
          <w:color w:val="auto"/>
        </w:rPr>
        <w:t>(1)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Among HealthStream, Inc., The NASDAQ Composite Index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160020</wp:posOffset>
            </wp:positionV>
            <wp:extent cx="4733925" cy="3249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3392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12/31/10 in stock or index, including reinvestment of dividends. Fiscal year ending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00"/>
          </w:cols>
          <w:pgMar w:left="24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selected statement of income and balance sheet data for the past five years are derived from our audited consolidated financial statements.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HealthStream acquired Decision Critical, Inc. on June 29, 2012, Sy.Med Development, Inc. on October 19, 2012, substantially all of the assets of BLG on September 9, 2013, HCCS on March 3, 2014 and HLS on March 16, 2015. The results of operations for these acquired companies are included within our consolidated statement of income data effective from the respective date of acquisition. Revenues may be subject to fluctuations as discussed further in “Management’s Discussion and Analysis of Financial Condition and Results of Operations” located elsewhere in this report. As a result of these factors, the annual results presented below are not comparable. The operating results for any single year are not necessarily indicative of the results to be expected in the future.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10"/>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10"/>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209,002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170,690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132,274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103,732</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195,445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154,315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117,608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70,728</w:t>
            </w:r>
          </w:p>
        </w:tc>
        <w:tc>
          <w:tcPr>
            <w:tcW w:w="0" w:type="dxa"/>
            <w:vAlign w:val="bottom"/>
          </w:tcPr>
          <w:p>
            <w:pPr>
              <w:spacing w:after="0"/>
              <w:rPr>
                <w:sz w:val="1"/>
                <w:szCs w:val="1"/>
                <w:color w:val="auto"/>
              </w:rPr>
            </w:pPr>
          </w:p>
        </w:tc>
      </w:tr>
      <w:tr>
        <w:trPr>
          <w:trHeight w:val="22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13,557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16,375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30,057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27,570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23,748</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82,010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81,995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59,537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41,365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 short and long term</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139,039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120,459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379,569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257,262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212,594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174,528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154,237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 and noncurrent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280,320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167,859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149,433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132,196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120,915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 provides workforce development, patient experience, and provider solutions for healthcare organizations—all designed to assess and develop the people that deliver patient care which, in turn, supports the improvement of business and clinical outcomes. Workforce development products are used by healthcare organizations to meet a broad range of their training, certification, competency assessment, performance appraisal, and development needs. Patient experience products provide our customers information about patients’ experiences and how to improve them, workforce engagement, physician relations, and community perceptions of their services. Provider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Revenues for the year ended December 31, 2015 were approximately $209.0 million compared to $170.7 million for the year ended December 31, 2014, an increase of 22%. Operating income decreased by 17% to $13.6 million for 2015, compared to $16.4 million for 2014. Net income decreased by 17% to $8.6 million for 2015, compared to $10.4 million for 2014. Earnings per share (EPS) were $0.28 per share (diluted) for 2015 compared to $0.37 per share (diluted) for 2014. Revenues from HealthStream Workforce Solutions grew by 20%, or $27.0 million; revenues from HealthStream Patient Experience Solutions grew by 7%, or $2.3 million; and revenues from HealthStream Provider Solutions grew by 197%, or $9.0 million. As of December 31, 2015, the Company had approximately 4.62 million total subscribers, of which approximately 4.48 million were fully implemented subscribers on its SaaS-based platform. Annualized revenue per implemented subscriber increased to $36.96 per subscriber at the end of 2015, up from $34.43 per subscriber at the end of 2014, representing a 7% increase. As of December 31, 2015 cash and investment balances approximated $149.0 million, and the Company maintained full availability under its $50.0 million revolving credit facility.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Revenues are recognized from subscription-based workforce development products and courseware subscriptions based on a per person subscription basis, and in some cases on a per license basis. Fees are based on the size of the facilities’ or organizations’ employee user population and the service offerings to which they subscribe. Subscription-based revenue is recognized ratably over the service period of the underlying contract. All other service revenues are recognized as the related services are performed or products are delivered.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provider solutions products are predominantly related to software licensing and support/maintenance renewals. Revenues derived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of installed software products are recognized upon shipment or installation of the software when vendor specific objective evidence (VSOE) of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for the software license can be established. Software support and maintenance revenues are recognized ratably over the term of the related agreement.</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Revenues from patient experience services are recognized when survey results are delivered to customers via either Internet-based reporting throughout the survey period or by providing final survey results once all services are complete. A significant portion of revenues for survey and reporting services that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If survey results are delivered to the customer after all services have been completed, then the corresponding revenues are recognized in full in the period such results are provided to the customer. Coaching and consulting revenues are generally recognized using the proportional performance method as these services are performed throughout the contract term.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Revenues from professional services primarily include consulting and courseware development services. Fees are based on the time and efforts involved, and revenue is recognized upon completion of performance milestones using the proportional performance method.</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offers training services for clients to facilitate integration of its software solutions.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periodically assesses the realizability of its deferred tax assets, and to the extent that we believe a recovery is not likely, we establish a valuation allowance to reduce the deferred tax asset to the amount we estimate will be recoverable. The Company maintains a valuation allowance of approximately $346,000 for the portion of its deferred tax assets that are not more likely than not expected to be realized.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Capitalized software development includes costs to develop and maintain our products and applications, including our SaaS-based workforce development platform products and our survey reporting applications, which are accounted for as internal use software. For internal use software development, once planning is completed and the software development process begins, internal costs and payments to third parties associated with the software development efforts are capitalized when the life expectancy is greater than one year and the anticipated cash flows are expected to exceed the cost of the related asset. During 2015 and 2014, we capitalized approximately $7.3 million and $5.7 million, respectively, for software development. Such amounts are included in the accompanying consolidated balance sheets under the caption “capitalized software development.” The Company amortizes capitalized software development costs over their expected life, which is generally three to five years. Capitalized software development costs are subject to a periodic impairment review in accordance with our impairment review policy. In connection with capitalized software development, significant estimates involve the assessment of the development period for new products and feature enhancements, as well as the expected useful life of underlying software, feature enhancements, or product created. Once capitalized, software development costs are subject to the policies and estimates described below regarding goodwill, intangibles and other long-lived assets.</w:t>
      </w:r>
    </w:p>
    <w:p>
      <w:pPr>
        <w:sectPr>
          <w:pgSz w:w="11900" w:h="16838" w:orient="portrait"/>
          <w:cols w:equalWidth="0" w:num="1">
            <w:col w:w="11380"/>
          </w:cols>
          <w:pgMar w:left="240" w:top="455" w:right="279" w:bottom="1440" w:gutter="0" w:footer="0" w:header="0"/>
        </w:sectPr>
      </w:pP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Intangibles and Other Long-lived Assets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allowance for doubtful accounts using both a specific and non-specific identification method. Management’s evaluation includes reviewing past due accounts on a case-by-case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$303,000 as of December 31, 2015.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using a fair-value based method for costs related to share based payments including stock options and restricted share units. Measurement of such compensation expense requires significant estimation and assumptions; however, we believe that the Black Scholes option pricing model used for calculating the fair value of our stock based compensation plans provides a reasonable measurement methodology using a framework that is widely adopted.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2015, the Company had two stock incentive plans which qualified as stock based compensation plans. During the years ended December 31, 2015, 2014, and 2013, approximately $3.3 million, $1.6 million, and $1.5 million of stock based compensation expense was recorded, respectively. The Company has historically granted equity based awards to both its management group and members of the Company’s board of directors on an annual basis, and expects to continue providing equity awards to these groups for the foreseeable future. The Company also provides grants of equity based awards when new members of the management group begin their employment, or when new board of director members join the Company. As of December 31, 2015, total future compensation cost related to non-vested awards not yet recognized was approximately $3.0 million net of estimated forfeitures, with a weighted average expense recognition period of 2.3 years. Future compensation expense recognition for new equity based award grants will vary depending on the timing and size of new awards granted, changes in the market price or volatility of our common stock, changes in risk-free interest rates, or if actual forfeitures vary significantly from initial estimates.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of the components of revenues and expenses apply to the comparison of results of operations.</w:t>
      </w:r>
    </w:p>
    <w:p>
      <w:pPr>
        <w:spacing w:after="0" w:line="22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for our HealthStream Workforce Solutions business segment primarily consist of the following products and services: provision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through our SaaS-based platform, authoring tools, a variety of courseware subscriptions, competency and performance appraisal tools, implementation and consulting services, content development, online sales training courses (RepDirect™), HospitalDirect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SimVentures, and a variety of other educational activities to serve professionals that work within healthcare organizations. Revenues for our HealthStream Patient Experience Solutions business segment consist of quality and satisfaction surveys, data analyses of survey results, coaching/consulting services, and other research-based measurement tools focused on patients, employees, physicians, and other members of the community. Revenues for our HealthStream Provider Solutions business segment consist of proprietary software applications to help facilitate provider credentialing, privileging, call center and enrollment administration for healthcare organizations.</w:t>
      </w:r>
    </w:p>
    <w:p>
      <w:pPr>
        <w:spacing w:after="0" w:line="18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(excluding depreciation and amortization) consists primarily of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consists primarily of salaries and employee benefits, contract labor, stock based compensation,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development of new software feature enhancements, new products, and costs associated with maintaining and developing our platform products. Personnel costs within product development include our systems, application development, and quality assurance teams, product managers, and other personnel associated with software and product development.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consists primarily of salaries, commissions and employee benefits, stock based compensation, employee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lodging, advertising, trade shows, promotions, and related marketing costs. We host a national customer conference in Nashville, Tennessee known as “Summit,” a significant portion of the costs of which are included in sales and marketing expenses. Personnel costs within sales and marketing include our sales teams and marketing personnel.</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consist primarily of salaries and employee benefits, stock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employee travel and lodging, facility costs, office expenses, fees for professional services, business development and acquisition related costs, and other operational expenses. Personnel costs within general and administrative expenses include individuals associated with normal corporate functions (accounting, legal, business development, human resources, administrative, internal information systems, and executive management).</w:t>
      </w:r>
    </w:p>
    <w:p>
      <w:pPr>
        <w:spacing w:after="0" w:line="180"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consist of fixed asset depreciation, amortization of intangibles considered to have definite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and amortization of capitalized software development.</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The primary component of other income is interest income related to interest earned on cash, cash equivalents and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marketable securities. The primary component of other expense is interest expense related to our revolving credit facility. In addition, the income or loss attributed to equity method investments is included in this category.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Compared to 2014</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$38.3 million, or 22%, to $209.0 million for 2015 from $170.7 million for 2014. A comparison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business segment is as follows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4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3"/>
                <w:szCs w:val="13"/>
                <w:color w:val="auto"/>
              </w:rPr>
            </w:pPr>
          </w:p>
        </w:tc>
        <w:tc>
          <w:tcPr>
            <w:tcW w:w="10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 by Business Segment:</w:t>
            </w:r>
          </w:p>
        </w:tc>
        <w:tc>
          <w:tcPr>
            <w:tcW w:w="17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2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$161,289</w:t>
            </w:r>
          </w:p>
        </w:tc>
        <w:tc>
          <w:tcPr>
            <w:tcW w:w="17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$134,242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2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34,193</w:t>
            </w:r>
          </w:p>
        </w:tc>
        <w:tc>
          <w:tcPr>
            <w:tcW w:w="17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31,901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1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6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209,002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170,690</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2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3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77%</w:t>
            </w:r>
          </w:p>
        </w:tc>
        <w:tc>
          <w:tcPr>
            <w:tcW w:w="226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3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22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3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226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2%</w:t>
            </w:r>
          </w:p>
        </w:tc>
      </w:tr>
    </w:tbl>
    <w:p>
      <w:pPr>
        <w:spacing w:after="0" w:line="130" w:lineRule="exact"/>
        <w:rPr>
          <w:sz w:val="20"/>
          <w:szCs w:val="20"/>
          <w:color w:val="auto"/>
        </w:rPr>
      </w:pPr>
    </w:p>
    <w:p>
      <w:pPr>
        <w:sectPr>
          <w:pgSz w:w="11900" w:h="16838" w:orient="portrait"/>
          <w:cols w:equalWidth="0" w:num="1">
            <w:col w:w="11380"/>
          </w:cols>
          <w:pgMar w:left="240" w:top="455" w:right="2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Revenues for HealthStream Workforce Solutions increased approximately $27.0 million, or 20%, over 2014. Revenues from our subscription-based workforce products increased by $26.0 million, or 20% over 2014 due to a higher number of subscribers and more courseware consumption by subscribers. Annualized revenue per implemented subscriber increased by 7%, to $36.96 per subscriber at the end of 2015 compared to $34.43 per subscriber at the end of 2014. Implemented subscribers increased by 9% during 2015 to 4.48 million subscribers at the end of 2015 compared to 4.15 million subscribers at the end of</w:t>
      </w:r>
    </w:p>
    <w:p>
      <w:pPr>
        <w:spacing w:after="0" w:line="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2014. Additionally, total subscribers increased by 8%, with 4.62 million total subscribers at December 31, 2015 compared to 4.28 million total subscribers at December 31, 2014.</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Revenues for HealthStream Patient Experience Solutions increased approximately $2.3 million, or 7%, over 2014. Revenues from Patient Insights™ surveys, our survey research product that generates recurring revenues, increased approximately $2.8 million, or 12%, over 2014, primarily due to growth in survey volumes over the prior year. Revenues from other products, including surveys conducted on annual or bi-annual cycles and consulting/coaching services, collectively decreased by $554,000 or 7%, compared to 2014 due to fewer engagements.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Revenues for HealthStream Provider Solutions increased approximately $9.0 million, or 197%, over 2014. Revenues from the HLS acquisition, which was consummated on March 16, 2015, were approximately $8.5 million during 2015. Such revenues take into account the deferred revenue reduction noted below. Revenues from other products increased by approximately $431,000, or 9% over 2014. Revenues for HealthStream Provider Solutions during 2015 were adversely impacted by a $6.7 million reduction resulting from the deferred revenue write-down associated with the HLS acquisition.</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$15.3 million, or 21%, to $89.4 million for 2015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$74.1 million for 2014. Cost of revenues as a percentage of revenues was approximately 43% of revenues for both 2015 and 2014. Cost of revenues for HealthStream Workforce Solutions increased approximately $10.3 million to $63.5 million and approximated 39% and 40% of revenues for HealthStream Workforce Solutions for 2015 and 2014, respectively. The increase in both amount and as a percentage of revenues is primarily associated with increased royalties paid by us resulting from growth in courseware subscription revenues, as well as increases in personnel expenses, stock based compensation, and other support costs. Cost of revenues for HealthStream Patient Experience Solutions increased approximately $2.2 million to $22.4 million and approximated 65% and 63% of revenues for HealthStream Patient Experience Solutions for 2015 and 2014, respectively. The increase in both amount and as a percentage of revenues is primarily the result of increased personnel costs, including personnel to support the growth in patient survey volume over the prior year, and increased stock based compensation. Cost of revenues for HealthStream Provider Solutions increased approximately $2.8 million to $3.5 million, and approximated 26% and 16% of revenues for HealthStream Provider Solutions for 2015 and 2014, respectively. The increase in both amount and as a percentage of revenue is primarily the result of the HLS acquisition.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$7.8 million, or 47%, to $24.2 million for 2015 from $16.5 million for 2014.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expenses as a percentage of revenues were approximately 12% and 10% of revenues for 2015 and 2014, respectively.</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Product development expenses for HealthStream Workforce Solutions increased approximately $4.8 million and approximated 12% and 11% of revenues for HealthStream Workforce for 2015 and 2014, respectively. The increase in both amount and as a percentage of revenues is due to additional personnel expenses associated with new product development initiatives for our subscription-based products, as well as increased stock based compensation. Product development expenses for HealthStream Patient Experience Solutions increased approximately $1.0 million and approximated 7% and 4% of revenues for HealthStream Patient Experience Solutions in 2015 and 2014, respectively. The increase in both amount and as a percentage of revenues is due to additional personnel and related expenses compared to the prior year period. Product development expenses for HealthStream Provider Solutions increased approximately $2.0 million and approximated 18% and 11% of revenues for HealthStream Provider Solutions for 2015 and 2014, respectively. The increase is in both amount and as a percentage of revenues is due primarily to the HLS acquisition.</w:t>
      </w:r>
    </w:p>
    <w:p>
      <w:pPr>
        <w:spacing w:after="0" w:line="18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$5.7 million, or 19%, to $35.6 million for 2015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$29.9 million for 2014. Sales and marketing expenses as a percentage of revenues were approximately 17% and 18% of revenues for 2015 and 2014, respectively.</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Solutions increased approximately $5.1 million and approximated 17% and 16% of revenues for HealthStream Workforce Solutions for 2015 and 2014, respectively. The increase in both amount and as a percentage of revenues is primarily due to additional personnel and related expenses, commissions, and expenses associated with our customer Summit, increased marketing spending, and increased stock based compensation. Sales and marketing expenses for HealthStream Patient Experience Solutions decreased approximately $1.7 million, and approximated 13% and 19% of revenues for HealthStream Patient Experience Solutions for 2015 and 2014, respectively. The decrease in amount and as a percentage of revenues is primarily due to fewer account management personnel compared to the prior year. Sales and marketing expenses for HealthStream Provider Solutions increased approximately $2.2 million and approximated 26% and 30% of revenues for HealthStream Provider Solutions for 2015 and 2014, respectively. The increase in amount is primarily due to the HLS acquisition.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approximately $6.4 million, or 28%, to $29.3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from $22.9 million for 2014. Other general and administrative expenses as a percentage of revenues were approximately 14% and 13% of revenues for 2015 and 2014, respectively.</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Solutions increased approximately $253,000 over the prior year. The increase is primarily due to the HCCS acquisition, additional personnel, and increased other support costs. Other general and administrative expenses for HealthStream Patient Experience Solutions increased approximately $305,000 compared to the prior year period primarily due to increased facilities costs for a new patient interview center in Nashville, Tennessee. Other general and administrative expenses for HealthStream Provider Solutions increased approximately $2.1 million compared to the prior year period primarily due to the HLS acquisition. The unallocated corporate portion of other general and administrative expenses increased approximately $3.7 million over the prior year period, primarily associated with additional personnel, professional fees, stock based compensation, and other general expenses, as well as higher acquisition costs during 2015 than in 2014. Acquisition costs during 2015 approximated $1.1 million, of which $965,000 were associated with the HLS acquisition. Acquisition costs during 2014 approximated $762,000, of which $329,000 were associated with the HLS acquisition and $365,000 were associated with the HCCS acquisition.</w:t>
      </w:r>
    </w:p>
    <w:p>
      <w:pPr>
        <w:spacing w:after="0" w:line="18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$6.1 million, or 55%, to $17.0 million for 2015 from $10.9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2014. The increase primarily resulted from amortization of capitalized software development, amortization of intangible assets in relation to the acquisition of HLS, and depreciation expense associated with capital expenditures.</w:t>
      </w:r>
    </w:p>
    <w:p>
      <w:pPr>
        <w:spacing w:after="0" w:line="174"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approximately $162,000 for 2015 compared to $146,000 for 2014. The increase is attributable to both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from investments in marketable securities and a gain on disposal of long lived assets, but was partially offset by higher interest expense from borrowings under a revolving credit facility during 2015 and losses from equity method investments.</w:t>
      </w:r>
    </w:p>
    <w:p>
      <w:pPr>
        <w:spacing w:after="0" w:line="174"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approximately $5.1 million for 2015 compared to approximately $6.1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2014. The Company’s effective tax rate was approximately 37% for both 2015 and 2014. The decrease in income tax expense during 2015 is attributable to lower taxable income compared to the prior year period.</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approximately $1.8 million, or 17%, to $8.6 million for 2015 from $10.4 million for 2014. Earnings per diluted share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$0.28 per share for 2015, compared to $0.37 per diluted share for 2014.</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Adjusted EBITDA (a non-GAAP measure which we define as net income before interest, income taxes, stock-based compensation, and depreciation and amortization) increased by 17% to approximately $33.8 million for 2015 compared to $28.9 million for 2014. This improvement is consistent with the factors mentioned above. See Reconciliation of Non-GAAP Financial Measures in Management’s Discussion and Analysis of Financial Condition and Results of Operations for a reconciliation of this calculation to measures under US GAAP and disclosure regarding why we believe Adjusted EBITDA provides useful information to investors.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Compared to 2013</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$38.4 million, or 29%, to $170.7 million for 2014 from $132.3 million for 2013. A comparison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business segment is as follows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4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 by Business Segment</w:t>
            </w:r>
            <w:r>
              <w:rPr>
                <w:rFonts w:ascii="Times New Roman" w:cs="Times New Roman" w:eastAsia="Times New Roman" w:hAnsi="Times New Roman"/>
                <w:sz w:val="18"/>
                <w:szCs w:val="18"/>
                <w:color w:val="auto"/>
              </w:rPr>
              <w:t>:</w:t>
            </w:r>
          </w:p>
        </w:tc>
        <w:tc>
          <w:tcPr>
            <w:tcW w:w="17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2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$134,242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99,963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2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28,454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1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6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170,690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132,274</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2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3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79%</w:t>
            </w:r>
          </w:p>
        </w:tc>
        <w:tc>
          <w:tcPr>
            <w:tcW w:w="226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32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226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3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Revenues for HealthStream Workforce Solutions increased approximately $34.3 million, or 34%, over 2013. Revenues from our subscription-based workforce products increased by $34.3 million, or 36% over 2013 due to a higher number of subscribers and more courseware consumption by subscribers, as well as revenue associated with the HCCS acquisition. Annualized revenue per implemented subscriber increased by 6%, to $34.43 per subscriber at the end of 2014 compared to $32.41 per subscriber at the end of 2013. Implemented subscribers increased by 22% during 2014 to 4.15 million subscribers at the end of 2014 compared to 3.39 million subscribers at the end of 2013. Additionally, total subscribers increased by 15%, with 4.28 million total subscribers at December 31, 2014 compared to 3.71 million total subscribers at December 31, 2013. Revenues in 2014 were positively influenced by courseware subscriptions associated with, among other products, ICD-10 readiness training. Revenues from ICD-10 readiness training were approximately $28.4 million in 2014, compared to $13.9 million in 2013. Revenues from the HCCS acquisition, consummated on March 3, 2014, were approximately $4.8 million during 2014.</w:t>
      </w:r>
    </w:p>
    <w:p>
      <w:pPr>
        <w:sectPr>
          <w:pgSz w:w="11900" w:h="16838" w:orient="portrait"/>
          <w:cols w:equalWidth="0" w:num="1">
            <w:col w:w="11400"/>
          </w:cols>
          <w:pgMar w:left="240" w:top="455"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Revenues for HealthStream Patient Experience Solutions increased approximately $3.4 million, or 12%, over 2013. Revenues from Patient Insights™ surveys, our survey research product that generates recurring revenues, increased by $1.8 million, or 8%, over 2013, primarily due to growth in survey volumes over the prior year. Revenues from other surveys, which are conducted on annual or bi-annual cycles, declined by $72,000, or 2%, compared to 2013. Revenues from the Baptist Leadership Group (BLG) acquisition, consummated on September 9, 2013, were $2.9 million in 2014 compared to $1.2 million in 2013.</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Revenues for HealthStream Provider Solutions increased approximately $690,000, or 18%, over 2013. $565,000 of the increase was due to lower revenues in 2013 associated with the deferred revenue write-down of acquired balances from the Sy.Med acquisition, which was consummated in October 2012, and $125,000 of the increase was due to growth in sales during 2014.</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$18.5 million, or 33%, to $74.1 million for 2014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$55.6 million for 2013. Cost of revenues as a percentage of revenues was 43% of revenues for 2014 compared to 42% of revenues for 2013. Cost of revenues for HealthStream Workforce Solutions increased approximately $14.4 million to $53.2 million and approximated 40% and 39% of revenues for HealthStream Workforce Solutions for 2014 and 2013, respectively. The increase in both amount and as a percentage of revenues is primarily associated with increased royalties paid by us resulting from growth in courseware subscription revenues and increased personnel expenses. Cost of revenues for HealthStream Patient Experience Solutions increased approximately $4.0 million to $20.2 million and approximated 63% and 57% of revenues for HealthStream Patient Experience Solutions for 2014 and 2013, respectively. The increase in both amount and as a percentage of revenues is primarily the result of increased personnel costs from the BLG acquisition as well as additional costs associated with the growth in patient survey volume over the prior year. Cost of revenues for HealthStream Provider Solutions increased approximately $111,000 to $738,000, and approximated 16% of revenues for HealthStream Provider Solutions for both 2014 and 2013.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$4.7 million, or 40%, to $16.5 million for 2014 from $11.8 million for 2013.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expenses as a percentage of revenues were approximately 10% and 9% of revenues for 2014 and 2013, respectively.</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Product development expenses for HealthStream Workforce Solutions increased approximately $4.8 million and approximated 11% and 10% of revenues for HealthStream Workforce for 2014 and 2013, respectively. The increase in both amount and as a percentage of revenues is due to additional personnel expenses associated with new product development initiatives for our subscription-based products. Product development expenses for HealthStream Patient Experience Solutions decreased approximately $137,000 and approximated 4% and 5% of revenues for HealthStream Patient Experience Solutions in 2014 and 2013, respectively. The decrease in both amount and as a percentage of revenues is due to lower personnel expenses. Product development expenses for HealthStream Provider Solutions increased approximately $35,000 and approximated 11% and 12% of revenues for HealthStream Provider Solutions for 2014 and 2013, respectively.</w:t>
      </w:r>
    </w:p>
    <w:p>
      <w:pPr>
        <w:spacing w:after="0" w:line="18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$5.8 million, or 24%, to $29.9 million for 2014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$24.1 million for 2013. Sales and marketing expenses as a percentage of revenues were approximately 18% of revenues for both 2014 and 2013.</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Solutions increased approximately $4.6 million and approximated 16% and 17% of revenues for HealthStream Workforce Solutions for 2014 and 2013, respectively. The expense increase is primarily due to additional personnel and related expenses, increased commissions associated with higher sales performance compared to the prior year, and increased marketing spending. Sales and marketing expenses for HealthStream Patient Experience Solutions increased approximately $768,000, and approximated 19% of revenues for HealthStream Patient Experience Solutions for both 2014 and 2013. The increase in amount and as a percentage of revenues is primarily due to additional personnel associated with the BLG acquisition and increased commissions associated with higher sales performance compared to the prior year. Sales and marketing expenses for HealthStream Provider Solutions increased approximately $259,000 and approximated 30% and 28% of revenues for HealthStream Provider Solutions for 2014 and 2013, respectively. The increase is primarily due to additional personnel and related expenses and increased commissions.</w:t>
      </w:r>
    </w:p>
    <w:p>
      <w:pPr>
        <w:spacing w:after="0" w:line="18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approximately $4.6 million, or 25%, to $22.9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from $18.3 million for 2013. Other general and administrative expenses as a percentage of revenues were approximately 13% and 14% of revenues for 2014 and 2013, respectively.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Solutions increased approximately $1.3 million over the prior year period primarily due to the HCCS acquisition, additional personnel, and other support costs. Other general and administrative expenses for HealthStream Patient Experience Solutions increased approximately $543,000 compared to the prior year period primarily due to the BLG acquisition. Other general and administrative expenses for HealthStream Provider Solutions decreased approximately $265,000 compared to the prior year period primarily due to fewer personnel and related expenses. The unallocated corporate portion of other general and administrative expenses increased approximately $3.0 million over the prior year period, primarily associated with additional personnel, professional fees, rent, and other general expenses, as well as expenses associated with the acquisition of HCCS. During 2014, we incurred approximately $762,000 of costs associated with both the completed acquisition of HCCS and other costs for evaluating potential transactions as part of our business development initiatives.</w:t>
      </w:r>
    </w:p>
    <w:p>
      <w:pPr>
        <w:spacing w:after="0" w:line="18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$3.1 million, or 39%, to $10.9 million for 2014 from $7.8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The increase primarily resulted from amortization of capitalized software development, amortization of intangible assets, and depreciation expense associated with capital expenditures, including leasehold improvements to our Nashville, Tennessee office space.</w:t>
      </w:r>
    </w:p>
    <w:p>
      <w:pPr>
        <w:spacing w:after="0" w:line="17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approximately $146,000 for 2014 compared to $176,000 for 2013. The decrease is attributable to losses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method investments.</w:t>
      </w:r>
    </w:p>
    <w:p>
      <w:pPr>
        <w:spacing w:after="0" w:line="158"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approximately $6.1 million for 2014 compared to approximately $6.4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2013. The Company’s effective tax rate was approximately 37% for 2014 compared to approximately 43% for 2013. The decrease in the effective tax rate resulted primarily from the recognition of approximately $1.2 million in tax benefits associated with research and development tax credits during 2014.</w:t>
      </w:r>
    </w:p>
    <w:p>
      <w:pPr>
        <w:spacing w:after="0" w:line="174"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approximately $2.0 million, or 23%, to $10.4 million for 2014 from $8.4 million for 2013. Earnings per diluted share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$0.37 per share for 2014, compared to $0.30 per diluted share for 2013.</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(a non-GAAP measure which we define as net income before interest, income taxes, stock-based compensation, and depreciation and amortization) increased by 21% to approximately $28.9 million for 2014 compared to $23.9 million for 2013. This improvement is consistent with the factors mentioned above. See Reconciliation of Non-GAAP Financial Measures in Management’s Discussion and Analysis of Financial Condition and Results of Operations for a reconciliation of this calculation to measures under US GAAP.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contains certain non-GAAP financial measures, including non-GAAP net income, non-GAAP operating income, non-GAAP revenue and adjusted EBITDA, which are used by management in analyzing the Company’s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adjusted EBITDA is a useful measure for evaluating the operating performance of the Company because adjusted EBITDA reflects net income adjusted for certain non-cash and non-operating items. The Company believes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understands that, although adjusted EBITDA is frequently used by investors and securities analysts in their evaluation of companies, this measure has limitations as an analytical tool, and should not be considered in isolation, or as a substitute for an analysis of the Company’s results as reported under US GAAP.</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addresses these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recent years, the Company has acquired businesses whose net tangible assets include deferred revenue. In accordance with GAAP reporting requirements, following the completion of any such acquisition, the Company may record a write down of deferred revenue to fair value as defined in GAAP. If the Company is required to record a write-down of deferred revenue, it may result in lower recognized revenue, operating income, and net income in subsequent periods.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discussed elsewhere in this report, the Company completed the acquisitions of BLG in September 2013, HCCS in March 2014 and HLS in March 2015. In accordance with US GAAP reporting requirements for fair value, deferred revenue write-downs of $254,000 for BLG, $1.5 million for HCCS and $9.0 million for HLS have been recorded in periods following such acquisitions. These write-downs result in lower revenues than would have otherwise been recognized for such services.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therewith, this report presents below non-GAAP revenues, non-GAAP operating income and non-GAAP net income, which in each such case reflects the corresponding GAAP figures adjusted to exclude the impact of the deferred revenue write-down 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2015</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2014</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6,424</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GAAP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209,002</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170,690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132,274</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Non-GAAP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215,824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172,155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133,113</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14,666</w:t>
            </w:r>
          </w:p>
        </w:tc>
      </w:tr>
      <w:tr>
        <w:trPr>
          <w:trHeight w:val="22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8,621</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8,418</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deferred revenue write-down, net of tax</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FOR 2016</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provides projections and other forward-looking information in this “Financial Outlook for 2016” section within “Management’s Discussion and Analysis of Financial Condition and Results of Operations.”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and the risks and uncertainties described in Item 1A, Risk Factors and elsewhere in this document. Actual results are likely to differ, and in the past have differed, materially from those forecast by the Company, depending on the outcome of various factors, including, but not limited to, those set forth in Item 1A, Risk Factors.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2016, we anticipate that consolidated revenues will grow 8 to 12 percent as compared to 2015. We anticipate that revenue growth in our Workforce Solutions segment will be in the two to six percent range and approximately 8 to 12 percent in our Patient Experience Solutions segment. We anticipate our Provider Solutions segment’s revenue to grow 80 to 84 percent as compared to 2015.</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Revenues from ICD-10 readiness training, which were approximately $26.8 million in 2015, are expected to decline by approximately $20 million in 2016 and are reflected in the above guidance range for Workforce Solutions.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operating income for 2016 to increase between 10 and 14 percent as compared to 2015.</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anticipate that capital expenditures will be between $14 million and $16 million during 2016. We expect the annual effective income tax rate to range between 39 percent and 41 percent for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guidance does not include the impact from any acquisitions that we may complete during 2016.</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OPERATING RESULTS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tables set forth selected statements of income data for each of the four quarters in the periods ended December 31, 2015 and December 31, 2014, respectively.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Revenues from our subscription-based products are recognized ratably over the subscription term. Survey and research revenues are impacted by seasonal factors resulting from the volume, timing, and frequency of survey cycles.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Pr>
          <w:p>
            <w:pPr>
              <w:spacing w:after="0"/>
              <w:rPr>
                <w:sz w:val="10"/>
                <w:szCs w:val="10"/>
                <w:color w:val="auto"/>
              </w:rPr>
            </w:pPr>
          </w:p>
        </w:tc>
        <w:tc>
          <w:tcPr>
            <w:tcW w:w="62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0"/>
                <w:szCs w:val="10"/>
                <w:color w:val="auto"/>
              </w:rPr>
            </w:pPr>
          </w:p>
        </w:tc>
        <w:tc>
          <w:tcPr>
            <w:tcW w:w="140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20" w:type="dxa"/>
            <w:vAlign w:val="bottom"/>
            <w:gridSpan w:val="8"/>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$ 47,156</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$52,145</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53,835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49,581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49,510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53,988</w:t>
            </w:r>
          </w:p>
        </w:tc>
        <w:tc>
          <w:tcPr>
            <w:tcW w:w="0" w:type="dxa"/>
            <w:vAlign w:val="bottom"/>
          </w:tcPr>
          <w:p>
            <w:pPr>
              <w:spacing w:after="0"/>
              <w:rPr>
                <w:sz w:val="1"/>
                <w:szCs w:val="1"/>
                <w:color w:val="auto"/>
              </w:rPr>
            </w:pPr>
          </w:p>
        </w:tc>
      </w:tr>
      <w:tr>
        <w:trPr>
          <w:trHeight w:val="22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1,473</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2,614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29,234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31,643</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29,617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32,029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Pr>
          <w:p>
            <w:pPr>
              <w:spacing w:after="0"/>
              <w:rPr>
                <w:sz w:val="10"/>
                <w:szCs w:val="10"/>
                <w:color w:val="auto"/>
              </w:rPr>
            </w:pPr>
          </w:p>
        </w:tc>
        <w:tc>
          <w:tcPr>
            <w:tcW w:w="62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0"/>
                <w:szCs w:val="10"/>
                <w:color w:val="auto"/>
              </w:rPr>
            </w:pPr>
          </w:p>
        </w:tc>
        <w:tc>
          <w:tcPr>
            <w:tcW w:w="140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20" w:type="dxa"/>
            <w:vAlign w:val="bottom"/>
            <w:gridSpan w:val="8"/>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8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$ 38,350</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$42,476</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44,525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38,366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39,784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520" w:type="dxa"/>
            <w:vAlign w:val="bottom"/>
            <w:gridSpan w:val="2"/>
          </w:tcPr>
          <w:p>
            <w:pPr>
              <w:spacing w:after="0"/>
              <w:rPr>
                <w:sz w:val="8"/>
                <w:szCs w:val="8"/>
                <w:color w:val="auto"/>
              </w:rPr>
            </w:pPr>
          </w:p>
        </w:tc>
        <w:tc>
          <w:tcPr>
            <w:tcW w:w="700" w:type="dxa"/>
            <w:vAlign w:val="bottom"/>
            <w:gridSpan w:val="2"/>
          </w:tcPr>
          <w:p>
            <w:pPr>
              <w:spacing w:after="0"/>
              <w:rPr>
                <w:sz w:val="8"/>
                <w:szCs w:val="8"/>
                <w:color w:val="auto"/>
              </w:rPr>
            </w:pPr>
          </w:p>
        </w:tc>
        <w:tc>
          <w:tcPr>
            <w:tcW w:w="12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2,364</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3,436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27,567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27,605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28,044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28,047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Due to the nature of interim earnings per share calculations, the sum of quarterly earnings per share amounts may not equal the reported earnings per share for the full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increased by $660,000, or 2%, to $34.9 million during 2015 from $34.3 million during 2014. The primary sources of cash were generated from receipts from the sales of our products and services. The number of days sales outstanding (DSO) was 61 days for 2015 and 63 days for 2014. The Company calculates DSO by dividing the average accounts receivable balance (excluding unbilled and other receivables) by average daily revenues for the year. The primary uses of cash to fund our operations include personnel expenses, sales commissions, royalty payments, payments for contract labor and other direct expenses associated with delivery of our products and services, and general corporate expenses.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approximately $134.9 million during 2015 and $15.5 million during 2014. During 2015, the Company purchased $84.2 million of marketable securities, utilized $88.1 million (net of cash acquired) for business combinations, spent $7.3 million for capitalized software development, purchased $8.1 million of property and equipment, and made $2.0 million in non-marketable equity investments. These uses of cash were partially offset by maturities of marketable securities of $54.8 million. During 2014, the Company purchased $44.3 million of marketable securities, utilized $12.3 million (net of cash acquired) for business combinations, spent $5.7 million for capitalized software development, purchased $4.5 million of property and equipment, and made $1.3 million in non-marketable equity investments. These uses of cash were partially offset by maturities of marketable securities of $52.6 million.</w:t>
      </w:r>
    </w:p>
    <w:p>
      <w:pPr>
        <w:sectPr>
          <w:pgSz w:w="11900" w:h="16838" w:orient="portrait"/>
          <w:cols w:equalWidth="0" w:num="1">
            <w:col w:w="11420"/>
          </w:cols>
          <w:pgMar w:left="240" w:top="45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was approximately $100.0 million during 2015 and $3.7 million during 2014. The primary sources of cash from financing activities for 2015 resulted from $98.0 million in proceeds from the issuance of 3.9 million shares of our common stock in our underwritten public offering that was completed on May 28, 2015, $3.0 million of excess tax benefits from equity awards, and $328,000 of proceeds from the exercise of employee stock options. The primary uses of cash during 2015 related to payments of payroll taxes from stock based compensation arrangements of $756,000 and earn-outs for prior business combinations of $633,000. During 2014 the primary source of cash from financing activities resulted from $1.1 million of proceeds from the exercise of employee stock options and $3.2 million of excess tax benefits from equity awards. The primary uses of cash during 2014 resulted from $424,000 for payments of earn-outs from prior business combinations and $161,000 for payments of payroll taxes from stock based compensation arrangements.</w:t>
      </w:r>
    </w:p>
    <w:p>
      <w:pPr>
        <w:spacing w:after="0" w:line="18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Revenues increased over the prior year, and our balance sheet reflects positive working capital of $120.4 million at December 31, 2015 compared to $97.4 million at December 31, 2014. The increase in working capital primarily resulted from increases in investment balances. At December 31, 2015, the Company’s primary source of liquidity was $149.0 million of cash and cash equivalents and marketable securities. The Company also has a $50.0 million revolving credit facility loan agreement, all of which was available at December 31, 2015.</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Over the past ten years, the Company utilized federal and state net operating loss carryforwards to offset taxable income, therefore reducing its income tax liabilities. The federal net operating loss carryforwards have been fully utilized as of December 31, 2015; therefore, actual income tax payments are expected to increase significantly in the future and will more closely approximate the provision for income taxes.</w:t>
      </w:r>
    </w:p>
    <w:p>
      <w:pPr>
        <w:spacing w:after="0" w:line="18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Company’s growth strategy includes acquiring businesses that provide complementary product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adjusted EBITDA and an interest coverage ratio of adjusted EBITDA to interest expense. Therefore, the maximum borrowings against the revolving credit facility would be dependent on the covenant values at the time of borrowing. As of December 31, 2015, the Company was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off-balance sheet arrangements primarily consist of operating leases, contractual obligations, and our revolving credit facility, which is described further in Note 14 to the Company’s consolidated financial statements contained elsewhere in this report.</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future anticipated payments due by the Company under contractual obligations with firm minimum commitments as of December 31, 2015, excluding amounts already recorded in the consolidated balance sheets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27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3-5 years</w:t>
            </w:r>
          </w:p>
        </w:tc>
        <w:tc>
          <w:tcPr>
            <w:tcW w:w="30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More than</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$ 3,990</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$ 1,618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1,001</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4,473</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$ 4,991</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$ 1,618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2,604</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which supersedes the revenue recognition requirements in Topic 605, Revenue Recognition, and most industry-specific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early adoption is permitted for the first interim period within annual reporting periods beginning after December 15, 2016. The Company is currently reviewing this standard to determine the method of adoption and to assess the impact on its future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We do not have any foreign currency exchange rate risk or commodity price risk. As of December 31, 2015,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$149.0 million at December 31, 2015. Assuming a hypothetical 10% decrease in interest rates, interest income from cash and investments would decrease on an annualized basis by approximately $90,000.</w:t>
      </w:r>
    </w:p>
    <w:p>
      <w:pPr>
        <w:spacing w:after="0" w:line="1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4"/>
        </w:trPr>
        <w:tc>
          <w:tcPr>
            <w:tcW w:w="4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Reports of Independent Registered Public Accounting Firm</w:t>
              </w:r>
            </w:hyperlink>
          </w:p>
        </w:tc>
        <w:tc>
          <w:tcPr>
            <w:tcW w:w="660" w:type="dxa"/>
            <w:vAlign w:val="bottom"/>
          </w:tcPr>
          <w:p>
            <w:pPr>
              <w:spacing w:after="0"/>
              <w:rPr>
                <w:sz w:val="22"/>
                <w:szCs w:val="22"/>
                <w:color w:val="auto"/>
              </w:rPr>
            </w:pPr>
          </w:p>
        </w:tc>
        <w:tc>
          <w:tcPr>
            <w:tcW w:w="6460" w:type="dxa"/>
            <w:vAlign w:val="bottom"/>
            <w:gridSpan w:val="2"/>
          </w:tcPr>
          <w:p>
            <w:pPr>
              <w:jc w:val="center"/>
              <w:ind w:left="6070"/>
              <w:spacing w:after="0"/>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2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Consolidated Balance Sheets</w:t>
              </w:r>
            </w:hyperlink>
          </w:p>
        </w:tc>
        <w:tc>
          <w:tcPr>
            <w:tcW w:w="2860" w:type="dxa"/>
            <w:vAlign w:val="bottom"/>
            <w:gridSpan w:val="7"/>
          </w:tcPr>
          <w:p>
            <w:pPr>
              <w:spacing w:after="0"/>
              <w:rPr>
                <w:sz w:val="17"/>
                <w:szCs w:val="17"/>
                <w:color w:val="auto"/>
              </w:rPr>
            </w:pPr>
          </w:p>
        </w:tc>
        <w:tc>
          <w:tcPr>
            <w:tcW w:w="6460" w:type="dxa"/>
            <w:vAlign w:val="bottom"/>
            <w:gridSpan w:val="2"/>
          </w:tcPr>
          <w:p>
            <w:pPr>
              <w:jc w:val="center"/>
              <w:ind w:left="6070"/>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196"/>
        </w:trPr>
        <w:tc>
          <w:tcPr>
            <w:tcW w:w="2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Consolidated Statements of Income</w:t>
              </w:r>
            </w:hyperlink>
          </w:p>
        </w:tc>
        <w:tc>
          <w:tcPr>
            <w:tcW w:w="2380" w:type="dxa"/>
            <w:vAlign w:val="bottom"/>
            <w:gridSpan w:val="6"/>
          </w:tcPr>
          <w:p>
            <w:pPr>
              <w:spacing w:after="0"/>
              <w:rPr>
                <w:sz w:val="17"/>
                <w:szCs w:val="17"/>
                <w:color w:val="auto"/>
              </w:rPr>
            </w:pPr>
          </w:p>
        </w:tc>
        <w:tc>
          <w:tcPr>
            <w:tcW w:w="6460" w:type="dxa"/>
            <w:vAlign w:val="bottom"/>
            <w:gridSpan w:val="2"/>
          </w:tcPr>
          <w:p>
            <w:pPr>
              <w:jc w:val="center"/>
              <w:ind w:left="607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Consolidated Statements of Comprehensive Income</w:t>
              </w:r>
            </w:hyperlink>
          </w:p>
        </w:tc>
        <w:tc>
          <w:tcPr>
            <w:tcW w:w="6460" w:type="dxa"/>
            <w:vAlign w:val="bottom"/>
            <w:gridSpan w:val="2"/>
          </w:tcPr>
          <w:p>
            <w:pPr>
              <w:jc w:val="center"/>
              <w:ind w:left="6070"/>
              <w:spacing w:after="0" w:line="196" w:lineRule="exact"/>
              <w:rPr>
                <w:sz w:val="20"/>
                <w:szCs w:val="20"/>
                <w:color w:val="auto"/>
              </w:rPr>
            </w:pPr>
            <w:r>
              <w:rPr>
                <w:rFonts w:ascii="Times New Roman" w:cs="Times New Roman" w:eastAsia="Times New Roman" w:hAnsi="Times New Roman"/>
                <w:sz w:val="18"/>
                <w:szCs w:val="18"/>
                <w:color w:val="auto"/>
                <w:w w:val="99"/>
              </w:rPr>
              <w:t>38</w:t>
            </w:r>
          </w:p>
        </w:tc>
      </w:tr>
      <w:tr>
        <w:trPr>
          <w:trHeight w:val="196"/>
        </w:trPr>
        <w:tc>
          <w:tcPr>
            <w:tcW w:w="3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Consolidated Statements of Shareholders’ Equity</w:t>
              </w:r>
            </w:hyperlink>
          </w:p>
        </w:tc>
        <w:tc>
          <w:tcPr>
            <w:tcW w:w="180" w:type="dxa"/>
            <w:vAlign w:val="bottom"/>
            <w:tcBorders>
              <w:top w:val="single" w:sz="8" w:color="0000EE"/>
            </w:tcBorders>
          </w:tcPr>
          <w:p>
            <w:pPr>
              <w:spacing w:after="0"/>
              <w:rPr>
                <w:sz w:val="17"/>
                <w:szCs w:val="17"/>
                <w:color w:val="auto"/>
              </w:rPr>
            </w:pPr>
          </w:p>
        </w:tc>
        <w:tc>
          <w:tcPr>
            <w:tcW w:w="1220" w:type="dxa"/>
            <w:vAlign w:val="bottom"/>
            <w:gridSpan w:val="2"/>
          </w:tcPr>
          <w:p>
            <w:pPr>
              <w:spacing w:after="0"/>
              <w:rPr>
                <w:sz w:val="17"/>
                <w:szCs w:val="17"/>
                <w:color w:val="auto"/>
              </w:rPr>
            </w:pPr>
          </w:p>
        </w:tc>
        <w:tc>
          <w:tcPr>
            <w:tcW w:w="6460" w:type="dxa"/>
            <w:vAlign w:val="bottom"/>
            <w:gridSpan w:val="2"/>
          </w:tcPr>
          <w:p>
            <w:pPr>
              <w:jc w:val="center"/>
              <w:ind w:left="6070"/>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Consolidated Statements of Cash Flows</w:t>
              </w:r>
            </w:hyperlink>
          </w:p>
        </w:tc>
        <w:tc>
          <w:tcPr>
            <w:tcW w:w="2080" w:type="dxa"/>
            <w:vAlign w:val="bottom"/>
            <w:gridSpan w:val="5"/>
          </w:tcPr>
          <w:p>
            <w:pPr>
              <w:spacing w:after="0"/>
              <w:rPr>
                <w:sz w:val="17"/>
                <w:szCs w:val="17"/>
                <w:color w:val="auto"/>
              </w:rPr>
            </w:pPr>
          </w:p>
        </w:tc>
        <w:tc>
          <w:tcPr>
            <w:tcW w:w="6460" w:type="dxa"/>
            <w:vAlign w:val="bottom"/>
            <w:gridSpan w:val="2"/>
          </w:tcPr>
          <w:p>
            <w:pPr>
              <w:jc w:val="center"/>
              <w:ind w:left="6070"/>
              <w:spacing w:after="0" w:line="196" w:lineRule="exact"/>
              <w:rPr>
                <w:sz w:val="20"/>
                <w:szCs w:val="20"/>
                <w:color w:val="auto"/>
              </w:rPr>
            </w:pPr>
            <w:r>
              <w:rPr>
                <w:rFonts w:ascii="Times New Roman" w:cs="Times New Roman" w:eastAsia="Times New Roman" w:hAnsi="Times New Roman"/>
                <w:sz w:val="18"/>
                <w:szCs w:val="18"/>
                <w:color w:val="auto"/>
                <w:w w:val="99"/>
              </w:rPr>
              <w:t>40</w:t>
            </w: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Notes to Consolidated Financial Statements</w:t>
              </w:r>
            </w:hyperlink>
          </w:p>
        </w:tc>
        <w:tc>
          <w:tcPr>
            <w:tcW w:w="6460" w:type="dxa"/>
            <w:vAlign w:val="bottom"/>
            <w:gridSpan w:val="2"/>
          </w:tcPr>
          <w:p>
            <w:pPr>
              <w:jc w:val="center"/>
              <w:ind w:left="6070"/>
              <w:spacing w:after="0" w:line="196" w:lineRule="exact"/>
              <w:rPr>
                <w:sz w:val="20"/>
                <w:szCs w:val="20"/>
                <w:color w:val="auto"/>
              </w:rPr>
            </w:pPr>
            <w:r>
              <w:rPr>
                <w:rFonts w:ascii="Times New Roman" w:cs="Times New Roman" w:eastAsia="Times New Roman" w:hAnsi="Times New Roman"/>
                <w:sz w:val="18"/>
                <w:szCs w:val="18"/>
                <w:color w:val="auto"/>
                <w:w w:val="99"/>
              </w:rPr>
              <w:t>41</w:t>
            </w:r>
          </w:p>
        </w:tc>
      </w:tr>
      <w:tr>
        <w:trPr>
          <w:trHeight w:val="385"/>
        </w:trPr>
        <w:tc>
          <w:tcPr>
            <w:tcW w:w="2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60" w:type="dxa"/>
            <w:vAlign w:val="bottom"/>
          </w:tcPr>
          <w:p>
            <w:pPr>
              <w:jc w:val="right"/>
              <w:ind w:right="523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HealthStream, Inc. as of December 31, 2015 and 2014, and the related consolidated statements of income, comprehensive income, shareholders’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HealthStream, Inc. at December 31, 2015 and 2014, and the consolidated results of its operations and its cash flows for each of the three years in the period ended December 31, 2015, in conformity with U.S. generally accepted accounting principles.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changed the classification of all deferred tax assets and liabilities to noncurrent on the December 31, 2015 balance sheet as a result of the adoption of the amendments to the FASB Accounting Standards Codification resulting from Accounting Standards Update No.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effective December 31, 2015.</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HealthStream, Inc.’s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and our report dated February 26, 2016 expressed an unqualified opinion thereon.</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20"/>
          </w:cols>
          <w:pgMar w:left="24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HealthStream, Inc.’s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(2013 framework) (the COSO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HealthStream,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our opinion, HealthStream, Inc. maintained, in all material respects, effective internal control over financial reporting as of December 31, 2015, based on the COSO criteria.</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2015 consolidated financial statements of HealthStream, Inc. and our report dated February 26, 2016 expressed an unqualified opinion thereon.</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ind w:left="408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82,010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66,976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$303 and $331 at December 31, 2015 and 2014,</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36,348</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royalties, net of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14,036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12,471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Capitalized software development, net of accumulated amortization of $24,130 and $18,114 at December 31, 2015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2014, respectively</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13,955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83,073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$8,685 and $13,834 at December 31, 2015 and 2014, respectively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55,966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379,569</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65,098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89,078</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31,647 and 27,677 shares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2015 and 2014, respectively</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280,320</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379,569</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10"/>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209,002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170,690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195,445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154,315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117,608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14,666</w:t>
            </w:r>
          </w:p>
        </w:tc>
        <w:tc>
          <w:tcPr>
            <w:tcW w:w="0" w:type="dxa"/>
            <w:vAlign w:val="bottom"/>
          </w:tcPr>
          <w:p>
            <w:pPr>
              <w:spacing w:after="0"/>
              <w:rPr>
                <w:sz w:val="1"/>
                <w:szCs w:val="1"/>
                <w:color w:val="auto"/>
              </w:rPr>
            </w:pPr>
          </w:p>
        </w:tc>
      </w:tr>
      <w:tr>
        <w:trPr>
          <w:trHeight w:val="32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4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252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5"/>
                <w:szCs w:val="15"/>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8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$ 8,621</w:t>
            </w: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$ 10,394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32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9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$ 8,588</w:t>
            </w: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$ 10,388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8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jc w:val="center"/>
              <w:ind w:right="3550"/>
              <w:spacing w:after="0"/>
              <w:rPr>
                <w:sz w:val="20"/>
                <w:szCs w:val="20"/>
                <w:color w:val="auto"/>
              </w:rPr>
            </w:pPr>
            <w:r>
              <w:rPr>
                <w:rFonts w:ascii="Times New Roman" w:cs="Times New Roman" w:eastAsia="Times New Roman" w:hAnsi="Times New Roman"/>
                <w:sz w:val="18"/>
                <w:szCs w:val="18"/>
                <w:color w:val="auto"/>
                <w:w w:val="99"/>
              </w:rPr>
              <w:t>Balance at December 31, 2012</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$158,020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acquisition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shd w:val="clear" w:color="auto" w:fill="CCEEFF"/>
          </w:tcPr>
          <w:p>
            <w:pPr>
              <w:jc w:val="center"/>
              <w:ind w:right="3590"/>
              <w:spacing w:after="0"/>
              <w:rPr>
                <w:sz w:val="20"/>
                <w:szCs w:val="20"/>
                <w:color w:val="auto"/>
              </w:rPr>
            </w:pPr>
            <w:r>
              <w:rPr>
                <w:rFonts w:ascii="Times New Roman" w:cs="Times New Roman" w:eastAsia="Times New Roman" w:hAnsi="Times New Roman"/>
                <w:sz w:val="18"/>
                <w:szCs w:val="18"/>
                <w:color w:val="auto"/>
              </w:rPr>
              <w:t>employee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23"/>
        </w:trPr>
        <w:tc>
          <w:tcPr>
            <w:tcW w:w="5860" w:type="dxa"/>
            <w:vAlign w:val="bottom"/>
            <w:gridSpan w:val="2"/>
          </w:tcPr>
          <w:p>
            <w:pPr>
              <w:jc w:val="center"/>
              <w:ind w:right="355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10,394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acquisition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jc w:val="center"/>
              <w:ind w:right="3590"/>
              <w:spacing w:after="0"/>
              <w:rPr>
                <w:sz w:val="20"/>
                <w:szCs w:val="20"/>
                <w:color w:val="auto"/>
              </w:rPr>
            </w:pPr>
            <w:r>
              <w:rPr>
                <w:rFonts w:ascii="Times New Roman" w:cs="Times New Roman" w:eastAsia="Times New Roman" w:hAnsi="Times New Roman"/>
                <w:sz w:val="18"/>
                <w:szCs w:val="18"/>
                <w:color w:val="auto"/>
              </w:rPr>
              <w:t>employee taxes</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268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jc w:val="center"/>
              <w:ind w:right="3550"/>
              <w:spacing w:after="0"/>
              <w:rPr>
                <w:sz w:val="20"/>
                <w:szCs w:val="20"/>
                <w:color w:val="auto"/>
              </w:rPr>
            </w:pPr>
            <w:r>
              <w:rPr>
                <w:rFonts w:ascii="Times New Roman" w:cs="Times New Roman" w:eastAsia="Times New Roman" w:hAnsi="Times New Roman"/>
                <w:sz w:val="18"/>
                <w:szCs w:val="18"/>
                <w:color w:val="auto"/>
                <w:w w:val="99"/>
              </w:rPr>
              <w:t>Balance at December 31, 2014</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27,677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174,926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3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donated to Company</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jc w:val="center"/>
              <w:ind w:right="3590"/>
              <w:spacing w:after="0"/>
              <w:rPr>
                <w:sz w:val="20"/>
                <w:szCs w:val="20"/>
                <w:color w:val="auto"/>
              </w:rPr>
            </w:pPr>
            <w:r>
              <w:rPr>
                <w:rFonts w:ascii="Times New Roman" w:cs="Times New Roman" w:eastAsia="Times New Roman" w:hAnsi="Times New Roman"/>
                <w:sz w:val="18"/>
                <w:szCs w:val="18"/>
                <w:color w:val="auto"/>
              </w:rPr>
              <w:t>employee taxes</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jc w:val="center"/>
              <w:ind w:right="3550"/>
              <w:spacing w:after="0"/>
              <w:rPr>
                <w:sz w:val="20"/>
                <w:szCs w:val="20"/>
                <w:color w:val="auto"/>
              </w:rPr>
            </w:pPr>
            <w:r>
              <w:rPr>
                <w:rFonts w:ascii="Times New Roman" w:cs="Times New Roman" w:eastAsia="Times New Roman" w:hAnsi="Times New Roman"/>
                <w:sz w:val="18"/>
                <w:szCs w:val="18"/>
                <w:color w:val="auto"/>
                <w:w w:val="99"/>
              </w:rPr>
              <w:t>Balance at December 31, 2015</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31,647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278,799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10,394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10,931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non-marketable equity investments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Gain on sale of long-lived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business combinations: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Prepaid royalties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Accrued liabilities, accrued compensation and related expenses, and other long-term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5,434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17,471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34,256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27,054</w:t>
            </w:r>
          </w:p>
        </w:tc>
        <w:tc>
          <w:tcPr>
            <w:tcW w:w="0" w:type="dxa"/>
            <w:vAlign w:val="bottom"/>
          </w:tcPr>
          <w:p>
            <w:pPr>
              <w:spacing w:after="0"/>
              <w:rPr>
                <w:sz w:val="1"/>
                <w:szCs w:val="1"/>
                <w:color w:val="auto"/>
              </w:rPr>
            </w:pPr>
          </w:p>
        </w:tc>
      </w:tr>
      <w:tr>
        <w:trPr>
          <w:trHeight w:val="331"/>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(12,298)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52,625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(44,341)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acquire equity method investments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Payments to acquire cost method 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(4,544)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(134,863)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(15,541)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(14,987)</w:t>
            </w:r>
          </w:p>
        </w:tc>
        <w:tc>
          <w:tcPr>
            <w:tcW w:w="0" w:type="dxa"/>
            <w:vAlign w:val="bottom"/>
          </w:tcPr>
          <w:p>
            <w:pPr>
              <w:spacing w:after="0"/>
              <w:rPr>
                <w:sz w:val="1"/>
                <w:szCs w:val="1"/>
                <w:color w:val="auto"/>
              </w:rPr>
            </w:pPr>
          </w:p>
        </w:tc>
      </w:tr>
      <w:tr>
        <w:trPr>
          <w:trHeight w:val="331"/>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98,014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 under revolving line of credit facility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revolving line of credit facility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earn-outs related to business combinations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22,458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81,995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59,537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82,010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81,995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59,537</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 from sale of long-lived assets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connection with business combinations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6500" w:firstLine="8"/>
        <w:spacing w:after="0" w:line="378"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Reporting Entity and Segments</w:t>
      </w:r>
    </w:p>
    <w:p>
      <w:pPr>
        <w:ind w:right="20"/>
        <w:spacing w:after="0" w:line="255" w:lineRule="auto"/>
        <w:rPr>
          <w:sz w:val="20"/>
          <w:szCs w:val="20"/>
          <w:color w:val="auto"/>
        </w:rPr>
      </w:pPr>
      <w:r>
        <w:rPr>
          <w:rFonts w:ascii="Times New Roman" w:cs="Times New Roman" w:eastAsia="Times New Roman" w:hAnsi="Times New Roman"/>
          <w:sz w:val="18"/>
          <w:szCs w:val="18"/>
          <w:color w:val="auto"/>
        </w:rPr>
        <w:t>HealthStream, Inc. (the “Company”) was incorporated in 1990 as a Tennessee corporation and is headquartered in Nashville, Tennessee. The Company operates in three segments: HealthStream Workforce Solutions, HealthStream Patient Experience Solutions, and HealthStream Provider Solutions. Workforce Solutions products consist of SaaS-based services and subscription-based solutions to meet the ongoing training, certification, assessment and development needs of the healthcare community. These solutions provide, deliver and track computer based education for our customers in the United States through our software-as-a-service (SaaS) model. Patient Experience products offer healthcare organizations a wide range of quality and satisfaction surveys, consulting services, analyses of survey results, and other research-based services. Provider Solutions products offer healthcare organizations software applications for administering and tracking provider credentialing, privileging, call center and enrollment.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Goodwill Impairment Testing Date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quarter ended December 31, 2015, the Company voluntarily changed its annual goodwill impairment testing date from December 31 to October 1 of each year. This change provides additional time for the completion of the annual goodwill impairment testing prior to the end of the annual reporting period and results in further alignment with the Company’s annual strategic planning process. Accordingly, management considers this accounting change preferable. The Company is unable to objectively determine, without the use of hindsight, the assumptions that would have been used in earlier periods. Therefore, the change will be applied prospectively as retrospective application to prior periods is deemed impracticable. This change does not result in the delay, acceleration or avoidance of any potential impairment charge.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adopted the provisions of Accounting Standards Update (ASU) 2015-17 </w:t>
      </w:r>
      <w:r>
        <w:rPr>
          <w:rFonts w:ascii="Times New Roman" w:cs="Times New Roman" w:eastAsia="Times New Roman" w:hAnsi="Times New Roman"/>
          <w:sz w:val="18"/>
          <w:szCs w:val="18"/>
          <w:i w:val="1"/>
          <w:iCs w:val="1"/>
          <w:color w:val="auto"/>
        </w:rPr>
        <w:t>— Income Taxes (Topic 740): Balance Sheet Classification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Deferred Taxes</w:t>
      </w:r>
      <w:r>
        <w:rPr>
          <w:rFonts w:ascii="Times New Roman" w:cs="Times New Roman" w:eastAsia="Times New Roman" w:hAnsi="Times New Roman"/>
          <w:sz w:val="18"/>
          <w:szCs w:val="18"/>
          <w:color w:val="auto"/>
        </w:rPr>
        <w:t>, which serves to simplify the balance sheet presentation of deferred taxes. In connection with the adoption of ASU 2015-17,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prospective application; therefore, all deferred tax assets and liabilities as of December 31, 2015 are presented as noncurrent in the accompanying consolidated balance sheet.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Revenue</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Revenues are derived from providing services through our SaaS-based workforce development platform products, courseware subscriptions, provision of survey and research services, sales of software licensing arrangements, software maintenance and support, professional services, custom courseware development and other education and training services.</w:t>
      </w:r>
    </w:p>
    <w:p>
      <w:pPr>
        <w:spacing w:after="0" w:line="17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 is realized or realizable and earned. The Company considers revenue realized or realizable and earned when persuasive evidence of an arrangement exists, prices are fixed or determinable, services and products are provided to the customer and collectability is probable or reasonably assured.</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vendor specific objective evidence (VSOE). If fair value cannot be determined for each element of the arrangement, all revenue from the arrangement is deferred until fair value can be determined or until all elements of the arrangement are delivered and customer acceptance has occurred. Sales of the Company’s SaaS-based workforce development platform products include customer support, implementation services, and training; therefore all revenues are deferred until the SaaS-based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7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Revenues derived from the delivery of services through the Company’s SaaS-based workforce development platform products and courseware subscriptions are recognized ratably over the term of the subscription service agreement or over the historical usage period, if usage typically differs from the subscription period. Other training revenues are generally recognized upon the completion of training.</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Revenues derived from the license of installed software products are recognized upon shipment or installation of the software, when VSOE of the fair value of the software license can be established. Software support and maintenance revenues are recognized ratably over the term of the related agreement.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Revenues recognized from the Company’s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Revenues for coaching and consulting engagements are recognized using the proportional performance method over the term of the underlying contract. Fees for survey services are billed upon initiation of the survey cycle, with progress billings made throughout the survey cycle. Fees for coaching and consulting engagements are billed upon initiation of the engagement with progress billings throughout the term of the contract.</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Revenues from professional services and courseware development services are recognized upon the completion of performance milestones and deliverables using the proportional performance method. All other revenues are recognized as the related services are performed or products are delivered. Fees for these services are generally billed at project initiation and upon completion of various milestones.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cash equivalents to be unrestricted, highly liquid investments with initial maturities of less than three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Marketable securities are classified as available for sale and are stated at fair market value, with the unrealized gains and losses, net of tax, reported in other comprehensive income (loss) on the accompanying consolidated balance sheets. Realized gains and losses and declines in market value judged to be other than 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 for sale are included in other income (expense) on the accompanying consolidated statements of income. Premiums and discounts are amortized over the life of the related available for sale security as an adjustment to yield using the effective interest method.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Receivable-Unbilled</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Deferred revenue represents amounts that have been billed or collected in advance of revenue recognition. The Company typically invoices customers in quarterly, bi-annual, or annual installments, and occasionally customers will pay for multi-year contracts in advance. Deferred revenue is recognized as the revenue recognition criteria are met.</w:t>
      </w:r>
    </w:p>
    <w:p>
      <w:pPr>
        <w:sectPr>
          <w:pgSz w:w="11900" w:h="16838" w:orient="portrait"/>
          <w:cols w:equalWidth="0" w:num="1">
            <w:col w:w="11320"/>
          </w:cols>
          <w:pgMar w:left="240" w:top="45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Prepaid Royalties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Prepaid royalties represents advance payments associated with the sale of third party products, such as courseware subscriptions. Royalties are typically paid in advance at the commencement of the revenue cycle, or periodically throughout the revenue cycle, such as quarterly, bi-annual, or annual installments. Royalty payments are amortized over the term of the underlying contracts, which generally range from 12 to 36 months, in order to match the direct royalty costs to the same period the subscription revenue is recognized. Amortization of royalties is included under the caption “cost of revenues (excluding depreciation and amortization)” in the accompanying consolidated statements of income.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00"/>
          </w:cols>
          <w:pgMar w:left="240" w:top="117"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estimates its allowance for doubtful accounts using a specific identification method in which management considers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the Company’s specific identification approach.</w:t>
      </w:r>
    </w:p>
    <w:p>
      <w:pPr>
        <w:spacing w:after="0" w:line="18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Changes in the allowance for doubtful accounts and the amounts charged to bad debt expense for the years ended December 31, were as follows (in thousands):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 Balance at</w:t>
            </w:r>
          </w:p>
        </w:tc>
        <w:tc>
          <w:tcPr>
            <w:tcW w:w="38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Charged to Costs and</w:t>
            </w:r>
          </w:p>
        </w:tc>
        <w:tc>
          <w:tcPr>
            <w:tcW w:w="400" w:type="dxa"/>
            <w:vAlign w:val="bottom"/>
          </w:tcPr>
          <w:p>
            <w:pPr>
              <w:spacing w:after="0"/>
              <w:rPr>
                <w:sz w:val="13"/>
                <w:szCs w:val="13"/>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 Balance at</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2015</w:t>
            </w:r>
          </w:p>
        </w:tc>
        <w:tc>
          <w:tcPr>
            <w:tcW w:w="1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2014</w:t>
            </w:r>
          </w:p>
        </w:tc>
        <w:tc>
          <w:tcPr>
            <w:tcW w:w="20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211</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237</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2013</w:t>
            </w:r>
          </w:p>
        </w:tc>
        <w:tc>
          <w:tcPr>
            <w:tcW w:w="20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142</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115</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Development</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Capitalized software development is stated on the basis of cost, and is presented net of accumulated amortization. The Company capitalizes costs incurred during the software development phase for projects when such costs are material. These assets are amortized using the straight-line method, generally ranging between three to five years. The Company capitalized approximately $7.3 million and $5.7 million during 2015 and 2014, respectively. Amortization of capitalized software development was approximately $6.2 million and $4.3 million during 2015 and 2014, respectively. Maintenance and operating costs are expensed as incurred. As of December 31, 2015 and 2014, there were no capitalized internal development costs for computer software developed for resale.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Observable inputs that reflect quoted prices (unadjusted) for identical assets or liabilities in active markets.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other than quoted prices included in Level 1 that are observable for the asset or liability, either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 in which little or no market data exists, therefore requiring the Company to develop its own assumptions.</w:t>
      </w:r>
    </w:p>
    <w:p>
      <w:pPr>
        <w:spacing w:after="0" w:line="20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 At December 31, 2015 and 2014, our assets measured at fair value on a recurring basis consisted of marketable securities, which are classified as available for sale (see Note 4 – Marketable Securities). The Company did not have any financial liabilities that were subject to fair value measurements as of such 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0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191"/>
        </w:trPr>
        <w:tc>
          <w:tcPr>
            <w:tcW w:w="2680" w:type="dxa"/>
            <w:vAlign w:val="bottom"/>
            <w:vMerge w:val="continue"/>
          </w:tcPr>
          <w:p>
            <w:pPr>
              <w:spacing w:after="0"/>
              <w:rPr>
                <w:sz w:val="16"/>
                <w:szCs w:val="16"/>
                <w:color w:val="auto"/>
              </w:rPr>
            </w:pPr>
          </w:p>
        </w:tc>
        <w:tc>
          <w:tcPr>
            <w:tcW w:w="4600" w:type="dxa"/>
            <w:vAlign w:val="bottom"/>
          </w:tcPr>
          <w:p>
            <w:pPr>
              <w:spacing w:after="0"/>
              <w:rPr>
                <w:sz w:val="16"/>
                <w:szCs w:val="16"/>
                <w:color w:val="auto"/>
              </w:rPr>
            </w:pPr>
          </w:p>
        </w:tc>
        <w:tc>
          <w:tcPr>
            <w:tcW w:w="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65"/>
        </w:trPr>
        <w:tc>
          <w:tcPr>
            <w:tcW w:w="2680" w:type="dxa"/>
            <w:vAlign w:val="bottom"/>
          </w:tcPr>
          <w:p>
            <w:pPr>
              <w:spacing w:after="0"/>
              <w:rPr>
                <w:sz w:val="24"/>
                <w:szCs w:val="24"/>
                <w:color w:val="auto"/>
              </w:rPr>
            </w:pPr>
          </w:p>
        </w:tc>
        <w:tc>
          <w:tcPr>
            <w:tcW w:w="460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in a business combination over the fair value of the net identifiable assets acquired. The carrying amount of our goodwill is evaluated for impairment at least annually during the fourth quarter and whenever events or changes in facts or circumstances indicate that impairment may exist.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The Company determines fair value of the reporting units using both income and market based models. These models require the use of various assumptions relating to cash flow projections, growth rates, discount rates and terminal value calculations. The Company did not recognize any impairment charges for the years ended December 31, 2015, 2014 or 2013.</w:t>
      </w:r>
    </w:p>
    <w:p>
      <w:pPr>
        <w:spacing w:after="0" w:line="1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December 31, 2015, intangible assets with remaining unamortized balances include contract rights and customer relationships, internally-developed technology and patents, non-competition agreements, and trade names. These intangible assets are considered to have definite useful lives and are being amortized on a straight line basis over periods typically ranging between three and fifteen years. The weighted average amortization period for definite lived intangible assets as of December 31, 2015 was 11.3 years. Intangible assets are reviewed for impairment whenever events or changes in facts or circumstances indicate that the carrying amount of the assets may not be recoverable. There were no impairments identified or recorded for the years ended December 31, 2015, 2014, or 2013.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and other assets will be recoverable. There were no impairments identified or recorded for the years ended December 31, 2015, 2014, or 2013.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Non-Marketable Equity Investments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Non-marketable equity investments are accounted for using the equity method when the Company can exercise significant influence over the investee. Investments for which the Company is not able to exercise significant influence over the investee are accounted for under the cost method. The proportionate share of income or loss from equity method investments are recorded under the caption “other income, net” in the accompanying consolidated statements of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Company has various financial instruments, including cash and cash equivalents, accounts receivable, accounts receivable-unbilled, accounts payable, accrued liabilities, and deferred revenue. The carrying amounts of these financial instruments approximate fair value because of the short term maturity or short term nature of such instruments. The Company also has marketable securities, which are recorded at approximate fair value based on quoted market prices or alternative pricing sources (see Note 4 – Marketable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as incurred. Advertising expense for the years ended December 31, 2015, 2014, and 2013 was approximately $1.1 million, $0.7 million, and $0.4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that are associated with our products and services are included in cost of revenues.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2015, the Company had established a valuation allowance of $346,000 for the portion of its net deferred tax assets that are not more likely than not expected to be realized.</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have been excluded from the calculation of diluted weighted average shares outstanding for the years ended December 31, 2015, 2014, and 2013.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Significant Customers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credit risks relate primarily to cash and cash equivalents, marketable securities and accounts receivable. The Company places its temporary excess cash investments in high quality, short-term money market instruments. At times, such investments may be in excess of the FDIC insurance limits. Marketable securities consists primarily of investment grade corporate debt securities and certificates of deposit.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sells its products and services to various companies in the healthcare industry that are located in the United States. We perform ongoing credit evaluations of our customers’ financial condition and generally require no collateral from customers. An allowance for doubtful accounts is maintained for potentially uncollectible accounts receivable. The Company did not have any single customer representing over 10% of net revenues during 2015, 2014, or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2015, the Company maintains two stock based compensation plans, which are described in Note 11. The Company accounts for stock based compensation using the fair-value based method for costs related to share-based payments, including stock options and restricted share units. The Company uses the Black Scholes option pricing model for calculating the fair value of option awards issued under its stock based compensation plan. The Company measures compensation cost of restricted share units based on the closing fair market value of the Company’s stock on the date of grant.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recorded as an increase to common stock when realized.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Accounting Standards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which supersedes the revenue recognition requirements in Topic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and most industry-specific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early adoption is permitted for the first interim period within annual reporting periods beginning after December 15, 2016. The Company is currently reviewing this standard to determine the method of adoption and to assess the impact on its future consolidated financial statements.</w:t>
      </w:r>
    </w:p>
    <w:p>
      <w:pPr>
        <w:spacing w:after="0" w:line="291" w:lineRule="exact"/>
        <w:rPr>
          <w:sz w:val="20"/>
          <w:szCs w:val="20"/>
          <w:color w:val="auto"/>
        </w:rPr>
      </w:pPr>
    </w:p>
    <w:p>
      <w:pPr>
        <w:ind w:right="8920" w:firstLine="8"/>
        <w:spacing w:after="0" w:line="378"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Common Stock</w:t>
      </w: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75 million shares of common stock. The number of common shares issued and outstanding as of December 31, 2015 and 2014 was approximately 31.6 million and 27.7 million, respectively. The Company issued approximately 3.9 million shares of common stock in connection with an underwritten public offering, which was completed in May 2015, raising approximately $98.0 million of cash.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years ended December 31, 2015 (in thousands, except per share amounts):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8,621</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10,394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30,057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27,570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26,853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30,436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Potentially dilutive shares representing approximately 16,000, 70,000, and 70,000 shares of common stock for 2015, 2014, and 2013, respectively, were excluded from the calculation of diluted earnings per share because their effect would have been anti-dilutive.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and 2014, the fair value of marketable securities, which were all classified as available for sale, included the following (in thousands):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Adjusted Cost</w:t>
            </w: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5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4"/>
              </w:rPr>
              <w:t>Fair Value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$ 1,000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65,976</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66,976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Adjusted Cost</w:t>
            </w: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5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4"/>
              </w:rPr>
              <w:t>Fair Value</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$ 6,278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32,695</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38,973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carrying amounts of the marketable securities reported in the consolidated balance sheets approximate fair value based on quoted market prices or alternative pricing sources and models utilizing market observable inputs. As of December 31, 2015, the Company does not consider any of its marketable securities to be other than temporarily impaired. During the years ended December 31, 2015 and 2014,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HealthLine Systems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enables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$88.1 million in cash (taking into account an estimated closing working capital adjustment). The Company incurred approximately $1.3 million in transaction costs associated with the acquisition, of which $965,000 were incurred during the year ended December 31, 2015 and $329,000 were incurred during the year ended December 31, 2014. The transaction costs were recorded under the caption “other general and administrative” in the consolidated statements of income. The results of operations for HLS have been included in the Company’s consolidated financial statements from the date of acquisition, and are also included in the HealthStream Provider Solutions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tc>
        <w:tc>
          <w:tcPr>
            <w:tcW w:w="3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32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Cash held in escrow</w:t>
            </w:r>
          </w:p>
        </w:tc>
        <w:tc>
          <w:tcPr>
            <w:tcW w:w="38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consideration paid</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20" w:type="dxa"/>
            <w:vAlign w:val="bottom"/>
            <w:vMerge w:val="restart"/>
          </w:tcPr>
          <w:p>
            <w:pPr>
              <w:jc w:val="right"/>
              <w:ind w:right="2970"/>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as of the date of acquisition (in thousands):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41,618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47,200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(5,979)</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Preliminary 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88,129</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excess of preliminary purchase price over the preliminary fair values of net tangible and intangible assets is recorded as goodwill. The preliminary fair values of tangible and identifiable intangible assets, deferred tax assets, deferred revenue, and other liabilities are based on management’s estimates and assumptions. The preliminary fair values of assets acquired and liabilities assumed are considered preliminary and are based on the information that was available at the time of the acquisition. The preliminary fair values of assets acquired and liabilities assumed are subject to change during the measurement period (up to one year from the acquisition date) as we finalize the valuation of tax liabilities and determine final working capital adjustments. Included in the preliminary assets and liabilities is an estimated indemnification asset of $300,000 and a contingent liability of $700,000, both of which are associated with tax liabilities. The contingent liability is measured based on management’s estimate of a range of probable outcomes. During the fourth quarter of 2015, the Company reduced the preliminary fair value for accounts receivable by $115,000, prepaid assets by $200,000, and accrued liabilities by $800,000. The goodwill balance is primarily attributed to the assembled workforce, additional market opportunities from offering HLS’s products, and expected synergies from integrating HLS with other products or other combined functional areas within the Company. The goodwill balance is deductible for U.S. income tax purposes. The net tangible assets include deferred revenue, which was adjusted down from a book value at the acquisition date of $15.0 million to an estimated fair value of $6.0 million. The $9.0 million write-down of deferred revenue will result in lower revenues than would have otherwise been recognized for such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and their estimated useful lives as of the acquisition date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Preliminary</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5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5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preliminary intangible assets subject to amortization</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the identifiable intangible assets acquired is 12.2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of revenue and operating income (loss) of HLS included in the Company’s consolidated statements of income from the date of acquisition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 to the period ending December 31, 2015 are as follows (in thousands):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vMerge w:val="continue"/>
          </w:tcPr>
          <w:p>
            <w:pPr>
              <w:spacing w:after="0"/>
              <w:rPr>
                <w:sz w:val="18"/>
                <w:szCs w:val="18"/>
                <w:color w:val="auto"/>
              </w:rPr>
            </w:pPr>
          </w:p>
        </w:tc>
        <w:tc>
          <w:tcPr>
            <w:tcW w:w="46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660" w:type="dxa"/>
            <w:vAlign w:val="bottom"/>
            <w:vMerge w:val="restart"/>
          </w:tcPr>
          <w:p>
            <w:pPr>
              <w:jc w:val="right"/>
              <w:ind w:right="303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(continued)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operations of the Company and HLS, which was significant for purposes of the unaudited pro forma financial information disclosure, as though the companies were combined as of January 1, 2014 (in thousands, except per share data):</w:t>
      </w:r>
    </w:p>
    <w:p>
      <w:pPr>
        <w:spacing w:after="0" w:line="197"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219,108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pro forma combined results for the year ended December 31, 2014 include nonrecurring adjustments of $4.2 million, which reduce net income due to the revaluation of HLS’s historic deferred revenue to fair value. The unaudited pro forma combined results of operations is for informational purposes only and is not indicative of what the Company’s results of operations would have been had such transactions occurred at the beginning of the period presented or to project the Company’s results of operations in any future period.</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for the years ended December 31, 2015 and 2014 combines the historical results of the Company and HLS for the years ended December 31, 2015 and 2014 and the pro forma adjustments listed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Compliance Strategies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$12.8 million in cash (taking into account a post-closing working capital adjustment) and 81,614 shares of our common stock. The Company made an additional payment of $750,000 during the second quarter of 2015, upon the achievement of certain performance milestones within one year post-closing. The Company incurred approximately $515,000 in transaction costs associated with the acquisition, of which $365,000 were incurred during the year ended December 31, 2014 and $150,000 were incurred during the year ended December 31, 2013. The transaction costs were recorded under the caption “other general and administrative” in the consolidated statements of income. In allocating the purchase price, the Company recorded approximately $6.2 million of goodwill, $8.4 million of identifiable intangible assets, $2.6 million of tangible assets, $625,000 of deferred tax assets, and $2.7 million of liabilities. Included in the recorded liabilities was an accrual for contingent consideration of approximately $600,000. The goodwill balance is primarily attributed to assembled workforce, additional market opportunities of HCCS’s compliance solutions, and expected synergies from integrating HCCS’s products into our platform. The goodwill balance is deductible for U.S. income tax purposes. The net tangible assets include deferred revenue, which was adjusted down from a book value at the acquisition date of $3.2 million to an estimated fair value of $1.7 million. The $1.5 million write-down of deferred revenue resulted in lower revenues than would have otherwise been recognized for such services. The results of operations for HCCS have been included in the Company’s consolidated financial statements from the date of acquisition, and are also included in the HealthStream Workforce Development Solutions segment.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Baptist Leadership Group</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9, 2013, the Company acquired substantially all of the assets of Baptist Leadership Group (BLG), a Pensacola, Florida based company that provides consulting services focused on patient-centered performance excellence in healthcare. The Company acquired BLG to strengthen its Patient Experience Solutions. The consideration paid for BLG consisted of approximately $7.4 million in cash (taking into account the working capital adjustment) and 15,230 shares of our common stock. The Company incurred approximately $145,000 in transaction costs associated with the acquisition, which are included on the accompanying consolidated statements of income under the caption “other general and administrative.” In allocating the purchase price, the Company recorded approximately $6.3 million of goodwill, $1.6 million of identifiable intangible assets, and $28,000 of net tangible assets. The goodwill balance is primarily attributed to the assembled workforce, additional market opportunities from BLG’s consulting services, and expected synergies from integrating BLG into the operations of the HealthStream Patient Experience Solutions segment. The goodwill balance is deductible for U.S. income tax purposes. The net tangible assets include deferred revenue, which was adjusted down from a book value of $508,000 to an estimated fair value of $254,000. The $254,000 write-down of deferred revenue resulted in lower revenues than would have otherwise been recognized for such services. The results of operations for BLG have been included in the Company’s consolidated financial statements from the date of acquisition, and are included in the HealthStream Patient Experience Solutions segment.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20" w:type="dxa"/>
            <w:vAlign w:val="bottom"/>
          </w:tcPr>
          <w:p>
            <w:pPr>
              <w:spacing w:after="0"/>
              <w:rPr>
                <w:sz w:val="15"/>
                <w:szCs w:val="15"/>
                <w:color w:val="auto"/>
              </w:rPr>
            </w:pPr>
          </w:p>
        </w:tc>
        <w:tc>
          <w:tcPr>
            <w:tcW w:w="6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$ 23,057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35,547</w:t>
            </w:r>
          </w:p>
        </w:tc>
        <w:tc>
          <w:tcPr>
            <w:tcW w:w="12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(26,105)</w:t>
            </w: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$ 12,471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property and equipment totaled approximately $5.3 million and $4.1 million for the years ended December 31, 2015 and 2014,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2015 and 2014 are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Patient</w:t>
            </w:r>
          </w:p>
        </w:tc>
        <w:tc>
          <w:tcPr>
            <w:tcW w:w="11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Provider</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110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2015</w:t>
            </w:r>
          </w:p>
        </w:tc>
        <w:tc>
          <w:tcPr>
            <w:tcW w:w="1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$ 12,336</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HealthLine Systems, LLC</w:t>
            </w:r>
          </w:p>
        </w:tc>
        <w:tc>
          <w:tcPr>
            <w:tcW w:w="12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41,618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long lived assets</w:t>
            </w:r>
          </w:p>
        </w:tc>
        <w:tc>
          <w:tcPr>
            <w:tcW w:w="1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$ 12,336</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46,583</w:t>
            </w: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83,073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Patient</w:t>
            </w:r>
          </w:p>
        </w:tc>
        <w:tc>
          <w:tcPr>
            <w:tcW w:w="11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Provider</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110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2014</w:t>
            </w:r>
          </w:p>
        </w:tc>
        <w:tc>
          <w:tcPr>
            <w:tcW w:w="1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6,168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$35,746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Health Care Compliance Strategies, Inc.</w:t>
            </w:r>
          </w:p>
        </w:tc>
        <w:tc>
          <w:tcPr>
            <w:tcW w:w="1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3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$ 12,336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24,154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41,914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During the quarter ended December 31, 2015, the Company disposed of certain long lived assets meeting the definition of a business. Accordingly, we have allocated approximately $459,000 of reporting unit goodwill to this disposition of assets pursuant to ASC 350, </w:t>
      </w:r>
      <w:r>
        <w:rPr>
          <w:rFonts w:ascii="Times New Roman" w:cs="Times New Roman" w:eastAsia="Times New Roman" w:hAnsi="Times New Roman"/>
          <w:sz w:val="18"/>
          <w:szCs w:val="18"/>
          <w:i w:val="1"/>
          <w:iCs w:val="1"/>
          <w:color w:val="auto"/>
        </w:rPr>
        <w:t>Intangibles – Goodwill and other.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Intangible assets other than goodwill are considered to have finite useful lives. Customer related intangibles are amortized over their estimated useful lives ranging from five to thirteen years. Other intangible assets include non-competition agreements, technology and patents, and trade names, and are being amortized over periods ranging from three to nine years. During the quarter ended December 31, 2015, the Company retired approximately $10.7 million of fully amortized identifiable intangible assets. Gross amounts and related accumulated amortization presented below as of December 31, 2015 are reflective of such retirements. Such amounts are also inclusive of identifiable intangible assets recorded in relation to our acquisition of HealthLine Systems, LLC (see Note 5 – Business Combinations). Amortization of intangible assets was approximately $5.6 million and $2.4 million for the years ended December 31, 2015 and 2014,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comprised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1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3"/>
              </w:rPr>
              <w:t>(6,068)</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$49,503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9,080</w:t>
            </w:r>
          </w:p>
        </w:tc>
        <w:tc>
          <w:tcPr>
            <w:tcW w:w="2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(2,617)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5,300</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64,651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(8,685)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55,966</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28,629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(13,834)</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14,795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expected future annual amortization expense for the years ending December 31, is as follows (in thousands):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call center and enrollment products and services (HealthStream Provider Solutions).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2015, 2014 and 2013 (in thousands).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2760" w:type="dxa"/>
            <w:vAlign w:val="bottom"/>
            <w:gridSpan w:val="4"/>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2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9"/>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500" w:type="dxa"/>
            <w:vAlign w:val="bottom"/>
            <w:gridSpan w:val="2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9. BUSINESS SEGMENTS (continued)</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$161,289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$134,242</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34,193</w:t>
            </w: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28,454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13,520</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6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170,690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132,274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$ 39,986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$ 35,374</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277</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Unallocated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7"/>
              </w:rPr>
              <w:t>(25,418)</w:t>
            </w:r>
          </w:p>
        </w:tc>
        <w:tc>
          <w:tcPr>
            <w:tcW w:w="1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(20,635)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w w:val="97"/>
              </w:rPr>
              <w:t>(16,633)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680" w:type="dxa"/>
            <w:vAlign w:val="bottom"/>
            <w:gridSpan w:val="6"/>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$ 13,557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$ 16,375</w:t>
            </w:r>
          </w:p>
        </w:tc>
        <w:tc>
          <w:tcPr>
            <w:tcW w:w="6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$ 14,666</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Assets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color w:val="auto"/>
              </w:rPr>
              <w:t>Purchases of long-lived assets</w:t>
            </w:r>
          </w:p>
        </w:tc>
        <w:tc>
          <w:tcPr>
            <w:tcW w:w="60" w:type="dxa"/>
            <w:vAlign w:val="bottom"/>
          </w:tcPr>
          <w:p>
            <w:pPr>
              <w:spacing w:after="0"/>
              <w:rPr>
                <w:sz w:val="24"/>
                <w:szCs w:val="24"/>
                <w:color w:val="auto"/>
              </w:rPr>
            </w:pPr>
          </w:p>
        </w:tc>
        <w:tc>
          <w:tcPr>
            <w:tcW w:w="2100" w:type="dxa"/>
            <w:vAlign w:val="bottom"/>
            <w:gridSpan w:val="1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$11,403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0"/>
              </w:rPr>
              <w:t>$6,243</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Patient Experience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34,902</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34,727</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1,277</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726</w:t>
            </w:r>
          </w:p>
        </w:tc>
        <w:tc>
          <w:tcPr>
            <w:tcW w:w="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1,272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100,948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161,344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130,634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117,854</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1,546</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1,675</w:t>
            </w:r>
          </w:p>
        </w:tc>
        <w:tc>
          <w:tcPr>
            <w:tcW w:w="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4,163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379,569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257,262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212,594</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10,202</w:t>
            </w: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8,711</w:t>
            </w:r>
          </w:p>
        </w:tc>
        <w:tc>
          <w:tcPr>
            <w:tcW w:w="580" w:type="dxa"/>
            <w:vAlign w:val="bottom"/>
            <w:tcBorders>
              <w:left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16,997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10,931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20" w:right="280" w:hanging="212"/>
        <w:spacing w:after="0" w:line="266" w:lineRule="auto"/>
        <w:tabs>
          <w:tab w:leader="none" w:pos="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include accounts and unbilled receivables, prepaid royalties,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is comprised of the following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5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70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$3,608</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$3,198</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$2,474</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state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4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1,605</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federal</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501</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1,092</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state</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(109)</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7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5,098</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6,127</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6,424</w:t>
            </w:r>
          </w:p>
        </w:tc>
      </w:tr>
      <w:tr>
        <w:trPr>
          <w:trHeight w:val="20"/>
        </w:trPr>
        <w:tc>
          <w:tcPr>
            <w:tcW w:w="7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at the statutory federal income tax rate to the provision for income taxes included in the accompanying consolidated statements of income is as follows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7120" w:type="dxa"/>
            <w:vAlign w:val="bottom"/>
          </w:tcPr>
          <w:p>
            <w:pPr>
              <w:spacing w:after="0"/>
              <w:rPr>
                <w:sz w:val="15"/>
                <w:szCs w:val="15"/>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provision at the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$4,802</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$ 5,782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provision, net of federal benefit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(1,160)</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valuation allowance</w:t>
            </w:r>
          </w:p>
        </w:tc>
        <w:tc>
          <w:tcPr>
            <w:tcW w:w="9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5,098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$ 6,127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6,424</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periodically evaluates the realizability of its deferred tax assets, and to the extent that a recovery is not likely, a valuation allowance is established to reduce the deferred tax asset to the amount estimated to be recoverable. At December 31, 2015, a valuation allowance of $346,000 exists. The Company adjusts deferred tax liabilities and assets in the period of enactment for the effect of an enacted change in tax laws or rates. Accordingly, the state income tax provision for the period ended December 31, 2015 is inclusive of a deferred tax benefit of $188,000 related to a change in state tax law that will be effective for the Company’s tax year beginning on or after January 1, 2017.</w:t>
      </w:r>
    </w:p>
    <w:p>
      <w:pPr>
        <w:sectPr>
          <w:pgSz w:w="11900" w:h="16838" w:orient="portrait"/>
          <w:cols w:equalWidth="0" w:num="1">
            <w:col w:w="11420"/>
          </w:cols>
          <w:pgMar w:left="240" w:top="446"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46" w:right="2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 (continued)</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2015, the Company had state net operating loss carryforwards of $13.0 million. These loss carryforwards will expire in years 2016 through 2025. The Company is subject to income taxation at the federal and various state levels. The Company is subject to U.S. federal tax examinations for tax years 2012 through 2015. Loss carryforwards and credit carryforwards generated or utilized in years earlier than 2012 are also subject to examination and adjustment. The Company has examinations in process with the Internal Revenue Service for tax years 2013 and 2014. The Company has research and development tax credit carryforwards of $1.9 million that expire in varying amounts through 2035. As of December 31, 2015, the Company had alternative minimum tax credit carryforwards of $816,000 that are available to offset future regular tax liabilities and they do not expire.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liability for gross unrecognized tax benefits at December 31, 2015 and 2014, are as follows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CCEEFF"/>
            </w:tcBorders>
          </w:tcPr>
          <w:p>
            <w:pPr>
              <w:spacing w:after="0"/>
              <w:rPr>
                <w:sz w:val="15"/>
                <w:szCs w:val="15"/>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in the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2,168</w:t>
            </w:r>
          </w:p>
        </w:tc>
        <w:tc>
          <w:tcPr>
            <w:tcW w:w="12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(1,861)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2,168</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recognized approximately $14,000 and $125,000 for interest and penalties related to unrecognized tax benefits within the provision for income taxes during the years ended December 31, 2015 and 2014, respectively. Unrecognized tax benefits included tax positions of approximately $278,000 at both December 31, 2015 and 2014 that if recognized would impact the Company’s effective tax rate. The reduction for tax positions of prior years reflected in the table above as of December 31, 2015 relates to a change in tax accounting method filed with the IRS for tangible property and deferred revenue. The Company estimates that it is reasonably possible the liability for unrecognized tax benefits could decrease up to $0.3 million within the next 12 months.</w:t>
      </w:r>
    </w:p>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credits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difference on investments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Deductible goodwill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intangible assets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assets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difference on investments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4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Incentive Plans</w:t>
      </w:r>
    </w:p>
    <w:p>
      <w:pPr>
        <w:spacing w:after="0" w:line="11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The Company’s 2010 Stock Incentive Plan (2010 Plan) and 2000 Stock Incentive Plan (2000 Plan; collectively, the 2010 Plan and the 2000 Plan referred to as the Plan) authorize the grant of options, restricted share units (RSU),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and parameters of each grant. The vesting period of the options and RSUs granted has historically ranged from immediate vesting to annual vesting up to four years, generally beginning one year after the grant date. As of December 31, 2015, approximately 487,000 shares of unissued common stock remained reserved for future stock incentive grants under the Plan. The Company issues new shares of common stock when options are exercised or when RSUs become vested.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 Activity</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summary of activity and various other information relative to stock options for the year ended December 31, 2015 is presented in the tables below (in thousands, except exercise price).</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4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596</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5"/>
              </w:rPr>
              <w:t>6.18</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4.29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520</w:t>
            </w:r>
          </w:p>
        </w:tc>
        <w:tc>
          <w:tcPr>
            <w:tcW w:w="7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w w:val="95"/>
              </w:rPr>
              <w:t>6.45</w:t>
            </w:r>
          </w:p>
        </w:tc>
        <w:tc>
          <w:tcPr>
            <w:tcW w:w="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6.45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aggregate intrinsic value for stock options in the table above represents the total difference between the Company’s closing stock price on December 31, 2015 (the last trading day of the year) of $22.00 per share and the option exercise price, multiplied by the number of in-the-money options as of December 31, 2015. The weighted average remaining contractual term of options outstanding at December 31, 2015 was 2.5 years. Options exercisable at December 31, 2015 have a weighted average remaining contractual term of 2.5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relative to option activity during the three years ended December 31, 2015 is as follows (in thousands):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26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grant date fair value of stock options vested</w:t>
            </w:r>
          </w:p>
        </w:tc>
        <w:tc>
          <w:tcPr>
            <w:tcW w:w="1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18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1,662</w:t>
            </w:r>
          </w:p>
        </w:tc>
        <w:tc>
          <w:tcPr>
            <w:tcW w:w="4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exercise of stock options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1,094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Share Unit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relative to RSUs for the year ended December 31, 2015 is follows (in thousands, except weighted average grant date fair value):</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36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78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9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BASED COMPENSATION (continued)</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aggregate fair value of RSU awards that vested in 2015 and 2014, as of the respective vesting dates, was approximately $1.4 million and $1.1 million, respectively. A portion of RSUs that vested in 2015 and 2014 were net-share settled such that the Company withheld shares with value equivalent to the employees’ minimum statutory obligation for the applicable income and other employment taxes, and remitted the cash to the appropriate taxing authorities. The total shares withheld for RSUs during 2015 and 2014 were 8,922 and 5,327, respectively, and were based on the value of the RSUs on their respective settlement dates as determined by the Company’s closing stock price. Total payments related to RSUs for the employees’ tax obligations to taxing authorities were approximately $230,000 in 2015 and $161,000 in 2014, and are reflected as a financing activity within the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11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which is recorded in our consolidated statements of income, recorded for the years ended December 31, is as follows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3"/>
        </w:trPr>
        <w:tc>
          <w:tcPr>
            <w:tcW w:w="56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3"/>
              </w:rPr>
              <w:t>1,340</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3"/>
              </w:rPr>
              <w:t>1,114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1,058</w:t>
            </w:r>
          </w:p>
        </w:tc>
      </w:tr>
      <w:tr>
        <w:trPr>
          <w:trHeight w:val="27"/>
        </w:trPr>
        <w:tc>
          <w:tcPr>
            <w:tcW w:w="5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3,280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1,625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1,458</w:t>
            </w:r>
          </w:p>
        </w:tc>
      </w:tr>
      <w:tr>
        <w:trPr>
          <w:trHeight w:val="20"/>
        </w:trPr>
        <w:tc>
          <w:tcPr>
            <w:tcW w:w="5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amortizes the fair value of all stock based awards, net of estimated forfeitures, on a straight-line basis over the requisite service period, which generally is the vesting period. As of December 31, 2015, total unrecognized compensation expense related to non-vested stock options and RSUs was approximately $3.0 million, net of estimated forfeitures, with a weighted average expense recognition period remaining of 2.3 years. The Company realized approximately $3.0 million of excess tax benefits related to stock based awards during the year ended December 31, 2015, which was recorded as an increase to common stock.</w:t>
      </w:r>
    </w:p>
    <w:p>
      <w:pPr>
        <w:spacing w:after="0" w:line="1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Stock based compensation cost for RSUs is measured based on the closing fair market value of the Company’s stock on the date of grant. Stock based compensation cost for stock options is estimated at the grant date based on the fair value calculated using the Black-Scholes method. The Company did not grant any stock options during 2015, 2014, or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Awards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June 2015, the Company’s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The Company recognized approximately $1.5 million of stock based compensation expense for these stock awards during the three months ended June 30, 2015 based on the closing fair market value of the Company’s stock on the date of the Company’s approval of these grants. In connection with these equity awards, effective in the second quarter of 2015, the Company withheld shares with value equivalent to the employees’ minimum statutory obligation for the applicable income and other employment taxes, and remitted the cash to the appropriate taxing authorities. The total shares withheld were 17,279, and were based on the value of the stock awards on the date of the Company’s approval of these grants, as determined by the Company’s closing stock price on that date. Total payments related to the employees’ tax obligations to taxing authorities for these stock awards were approximately $526,000 and are reflected as a financing activity within the consolidated statements of cash flows for the year ended December 31, 2015. These share withholdings had the effect of share repurchases by the Company as they reduced and retired the number of shares otherwise issuable as a result of the stock awards and did not represent an expense to the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ind w:right="8740" w:firstLine="8"/>
        <w:spacing w:after="0" w:line="378" w:lineRule="auto"/>
        <w:tabs>
          <w:tab w:leader="none" w:pos="27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 401(k) Plan</w:t>
      </w: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approximately $645,000 and $274,000 for the years ended December 31, 2015 and 2014,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2015 and 2014, the Company had no debt outstanding.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as well as an accordion feature that allows the Company to increase the Revolving Credit Facility by a total of up to $25.0 million, subject to securing additional commitments from existing lenders or new lending institutions. The Revolving Credit Facility includes a $5.0 million letter of credit subfacility.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2015, the Company was in material compliance with all covenants. There were no balances outstanding on the Revolving Credit Facility as of December 31, 2015. During the three months ended March 31, 2015, the Company borrowed approximately $28.0 million under the Revolving Credit Facility. During the three months ended June 30, 2015, the Company repaid approximately $28.0 million of balances previously outstanding under the Revolving Credit Facility from proceeds received in the Company’s public offering of 3,869,750 shares which closed on May 28, 2015. The weighted average interest rate was 1.68% for borrowings under Revolving Credit Facility during the year ended December 31, 2015.</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non-cancellable operating leases primarily for office space, hosting facilities, and office equipment.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terms of the lease agreements generally provide the Company the option to renew. The Company also leases certain office equipment under operating leases. Total rent expense under all operating leases was approximately $4.3 million, $3.1 million, and $2.4 million, for the years ended December 31, 2015, 2014, and 2013, respectively.</w:t>
      </w:r>
    </w:p>
    <w:p>
      <w:pPr>
        <w:spacing w:after="0" w:line="1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Future rental payment commitments at December 31, 2015 under non-cancelable operating leases, with initial terms of one year or more, are as follows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12,088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LITIGATION</w:t>
      </w:r>
    </w:p>
    <w:p>
      <w:pPr>
        <w:spacing w:after="0" w:line="12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2015, the Company’s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common stock to over 600 employees, with a fair market value of approximately $1.5 million. Mr. Frist contributed 4,931 of the contributed shares noted above to take into account the estimated Company costs, such as administrative expenses and employer payroll taxes associated with the grants. (See Note 11).</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February 2016, the Board of Directors authorized a share repurchase program for up to $25 million of the Company’s outstanding common stock. Repurchases will be made under the repurchase program in accordance with applicable securities laws and may be made at management’s discretion from time to time in the open market, through privately negotiated transactions, or otherwise. The share repurchase program will terminate on the earlier of December 31, 2016 or when the maximum dollar amount has been expended. The share repurchase program may be suspended or discontinued at any time.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2015.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2015.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2015,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were no changes in HealthStream’s internal control over financial reporting that occurred during the fourth quarter of 2015 that have materially affected, or that are reasonably likely to materially affect, HealthStream’s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Information as to directors of the Company and corporate governance is incorporated by reference from the information contained in our 2016 proxy statement for the 2016 Annual Meeting of Shareholders (2016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the information contained in the Company’s 2016 Proxy Statement.</w:t>
      </w:r>
    </w:p>
    <w:p>
      <w:pPr>
        <w:spacing w:after="0" w:line="329" w:lineRule="exact"/>
        <w:rPr>
          <w:sz w:val="20"/>
          <w:szCs w:val="20"/>
          <w:color w:val="auto"/>
        </w:rPr>
      </w:pPr>
    </w:p>
    <w:p>
      <w:pPr>
        <w:ind w:right="29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from the information contained in the Company’s 2016 Proxy Statement.</w:t>
      </w:r>
    </w:p>
    <w:p>
      <w:pPr>
        <w:spacing w:after="0" w:line="154" w:lineRule="exact"/>
        <w:rPr>
          <w:sz w:val="20"/>
          <w:szCs w:val="20"/>
          <w:color w:val="auto"/>
        </w:rPr>
      </w:pPr>
    </w:p>
    <w:p>
      <w:pPr>
        <w:ind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from the information contained in the Company’s 2016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the information contained in the Company’s 2016 Proxy Statement.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80"/>
          </w:cols>
          <w:pgMar w:left="240" w:top="455" w:right="479" w:bottom="1440" w:gutter="0" w:footer="0" w:header="0"/>
        </w:sectPr>
      </w:pPr>
    </w:p>
    <w:bookmarkStart w:id="63" w:name="page64"/>
    <w:bookmarkEnd w:id="6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Reference is made to the financial statements included in Item 8 to this Report on Form 10-K.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the notes thereto.</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(a)(3)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Pr>
          <w:p>
            <w:pPr>
              <w:spacing w:after="0"/>
              <w:rPr>
                <w:sz w:val="16"/>
                <w:szCs w:val="16"/>
                <w:color w:val="auto"/>
              </w:rPr>
            </w:pPr>
          </w:p>
        </w:tc>
        <w:tc>
          <w:tcPr>
            <w:tcW w:w="8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360" w:type="dxa"/>
            <w:vAlign w:val="bottom"/>
            <w:gridSpan w:val="3"/>
          </w:tcPr>
          <w:p>
            <w:pPr>
              <w:ind w:left="4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86"/>
        </w:trPr>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Membership Interest Purchase Agreement, dated as of February 12, 2015, between HealthStream, Inc., Littrell Holdings, Inc., HealthLine</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Systems, Inc., the Shareholders of HealthLine Systems, Inc., and Dan Littrell in his individual capacity and as the Shareholders</w:t>
            </w: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Representative.</w:t>
            </w:r>
          </w:p>
        </w:tc>
      </w:tr>
      <w:tr>
        <w:trPr>
          <w:trHeight w:val="324"/>
        </w:trPr>
        <w:tc>
          <w:tcPr>
            <w:tcW w:w="66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Fourth Amended and Restated Charter of HealthStream, Inc.</w:t>
            </w:r>
          </w:p>
        </w:tc>
      </w:tr>
      <w:tr>
        <w:trPr>
          <w:trHeight w:val="324"/>
        </w:trPr>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5"/>
                <w:szCs w:val="15"/>
                <w:color w:val="auto"/>
              </w:rPr>
              <w:t>(7)</w:t>
            </w:r>
            <w:r>
              <w:rPr>
                <w:rFonts w:ascii="Times New Roman" w:cs="Times New Roman" w:eastAsia="Times New Roman" w:hAnsi="Times New Roman"/>
                <w:sz w:val="18"/>
                <w:szCs w:val="18"/>
                <w:color w:val="auto"/>
              </w:rPr>
              <w:t>*</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Second Amended and Restated Bylaws of HealthStream, Inc.</w:t>
            </w:r>
          </w:p>
        </w:tc>
      </w:tr>
      <w:tr>
        <w:trPr>
          <w:trHeight w:val="324"/>
        </w:trPr>
        <w:tc>
          <w:tcPr>
            <w:tcW w:w="66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certificate representing the common stock, no par value per share, of HealthStream, Inc.</w:t>
            </w:r>
          </w:p>
        </w:tc>
      </w:tr>
      <w:tr>
        <w:trPr>
          <w:trHeight w:val="324"/>
        </w:trPr>
        <w:tc>
          <w:tcPr>
            <w:tcW w:w="66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Reference is made to Exhibits 3.1 and 3.2.</w:t>
            </w: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2000 Stock Incentive Plan, effective as of April 10, 2000</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5"/>
                <w:szCs w:val="15"/>
                <w:color w:val="auto"/>
              </w:rPr>
              <w:t>(5)</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2010 Stock Incentive Plan, effective as of May 27, 2010</w:t>
            </w: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5"/>
                <w:szCs w:val="15"/>
                <w:color w:val="auto"/>
              </w:rPr>
              <w:t>(2)</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Employment Agreement, dated July 21, 2005, between HealthStream, Inc. and Robert A. Frist, Jr.</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5"/>
                <w:szCs w:val="15"/>
                <w:color w:val="auto"/>
              </w:rPr>
              <w:t>(3)</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(Employees)</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5"/>
                <w:szCs w:val="15"/>
                <w:color w:val="auto"/>
              </w:rPr>
              <w:t>(3)</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Incentive Stock Option Agreement (Employees)</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5"/>
                <w:szCs w:val="15"/>
                <w:color w:val="auto"/>
              </w:rPr>
              <w:t>(3)</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(Directors)</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5"/>
                <w:szCs w:val="15"/>
                <w:color w:val="auto"/>
              </w:rPr>
              <w:t>(4)</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(Officers)</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5"/>
                <w:szCs w:val="15"/>
                <w:color w:val="auto"/>
              </w:rPr>
              <w:t>(4)</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(Non-Employee Director)</w:t>
            </w:r>
          </w:p>
        </w:tc>
      </w:tr>
      <w:tr>
        <w:trPr>
          <w:trHeight w:val="306"/>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5"/>
                <w:szCs w:val="15"/>
                <w:color w:val="auto"/>
              </w:rPr>
              <w:t>(6)</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Revolving Credit Agreement, dated November 24, 2014, by and among HealthStream, Inc., the several banks and other financial institutions</w:t>
            </w: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lenders from time to time party thereto and SunTrust Bank, as administrative agent, issuing bank, and swingline lender</w:t>
            </w: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Summary of Director and Executive Officer Compensation</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5"/>
                <w:szCs w:val="15"/>
                <w:color w:val="auto"/>
              </w:rPr>
              <w:t>(8)</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HealthStream, Inc. 2015 Cash Incentive Bonus Plan</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5"/>
                <w:szCs w:val="15"/>
                <w:color w:val="auto"/>
              </w:rPr>
              <w:t>(8)</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Contribution Agreement, dated as of June 30, 2015, between HealthStream, Inc. and Robert A. Frist, Jr.</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15"/>
                <w:szCs w:val="15"/>
                <w:color w:val="auto"/>
              </w:rPr>
              <w:t>(9)</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Letter Agreement, dated as of September 24, 2015, between HealthStream, Inc. and Michael Sousa.</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5"/>
                <w:szCs w:val="15"/>
                <w:color w:val="auto"/>
              </w:rPr>
              <w:t>(9)</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(Performance) between HealthStream, Inc. and Michael Sousa.</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5"/>
                <w:szCs w:val="15"/>
                <w:color w:val="auto"/>
              </w:rPr>
              <w:t>(9)</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(Cumulative) between HealthStream, Inc. and Michael Sousa.</w:t>
            </w: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5"/>
                <w:szCs w:val="15"/>
                <w:color w:val="auto"/>
              </w:rPr>
              <w:t>(9)</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2015 Provider Solutions Cash Incentive Bonus Plan.</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Subsidiaries of HealthStream, Inc.</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32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INS</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SCH</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LAB</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25" w:lineRule="exact"/>
        <w:rPr>
          <w:sz w:val="20"/>
          <w:szCs w:val="20"/>
          <w:color w:val="auto"/>
        </w:rPr>
      </w:pPr>
    </w:p>
    <w:p>
      <w:pPr>
        <w:ind w:right="2740" w:firstLine="8"/>
        <w:spacing w:after="0" w:line="261" w:lineRule="auto"/>
        <w:tabs>
          <w:tab w:leader="none" w:pos="4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on Form S-1, as amended (Reg. No. 333-88939). ^ Management contract or compensatory plan or arrangement</w:t>
      </w: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February 13,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July 25, 2005.</w:t>
      </w:r>
    </w:p>
    <w:p>
      <w:pPr>
        <w:sectPr>
          <w:pgSz w:w="11900" w:h="16848" w:orient="portrait"/>
          <w:cols w:equalWidth="0" w:num="1">
            <w:col w:w="11400"/>
          </w:cols>
          <w:pgMar w:left="240" w:top="455" w:right="259" w:bottom="0" w:gutter="0" w:footer="0" w:header="0"/>
        </w:sectPr>
      </w:pPr>
    </w:p>
    <w:bookmarkStart w:id="64" w:name="page65"/>
    <w:bookmarkEnd w:id="64"/>
    <w:p>
      <w:pPr>
        <w:ind w:left="452" w:hanging="452"/>
        <w:spacing w:after="0"/>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June 1, 2010.</w:t>
      </w:r>
    </w:p>
    <w:p>
      <w:pPr>
        <w:spacing w:after="0" w:line="27" w:lineRule="exact"/>
        <w:rPr>
          <w:rFonts w:ascii="Times New Roman" w:cs="Times New Roman" w:eastAsia="Times New Roman" w:hAnsi="Times New Roman"/>
          <w:sz w:val="18"/>
          <w:szCs w:val="18"/>
          <w:color w:val="auto"/>
        </w:rPr>
      </w:pPr>
    </w:p>
    <w:p>
      <w:pPr>
        <w:ind w:left="452" w:hanging="452"/>
        <w:spacing w:after="0" w:line="250" w:lineRule="auto"/>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 2012 filed with the SEC on April 30, 2012.</w:t>
      </w:r>
    </w:p>
    <w:p>
      <w:pPr>
        <w:ind w:left="452" w:hanging="452"/>
        <w:spacing w:after="0"/>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B of the Company’s Definitive Proxy Statement filed with the SEC on April 29, 2010.</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November 25, 2014.</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October 23, 2015.</w:t>
      </w:r>
    </w:p>
    <w:p>
      <w:pPr>
        <w:spacing w:after="0" w:line="9" w:lineRule="exact"/>
        <w:rPr>
          <w:rFonts w:ascii="Times New Roman" w:cs="Times New Roman" w:eastAsia="Times New Roman" w:hAnsi="Times New Roman"/>
          <w:sz w:val="18"/>
          <w:szCs w:val="18"/>
          <w:color w:val="auto"/>
        </w:rPr>
      </w:pPr>
    </w:p>
    <w:p>
      <w:pPr>
        <w:ind w:left="452" w:right="100" w:hanging="452"/>
        <w:spacing w:after="0" w:line="250" w:lineRule="auto"/>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 2015, filed with the SEC on July 31, 2015.</w:t>
      </w:r>
    </w:p>
    <w:p>
      <w:pPr>
        <w:ind w:left="452" w:right="40" w:hanging="452"/>
        <w:spacing w:after="0" w:line="261" w:lineRule="auto"/>
        <w:tabs>
          <w:tab w:leader="none" w:pos="4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September 30, 2015, filed with the SEC on October 30, 2015.</w:t>
      </w:r>
    </w:p>
    <w:p>
      <w:pPr>
        <w:spacing w:after="0" w:line="112"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92"/>
          </w:cols>
          <w:pgMar w:left="248" w:top="121"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February, 2016.</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R</w:t>
      </w:r>
      <w:r>
        <w:rPr>
          <w:rFonts w:ascii="Times New Roman" w:cs="Times New Roman" w:eastAsia="Times New Roman" w:hAnsi="Times New Roman"/>
          <w:sz w:val="15"/>
          <w:szCs w:val="15"/>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5"/>
          <w:szCs w:val="15"/>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80" w:type="dxa"/>
            <w:vAlign w:val="bottom"/>
            <w:gridSpan w:val="3"/>
          </w:tcPr>
          <w:p>
            <w:pPr>
              <w:ind w:left="2420"/>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14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R</w:t>
            </w:r>
            <w:r>
              <w:rPr>
                <w:rFonts w:ascii="Times New Roman" w:cs="Times New Roman" w:eastAsia="Times New Roman" w:hAnsi="Times New Roman"/>
                <w:sz w:val="15"/>
                <w:szCs w:val="15"/>
                <w:color w:val="auto"/>
                <w:w w:val="99"/>
              </w:rPr>
              <w:t>OBERT</w:t>
            </w:r>
            <w:r>
              <w:rPr>
                <w:rFonts w:ascii="Times New Roman" w:cs="Times New Roman" w:eastAsia="Times New Roman" w:hAnsi="Times New Roman"/>
                <w:sz w:val="18"/>
                <w:szCs w:val="18"/>
                <w:color w:val="auto"/>
                <w:w w:val="99"/>
              </w:rPr>
              <w:t xml:space="preserve"> A. F</w:t>
            </w:r>
            <w:r>
              <w:rPr>
                <w:rFonts w:ascii="Times New Roman" w:cs="Times New Roman" w:eastAsia="Times New Roman" w:hAnsi="Times New Roman"/>
                <w:sz w:val="15"/>
                <w:szCs w:val="15"/>
                <w:color w:val="auto"/>
                <w:w w:val="99"/>
              </w:rPr>
              <w:t>RIST</w:t>
            </w:r>
            <w:r>
              <w:rPr>
                <w:rFonts w:ascii="Times New Roman" w:cs="Times New Roman" w:eastAsia="Times New Roman" w:hAnsi="Times New Roman"/>
                <w:sz w:val="18"/>
                <w:szCs w:val="18"/>
                <w:color w:val="auto"/>
                <w:w w:val="99"/>
              </w:rPr>
              <w:t>, J</w:t>
            </w:r>
            <w:r>
              <w:rPr>
                <w:rFonts w:ascii="Times New Roman" w:cs="Times New Roman" w:eastAsia="Times New Roman" w:hAnsi="Times New Roman"/>
                <w:sz w:val="15"/>
                <w:szCs w:val="15"/>
                <w:color w:val="auto"/>
                <w:w w:val="99"/>
              </w:rPr>
              <w:t>R</w:t>
            </w:r>
            <w:r>
              <w:rPr>
                <w:rFonts w:ascii="Times New Roman" w:cs="Times New Roman" w:eastAsia="Times New Roman" w:hAnsi="Times New Roman"/>
                <w:sz w:val="18"/>
                <w:szCs w:val="18"/>
                <w:color w:val="auto"/>
                <w:w w:val="99"/>
              </w:rPr>
              <w:t>.</w:t>
            </w: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Chairman (Principal Executive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A. Frist, Jr.</w:t>
            </w:r>
          </w:p>
        </w:tc>
        <w:tc>
          <w:tcPr>
            <w:tcW w:w="5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Senior Vice President (Principal Financial</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5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and Accounting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5"/>
                <w:szCs w:val="15"/>
                <w:color w:val="auto"/>
              </w:rPr>
              <w:t>HOMPSON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ENT</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Thompson Dent</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5"/>
                <w:szCs w:val="15"/>
                <w:color w:val="auto"/>
              </w:rPr>
              <w:t>RANK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5"/>
                <w:szCs w:val="15"/>
                <w:color w:val="auto"/>
              </w:rPr>
              <w:t>ORDON</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Gordon</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 M</w:t>
            </w:r>
            <w:r>
              <w:rPr>
                <w:rFonts w:ascii="Times New Roman" w:cs="Times New Roman" w:eastAsia="Times New Roman" w:hAnsi="Times New Roman"/>
                <w:sz w:val="15"/>
                <w:szCs w:val="15"/>
                <w:color w:val="auto"/>
              </w:rPr>
              <w:t>ARTIN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5"/>
                <w:szCs w:val="15"/>
                <w:color w:val="auto"/>
              </w:rPr>
              <w:t>ARRIS</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Martin Harris</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5"/>
                <w:szCs w:val="15"/>
                <w:color w:val="auto"/>
              </w:rPr>
              <w:t>EFFREY</w:t>
            </w:r>
            <w:r>
              <w:rPr>
                <w:rFonts w:ascii="Times New Roman" w:cs="Times New Roman" w:eastAsia="Times New Roman" w:hAnsi="Times New Roman"/>
                <w:sz w:val="18"/>
                <w:szCs w:val="18"/>
                <w:color w:val="auto"/>
              </w:rPr>
              <w:t xml:space="preserve"> L. M</w:t>
            </w:r>
            <w:r>
              <w:rPr>
                <w:rFonts w:ascii="Times New Roman" w:cs="Times New Roman" w:eastAsia="Times New Roman" w:hAnsi="Times New Roman"/>
                <w:sz w:val="15"/>
                <w:szCs w:val="15"/>
                <w:color w:val="auto"/>
              </w:rPr>
              <w:t>C</w:t>
            </w:r>
            <w:r>
              <w:rPr>
                <w:rFonts w:ascii="Times New Roman" w:cs="Times New Roman" w:eastAsia="Times New Roman" w:hAnsi="Times New Roman"/>
                <w:sz w:val="18"/>
                <w:szCs w:val="18"/>
                <w:color w:val="auto"/>
              </w:rPr>
              <w:t>L</w:t>
            </w:r>
            <w:r>
              <w:rPr>
                <w:rFonts w:ascii="Times New Roman" w:cs="Times New Roman" w:eastAsia="Times New Roman" w:hAnsi="Times New Roman"/>
                <w:sz w:val="15"/>
                <w:szCs w:val="15"/>
                <w:color w:val="auto"/>
              </w:rPr>
              <w:t>AREN</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L. McLaren</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5"/>
                <w:szCs w:val="15"/>
                <w:color w:val="auto"/>
              </w:rPr>
              <w:t>ALE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OLLEY</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Dale Polley</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5"/>
                <w:szCs w:val="15"/>
                <w:color w:val="auto"/>
              </w:rPr>
              <w:t>INDA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5"/>
                <w:szCs w:val="15"/>
                <w:color w:val="auto"/>
              </w:rPr>
              <w:t>EBROVICK</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Linda Rebrovick</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ICHAEL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HMERLING</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Shmerling</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5"/>
                <w:szCs w:val="15"/>
                <w:color w:val="auto"/>
              </w:rPr>
              <w:t>ILLIAM</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TEAD</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Stead</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5"/>
                <w:szCs w:val="15"/>
                <w:color w:val="auto"/>
              </w:rPr>
              <w:t>EBORAH</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5"/>
                <w:szCs w:val="15"/>
                <w:color w:val="auto"/>
              </w:rPr>
              <w:t>AYLOR</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5"/>
                <w:szCs w:val="15"/>
                <w:color w:val="auto"/>
              </w:rPr>
              <w:t>ATE</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26, 2016</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Deborah Taylor Tate</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0"/>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180"/>
          </w:cols>
          <w:pgMar w:left="240" w:top="455" w:right="479" w:bottom="1440" w:gutter="0" w:footer="0" w:header="0"/>
        </w:sectPr>
      </w:pPr>
    </w:p>
    <w:bookmarkStart w:id="66" w:name="page67"/>
    <w:bookmarkEnd w:id="6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6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160" w:type="dxa"/>
            <w:vAlign w:val="bottom"/>
          </w:tcPr>
          <w:p>
            <w:pPr>
              <w:spacing w:after="0"/>
              <w:rPr>
                <w:sz w:val="24"/>
                <w:szCs w:val="24"/>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60" w:type="dxa"/>
            <w:vAlign w:val="bottom"/>
            <w:gridSpan w:val="3"/>
            <w:vMerge w:val="restart"/>
          </w:tcPr>
          <w:p>
            <w:pPr>
              <w:ind w:left="4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Membership Interest Purchase Agreement, dated as of February 12, 2015, between HealthStream, Inc., Littrell Holdings, Inc., HealthLine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Systems, Inc., the Shareholders of HealthLine Systems, Inc., and Dan Littrell in his individual capacity and as the Shareholders</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Representative.</w:t>
            </w: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Fourth Amended and Restated Charter of HealthStream, Inc.</w:t>
            </w:r>
          </w:p>
        </w:tc>
        <w:tc>
          <w:tcPr>
            <w:tcW w:w="0" w:type="dxa"/>
            <w:vAlign w:val="bottom"/>
          </w:tcPr>
          <w:p>
            <w:pPr>
              <w:spacing w:after="0"/>
              <w:rPr>
                <w:sz w:val="1"/>
                <w:szCs w:val="1"/>
                <w:color w:val="auto"/>
              </w:rPr>
            </w:pPr>
          </w:p>
        </w:tc>
      </w:tr>
      <w:tr>
        <w:trPr>
          <w:trHeight w:val="324"/>
        </w:trPr>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5"/>
                <w:szCs w:val="15"/>
                <w:color w:val="auto"/>
              </w:rPr>
              <w:t>(7)</w:t>
            </w:r>
            <w:r>
              <w:rPr>
                <w:rFonts w:ascii="Times New Roman" w:cs="Times New Roman" w:eastAsia="Times New Roman" w:hAnsi="Times New Roman"/>
                <w:sz w:val="18"/>
                <w:szCs w:val="18"/>
                <w:color w:val="auto"/>
              </w:rPr>
              <w:t>*</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Second Amended and Restated Bylaws of HealthStream, Inc.</w:t>
            </w: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certificate representing the common stock, no par value per share, of HealthStream, Inc.</w:t>
            </w: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73"/>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0" w:type="dxa"/>
            <w:vAlign w:val="bottom"/>
          </w:tcPr>
          <w:p>
            <w:pPr>
              <w:spacing w:after="0"/>
              <w:rPr>
                <w:sz w:val="1"/>
                <w:szCs w:val="1"/>
                <w:color w:val="auto"/>
              </w:rPr>
            </w:pP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2000 Stock Incentive Plan, effective as of April 10, 2000</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5"/>
                <w:szCs w:val="15"/>
                <w:color w:val="auto"/>
              </w:rPr>
              <w:t>(5)</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2010 Stock Incentive Plan, effective as of May 27, 2010</w:t>
            </w:r>
          </w:p>
        </w:tc>
        <w:tc>
          <w:tcPr>
            <w:tcW w:w="0" w:type="dxa"/>
            <w:vAlign w:val="bottom"/>
          </w:tcPr>
          <w:p>
            <w:pPr>
              <w:spacing w:after="0"/>
              <w:rPr>
                <w:sz w:val="1"/>
                <w:szCs w:val="1"/>
                <w:color w:val="auto"/>
              </w:rPr>
            </w:pP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Indemnification Agreement</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5"/>
                <w:szCs w:val="15"/>
                <w:color w:val="auto"/>
              </w:rPr>
              <w:t>(2)</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Employment Agreement, dated July 21, 2005, between HealthStream, Inc. and Robert A. Frist, Jr.</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5"/>
                <w:szCs w:val="15"/>
                <w:color w:val="auto"/>
              </w:rPr>
              <w:t>(3)</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(Employees)</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5"/>
                <w:szCs w:val="15"/>
                <w:color w:val="auto"/>
              </w:rPr>
              <w:t>(3)</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Incentive Stock Option Agreement (Employees)</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5"/>
                <w:szCs w:val="15"/>
                <w:color w:val="auto"/>
              </w:rPr>
              <w:t>(3)</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(Directors)</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5"/>
                <w:szCs w:val="15"/>
                <w:color w:val="auto"/>
              </w:rPr>
              <w:t>(4)</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(Officers)</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5"/>
                <w:szCs w:val="15"/>
                <w:color w:val="auto"/>
              </w:rPr>
              <w:t>(4)</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(Non-Employee Director)</w:t>
            </w:r>
          </w:p>
        </w:tc>
        <w:tc>
          <w:tcPr>
            <w:tcW w:w="0" w:type="dxa"/>
            <w:vAlign w:val="bottom"/>
          </w:tcPr>
          <w:p>
            <w:pPr>
              <w:spacing w:after="0"/>
              <w:rPr>
                <w:sz w:val="1"/>
                <w:szCs w:val="1"/>
                <w:color w:val="auto"/>
              </w:rPr>
            </w:pPr>
          </w:p>
        </w:tc>
      </w:tr>
      <w:tr>
        <w:trPr>
          <w:trHeight w:val="306"/>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5"/>
                <w:szCs w:val="15"/>
                <w:color w:val="auto"/>
              </w:rPr>
              <w:t>(6)</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Revolving Credit Agreement, dated November 24, 2014, by and among HealthStream, Inc., the several banks and other financial institutions</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lenders from time to time party thereto and SunTrust Bank, as administrative agent, issuing bank, and swingline lender</w:t>
            </w:r>
          </w:p>
        </w:tc>
        <w:tc>
          <w:tcPr>
            <w:tcW w:w="0" w:type="dxa"/>
            <w:vAlign w:val="bottom"/>
          </w:tcPr>
          <w:p>
            <w:pPr>
              <w:spacing w:after="0"/>
              <w:rPr>
                <w:sz w:val="1"/>
                <w:szCs w:val="1"/>
                <w:color w:val="auto"/>
              </w:rPr>
            </w:pP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Summary of Director and Executive Officer Compensation</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5"/>
                <w:szCs w:val="15"/>
                <w:color w:val="auto"/>
              </w:rPr>
              <w:t>(8)</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HealthStream, Inc. 2015 Cash Incentive Bonus Plan</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5"/>
                <w:szCs w:val="15"/>
                <w:color w:val="auto"/>
              </w:rPr>
              <w:t>(8)</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Contribution Agreement, dated as of June 30, 2015, between HealthStream, Inc. and Robert A. Frist, Jr.</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15"/>
                <w:szCs w:val="15"/>
                <w:color w:val="auto"/>
              </w:rPr>
              <w:t>(9)</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Letter Agreement, dated as of September 24, 2015, between HealthStream, Inc. and Michael Sousa.</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5"/>
                <w:szCs w:val="15"/>
                <w:color w:val="auto"/>
              </w:rPr>
              <w:t>(9)</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(Performance) between HealthStream, Inc. and Michael Sousa.</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5"/>
                <w:szCs w:val="15"/>
                <w:color w:val="auto"/>
              </w:rPr>
              <w:t>(9)</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(Cumulative) between HealthStream, Inc. and Michael Sousa.</w:t>
            </w:r>
          </w:p>
        </w:tc>
        <w:tc>
          <w:tcPr>
            <w:tcW w:w="0" w:type="dxa"/>
            <w:vAlign w:val="bottom"/>
          </w:tcPr>
          <w:p>
            <w:pPr>
              <w:spacing w:after="0"/>
              <w:rPr>
                <w:sz w:val="1"/>
                <w:szCs w:val="1"/>
                <w:color w:val="auto"/>
              </w:rPr>
            </w:pPr>
          </w:p>
        </w:tc>
      </w:tr>
      <w:tr>
        <w:trPr>
          <w:trHeight w:val="324"/>
        </w:trPr>
        <w:tc>
          <w:tcPr>
            <w:tcW w:w="1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5"/>
                <w:szCs w:val="15"/>
                <w:color w:val="auto"/>
              </w:rPr>
              <w:t>(9)</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2015 Provider Solutions Cash Incentive Bonus Plan.</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Subsidiaries of HealthStream, Inc.</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INS</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24"/>
        </w:trPr>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101.1 SCH</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101.2</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24"/>
        </w:trPr>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101.1 LAB</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740" w:firstLine="8"/>
        <w:spacing w:after="0" w:line="261" w:lineRule="auto"/>
        <w:tabs>
          <w:tab w:leader="none" w:pos="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on Form S-1, as amended (Reg. No. 333-88939). ^ Management contract or compensatory plan or arrangement</w:t>
      </w: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February 13,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July 25,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June 1, 2010.</w:t>
      </w:r>
    </w:p>
    <w:p>
      <w:pPr>
        <w:spacing w:after="0" w:line="9"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 2012 filed with the SEC on April 30, 2012.</w:t>
      </w: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B of the Company’s Definitive Proxy Statement filed with the SEC on April 29,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November 25,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October 23, 2015.</w:t>
      </w:r>
    </w:p>
    <w:p>
      <w:pPr>
        <w:spacing w:after="0" w:line="9"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 2015, filed with the SEC on July 31, 2015.</w:t>
      </w:r>
    </w:p>
    <w:p>
      <w:pPr>
        <w:ind w:left="460" w:right="140" w:hanging="452"/>
        <w:spacing w:after="0" w:line="261"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September 30, 2015, filed with the SEC on October 30, 2015.</w:t>
      </w:r>
    </w:p>
    <w:p>
      <w:pPr>
        <w:sectPr>
          <w:pgSz w:w="11900" w:h="16915" w:orient="portrait"/>
          <w:cols w:equalWidth="0" w:num="1">
            <w:col w:w="11400"/>
          </w:cols>
          <w:pgMar w:left="240" w:top="455" w:right="259" w:bottom="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EXHIBIT 10.11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Director and Executive Officer Compensation</w:t>
      </w:r>
    </w:p>
    <w:p>
      <w:pPr>
        <w:spacing w:after="0" w:line="2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Director Compensation</w:t>
      </w:r>
      <w:r>
        <w:rPr>
          <w:rFonts w:ascii="Times New Roman" w:cs="Times New Roman" w:eastAsia="Times New Roman" w:hAnsi="Times New Roman"/>
          <w:sz w:val="18"/>
          <w:szCs w:val="18"/>
          <w:color w:val="auto"/>
        </w:rPr>
        <w:t>. Directors who are employees of the Company do not receive additional compensation for serving as directors of the Company. The following table sets forth current rates of cash compensation for the Company’s non-employee directors. For fiscal year 2016, each director will receive an annual retainer of $5,000, except for the Audit Committee Chair and Nominating and Corporate Governance Chair, who will receive an additional annual retainer of $7,500, and the Compensation Committee Chair, who will receive an additional annual retainer of $2,000. Non-employee directors will also receive a $15,000 flat-fee for board and committee meeting attendance and participation.</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cash compensation set forth above, each non-employee director is eligible to receive a nondiscretionary annual grant of restricted share units for conversion to shares of the Company’s common stock. The restricted share units are granted annually and vest ratably over a three year period.</w:t>
      </w:r>
    </w:p>
    <w:p>
      <w:pPr>
        <w:spacing w:after="0" w:line="158" w:lineRule="exact"/>
        <w:rPr>
          <w:sz w:val="20"/>
          <w:szCs w:val="20"/>
          <w:color w:val="auto"/>
        </w:rPr>
      </w:pPr>
    </w:p>
    <w:p>
      <w:pPr>
        <w:ind w:right="100" w:firstLine="8"/>
        <w:spacing w:after="0" w:line="286" w:lineRule="auto"/>
        <w:tabs>
          <w:tab w:leader="none" w:pos="2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Officer Compensation</w:t>
      </w:r>
      <w:r>
        <w:rPr>
          <w:rFonts w:ascii="Times New Roman" w:cs="Times New Roman" w:eastAsia="Times New Roman" w:hAnsi="Times New Roman"/>
          <w:sz w:val="18"/>
          <w:szCs w:val="18"/>
          <w:color w:val="auto"/>
        </w:rPr>
        <w:t>. The following table sets forth the current base salaries and fiscal 2015 performance bonuses provided to 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including the individuals who the Company expects to be its Named Executive Officers for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288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Current Base Salary</w:t>
            </w: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2015 Bonus Amount</w:t>
            </w:r>
          </w:p>
        </w:tc>
      </w:tr>
      <w:tr>
        <w:trPr>
          <w:trHeight w:val="20"/>
        </w:trPr>
        <w:tc>
          <w:tcPr>
            <w:tcW w:w="108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45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A. Frist, Jr.</w:t>
            </w:r>
          </w:p>
        </w:tc>
        <w:tc>
          <w:tcPr>
            <w:tcW w:w="2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296,801</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89,040</w:t>
            </w:r>
          </w:p>
        </w:tc>
        <w:tc>
          <w:tcPr>
            <w:tcW w:w="100" w:type="dxa"/>
            <w:vAlign w:val="bottom"/>
            <w:shd w:val="clear" w:color="auto" w:fill="CCEEFF"/>
          </w:tcPr>
          <w:p>
            <w:pPr>
              <w:spacing w:after="0"/>
              <w:rPr>
                <w:sz w:val="17"/>
                <w:szCs w:val="17"/>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Edward Pearson</w:t>
            </w:r>
          </w:p>
        </w:tc>
        <w:tc>
          <w:tcPr>
            <w:tcW w:w="326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280,446</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84,134</w:t>
            </w: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326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258,695</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77,609</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Doster</w:t>
            </w:r>
          </w:p>
        </w:tc>
        <w:tc>
          <w:tcPr>
            <w:tcW w:w="326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256,208</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76,862</w:t>
            </w: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Sousa</w:t>
            </w:r>
          </w:p>
        </w:tc>
        <w:tc>
          <w:tcPr>
            <w:tcW w:w="326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270,400</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108,160</w:t>
            </w:r>
          </w:p>
        </w:tc>
        <w:tc>
          <w:tcPr>
            <w:tcW w:w="100" w:type="dxa"/>
            <w:vAlign w:val="bottom"/>
            <w:shd w:val="clear" w:color="auto" w:fill="CCEEFF"/>
          </w:tcPr>
          <w:p>
            <w:pPr>
              <w:spacing w:after="0"/>
              <w:rPr>
                <w:sz w:val="18"/>
                <w:szCs w:val="18"/>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Schultz</w:t>
            </w:r>
          </w:p>
        </w:tc>
        <w:tc>
          <w:tcPr>
            <w:tcW w:w="326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207,000</w:t>
            </w:r>
          </w:p>
        </w:tc>
        <w:tc>
          <w:tcPr>
            <w:tcW w:w="5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targets for 2016 cash bonuses and 2016 equity grants for executive officers have not yet been determined by the Compensation Committee.</w:t>
      </w:r>
    </w:p>
    <w:p>
      <w:pPr>
        <w:spacing w:after="0" w:line="221" w:lineRule="exact"/>
        <w:rPr>
          <w:sz w:val="20"/>
          <w:szCs w:val="20"/>
          <w:color w:val="auto"/>
        </w:rPr>
      </w:pPr>
    </w:p>
    <w:p>
      <w:pPr>
        <w:ind w:right="440" w:firstLine="8"/>
        <w:spacing w:after="0" w:line="286"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The foregoing information is summary in nature. Additional information regarding Director and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will be contained in the Company’s 2016 Proxy Statement.</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HEALTHSTREAM,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560" w:type="dxa"/>
            <w:vAlign w:val="bottom"/>
            <w:gridSpan w:val="3"/>
          </w:tcPr>
          <w:p>
            <w:pPr>
              <w:jc w:val="center"/>
              <w:ind w:left="3808"/>
              <w:spacing w:after="0"/>
              <w:rPr>
                <w:sz w:val="20"/>
                <w:szCs w:val="20"/>
                <w:color w:val="auto"/>
              </w:rPr>
            </w:pPr>
            <w:r>
              <w:rPr>
                <w:rFonts w:ascii="Times New Roman" w:cs="Times New Roman" w:eastAsia="Times New Roman" w:hAnsi="Times New Roman"/>
                <w:sz w:val="14"/>
                <w:szCs w:val="14"/>
                <w:color w:val="auto"/>
              </w:rPr>
              <w:t>State or Other Jurisdiction of</w:t>
            </w:r>
          </w:p>
        </w:tc>
      </w:tr>
      <w:tr>
        <w:trPr>
          <w:trHeight w:val="149"/>
        </w:trPr>
        <w:tc>
          <w:tcPr>
            <w:tcW w:w="1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Incorporation or</w:t>
            </w:r>
          </w:p>
        </w:tc>
      </w:tr>
      <w:tr>
        <w:trPr>
          <w:trHeight w:val="171"/>
        </w:trPr>
        <w:tc>
          <w:tcPr>
            <w:tcW w:w="1820" w:type="dxa"/>
            <w:vAlign w:val="bottom"/>
          </w:tcPr>
          <w:p>
            <w:pPr>
              <w:spacing w:after="0"/>
              <w:rPr>
                <w:sz w:val="14"/>
                <w:szCs w:val="14"/>
                <w:color w:val="auto"/>
              </w:rPr>
            </w:pPr>
          </w:p>
        </w:tc>
        <w:tc>
          <w:tcPr>
            <w:tcW w:w="22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Names Under Which We Do Business</w:t>
            </w:r>
          </w:p>
        </w:tc>
        <w:tc>
          <w:tcPr>
            <w:tcW w:w="3880" w:type="dxa"/>
            <w:vAlign w:val="bottom"/>
          </w:tcPr>
          <w:p>
            <w:pPr>
              <w:spacing w:after="0"/>
              <w:rPr>
                <w:sz w:val="14"/>
                <w:szCs w:val="14"/>
                <w:color w:val="auto"/>
              </w:rPr>
            </w:pPr>
          </w:p>
        </w:tc>
        <w:tc>
          <w:tcPr>
            <w:tcW w:w="16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color w:val="auto"/>
              </w:rPr>
              <w:t>Organization</w:t>
            </w:r>
          </w:p>
        </w:tc>
      </w:tr>
      <w:tr>
        <w:trPr>
          <w:trHeight w:val="20"/>
        </w:trPr>
        <w:tc>
          <w:tcPr>
            <w:tcW w:w="18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Management &amp; Research,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Jackson Organization, Research Consultants, Inc.</w:t>
            </w:r>
          </w:p>
        </w:tc>
        <w:tc>
          <w:tcPr>
            <w:tcW w:w="38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Decision Critical,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Care Compliance Strategies,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HealthStream Acquisition I,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HealthStream Acquisition II,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Tennessee</w:t>
            </w: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31" w:lineRule="exact"/>
        <w:rPr>
          <w:sz w:val="20"/>
          <w:szCs w:val="20"/>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333-167241) pertaining to the 2010 Stock Incentive Plan of HealthStream, Inc.,</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333-37440) pertaining to the 1994 Employee Stock Option Plan, 2000 Stock Incentive Plan and Employee Stock Purchase Plan of HealthStream, Inc.,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333-206897) of HealthStream, Inc.</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our reports dated February 26, 2016, with respect to the consolidated financial statements of HealthStream, Inc., and the effectiveness of internal control over financial reporting of HealthStream, Inc., included in this Annual Report (Form 10-K) of HealthStream, Inc. for the year ended December 31, 2015.</w:t>
      </w:r>
    </w:p>
    <w:p>
      <w:pPr>
        <w:spacing w:after="0" w:line="16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131"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20" w:right="100" w:firstLine="1"/>
        <w:spacing w:after="0" w:line="266" w:lineRule="auto"/>
        <w:tabs>
          <w:tab w:leader="none" w:pos="11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20" w:right="480" w:firstLine="1"/>
        <w:spacing w:after="0" w:line="266" w:lineRule="auto"/>
        <w:tabs>
          <w:tab w:leader="none" w:pos="11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20" w:right="620" w:firstLine="1"/>
        <w:spacing w:after="0" w:line="313" w:lineRule="auto"/>
        <w:tabs>
          <w:tab w:leader="none" w:pos="110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20" w:right="80" w:firstLine="1"/>
        <w:spacing w:after="0" w:line="266" w:lineRule="auto"/>
        <w:tabs>
          <w:tab w:leader="none" w:pos="11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firstLine="1"/>
        <w:spacing w:after="0" w:line="282" w:lineRule="auto"/>
        <w:tabs>
          <w:tab w:leader="none" w:pos="11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right="500" w:firstLine="1"/>
        <w:spacing w:after="0" w:line="282" w:lineRule="auto"/>
        <w:tabs>
          <w:tab w:leader="none" w:pos="11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February 26, 2016</w:t>
      </w:r>
      <w:r>
        <w:rPr>
          <w:sz w:val="20"/>
          <w:szCs w:val="20"/>
          <w:color w:val="auto"/>
        </w:rPr>
        <w:tab/>
      </w:r>
      <w:r>
        <w:rPr>
          <w:rFonts w:ascii="Times New Roman" w:cs="Times New Roman" w:eastAsia="Times New Roman" w:hAnsi="Times New Roman"/>
          <w:sz w:val="17"/>
          <w:szCs w:val="17"/>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7"/>
          <w:szCs w:val="17"/>
          <w:color w:val="auto"/>
        </w:rPr>
        <w:t xml:space="preserve"> A. F</w:t>
      </w:r>
      <w:r>
        <w:rPr>
          <w:rFonts w:ascii="Times New Roman" w:cs="Times New Roman" w:eastAsia="Times New Roman" w:hAnsi="Times New Roman"/>
          <w:sz w:val="14"/>
          <w:szCs w:val="14"/>
          <w:color w:val="auto"/>
        </w:rPr>
        <w:t>RIST</w:t>
      </w:r>
      <w:r>
        <w:rPr>
          <w:rFonts w:ascii="Times New Roman" w:cs="Times New Roman" w:eastAsia="Times New Roman" w:hAnsi="Times New Roman"/>
          <w:sz w:val="17"/>
          <w:szCs w:val="17"/>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M. Hayden, Jr., certify that:</w:t>
      </w:r>
    </w:p>
    <w:p>
      <w:pPr>
        <w:spacing w:after="0" w:line="131"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20" w:right="100" w:firstLine="1"/>
        <w:spacing w:after="0" w:line="266" w:lineRule="auto"/>
        <w:tabs>
          <w:tab w:leader="none" w:pos="110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20" w:right="480" w:firstLine="1"/>
        <w:spacing w:after="0" w:line="266" w:lineRule="auto"/>
        <w:tabs>
          <w:tab w:leader="none" w:pos="11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20" w:right="620" w:firstLine="1"/>
        <w:spacing w:after="0" w:line="313" w:lineRule="auto"/>
        <w:tabs>
          <w:tab w:leader="none" w:pos="110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20" w:right="80" w:firstLine="1"/>
        <w:spacing w:after="0" w:line="266" w:lineRule="auto"/>
        <w:tabs>
          <w:tab w:leader="none" w:pos="11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firstLine="1"/>
        <w:spacing w:after="0" w:line="282" w:lineRule="auto"/>
        <w:tabs>
          <w:tab w:leader="none" w:pos="110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right="500" w:firstLine="1"/>
        <w:spacing w:after="0" w:line="282" w:lineRule="auto"/>
        <w:tabs>
          <w:tab w:leader="none" w:pos="11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February 26, 2016</w:t>
      </w:r>
      <w:r>
        <w:rPr>
          <w:sz w:val="20"/>
          <w:szCs w:val="20"/>
          <w:color w:val="auto"/>
        </w:rPr>
        <w:tab/>
      </w:r>
      <w:r>
        <w:rPr>
          <w:rFonts w:ascii="Times New Roman" w:cs="Times New Roman" w:eastAsia="Times New Roman" w:hAnsi="Times New Roman"/>
          <w:sz w:val="17"/>
          <w:szCs w:val="17"/>
          <w:color w:val="auto"/>
        </w:rPr>
        <w:t>/s/ G</w:t>
      </w:r>
      <w:r>
        <w:rPr>
          <w:rFonts w:ascii="Times New Roman" w:cs="Times New Roman" w:eastAsia="Times New Roman" w:hAnsi="Times New Roman"/>
          <w:sz w:val="14"/>
          <w:szCs w:val="14"/>
          <w:color w:val="auto"/>
        </w:rPr>
        <w:t>ERARD</w:t>
      </w:r>
      <w:r>
        <w:rPr>
          <w:rFonts w:ascii="Times New Roman" w:cs="Times New Roman" w:eastAsia="Times New Roman" w:hAnsi="Times New Roman"/>
          <w:sz w:val="17"/>
          <w:szCs w:val="17"/>
          <w:color w:val="auto"/>
        </w:rPr>
        <w:t xml:space="preserve"> M. H</w:t>
      </w:r>
      <w:r>
        <w:rPr>
          <w:rFonts w:ascii="Times New Roman" w:cs="Times New Roman" w:eastAsia="Times New Roman" w:hAnsi="Times New Roman"/>
          <w:sz w:val="14"/>
          <w:szCs w:val="14"/>
          <w:color w:val="auto"/>
        </w:rPr>
        <w:t>AYDEN</w:t>
      </w:r>
      <w:r>
        <w:rPr>
          <w:rFonts w:ascii="Times New Roman" w:cs="Times New Roman" w:eastAsia="Times New Roman" w:hAnsi="Times New Roman"/>
          <w:sz w:val="17"/>
          <w:szCs w:val="17"/>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2015, as filed with the Securities and Exchange Commission on the date hereof (the “Report”), Robert A. Frist, Jr., Chief Executive Officer of the Company certifies, pursuant to 18 U.S.C. §1350, as adopted pursuant to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5"/>
          <w:szCs w:val="15"/>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5"/>
          <w:szCs w:val="15"/>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2015,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upperLetter"/>
      <w:start w:val="35"/>
    </w:lvl>
  </w:abstractNum>
  <w:abstractNum w:abstractNumId="20">
    <w:nsid w:val="6763845E"/>
    <w:multiLevelType w:val="hybridMultilevel"/>
    <w:lvl w:ilvl="0">
      <w:lvlJc w:val="left"/>
      <w:lvlText w:val="%1."/>
      <w:numFmt w:val="upperLetter"/>
      <w:start w:val="6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2019-12-29T14:32:47Z</dcterms:created>
  <dcterms:modified xsi:type="dcterms:W3CDTF">2019-12-29T14:32:47Z</dcterms:modified>
</cp:coreProperties>
</file>