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25"/>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April 28, 2014, there were 27,564,606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r>
      <w:tr>
        <w:trPr>
          <w:trHeight w:val="264"/>
        </w:trPr>
        <w:tc>
          <w:tcPr>
            <w:tcW w:w="840" w:type="dxa"/>
            <w:vAlign w:val="bottom"/>
          </w:tcPr>
          <w:p>
            <w:pPr>
              <w:spacing w:after="0"/>
              <w:rPr>
                <w:sz w:val="20"/>
                <w:szCs w:val="20"/>
                <w:color w:val="auto"/>
              </w:rPr>
            </w:pPr>
            <w:r>
              <w:rPr>
                <w:rFonts w:ascii="Arial" w:cs="Arial" w:eastAsia="Arial" w:hAnsi="Arial"/>
                <w:sz w:val="18"/>
                <w:szCs w:val="18"/>
                <w:color w:val="auto"/>
              </w:rPr>
              <w:t>Part I.</w:t>
            </w:r>
          </w:p>
        </w:tc>
        <w:tc>
          <w:tcPr>
            <w:tcW w:w="99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Pr>
          <w:p>
            <w:pPr>
              <w:spacing w:after="0"/>
              <w:rPr>
                <w:sz w:val="22"/>
                <w:szCs w:val="22"/>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24"/>
                <w:szCs w:val="24"/>
                <w:color w:val="auto"/>
              </w:rPr>
            </w:pPr>
          </w:p>
        </w:tc>
        <w:tc>
          <w:tcPr>
            <w:tcW w:w="842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840" w:type="dxa"/>
            <w:vAlign w:val="bottom"/>
          </w:tcPr>
          <w:p>
            <w:pPr>
              <w:spacing w:after="0"/>
              <w:rPr>
                <w:sz w:val="24"/>
                <w:szCs w:val="24"/>
                <w:color w:val="auto"/>
              </w:rPr>
            </w:pPr>
          </w:p>
        </w:tc>
        <w:tc>
          <w:tcPr>
            <w:tcW w:w="6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March 31, 2014 (Unaudited) and December 31, 2013</w:t>
              </w:r>
            </w:hyperlink>
          </w:p>
        </w:tc>
        <w:tc>
          <w:tcPr>
            <w:tcW w:w="30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4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Months ended March 31, 2014 and 2013</w:t>
              </w:r>
            </w:hyperlink>
          </w:p>
        </w:tc>
        <w:tc>
          <w:tcPr>
            <w:tcW w:w="21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84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Income (Unaudited) - Three Months ended March 31, 2014 and 2013</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40" w:type="dxa"/>
            <w:vAlign w:val="bottom"/>
          </w:tcPr>
          <w:p>
            <w:pPr>
              <w:spacing w:after="0"/>
              <w:rPr>
                <w:sz w:val="24"/>
                <w:szCs w:val="24"/>
                <w:color w:val="auto"/>
              </w:rPr>
            </w:pPr>
          </w:p>
        </w:tc>
        <w:tc>
          <w:tcPr>
            <w:tcW w:w="80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2014</w:t>
              </w:r>
            </w:hyperlink>
          </w:p>
        </w:tc>
        <w:tc>
          <w:tcPr>
            <w:tcW w:w="960" w:type="dxa"/>
            <w:vAlign w:val="bottom"/>
            <w:tcBorders>
              <w:top w:val="single" w:sz="8" w:color="0000EE"/>
            </w:tcBorders>
            <w:gridSpan w:val="2"/>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4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Three Months ended March 31, 2014 and 2013</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40" w:type="dxa"/>
            <w:vAlign w:val="bottom"/>
          </w:tcPr>
          <w:p>
            <w:pPr>
              <w:spacing w:after="0"/>
              <w:rPr>
                <w:sz w:val="24"/>
                <w:szCs w:val="24"/>
                <w:color w:val="auto"/>
              </w:rPr>
            </w:pPr>
          </w:p>
        </w:tc>
        <w:tc>
          <w:tcPr>
            <w:tcW w:w="816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82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56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Part II.</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82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68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84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59,045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42,952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48,659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$276 and $211 at March 31, 2014 and December 31,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32,073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receivable - unbilled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royalties, net of amortization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150,251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(22,918)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$14,844 and $13,910 at March 31, 2014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2013, respectively</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42,749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Intangible assets, net of accumulated amortization of $11,867 and $11,389 at March 31, 2014 and December 31, 2013,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15,992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230,959</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2,914</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royalties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Deferred tax liabilities, current</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69,719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no par value, 75,000 shares authorized; 27,565 and 27,327 shares issued and outstanding at March 31,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2014 and December 31, 2013, respectively</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169,816</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(15,476)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154,317</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230,959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jc w:val="center"/>
        <w:ind w:left="9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38,350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3,546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5,232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35,052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27,453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27,906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Three Months Ended</w:t>
      </w:r>
    </w:p>
    <w:p>
      <w:pPr>
        <w:jc w:val="center"/>
        <w:ind w:left="97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$ 1,948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324"/>
        </w:trPr>
        <w:tc>
          <w:tcPr>
            <w:tcW w:w="98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988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$ 1,956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vMerge w:val="restart"/>
          </w:tcPr>
          <w:p>
            <w:pPr>
              <w:jc w:val="center"/>
              <w:ind w:left="1450"/>
              <w:spacing w:after="0"/>
              <w:rPr>
                <w:sz w:val="20"/>
                <w:szCs w:val="20"/>
                <w:color w:val="auto"/>
              </w:rPr>
            </w:pPr>
            <w:r>
              <w:rPr>
                <w:rFonts w:ascii="Arial" w:cs="Arial" w:eastAsia="Arial" w:hAnsi="Arial"/>
                <w:sz w:val="18"/>
                <w:szCs w:val="18"/>
                <w:color w:val="auto"/>
                <w:w w:val="88"/>
              </w:rPr>
              <w:t>See accompanying notes to the condensed consolidated financial statements.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80" w:type="dxa"/>
            <w:vAlign w:val="bottom"/>
            <w:gridSpan w:val="2"/>
          </w:tcPr>
          <w:p>
            <w:pPr>
              <w:jc w:val="right"/>
              <w:ind w:right="403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27,327</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$166,888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(17,424)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4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w w:val="90"/>
              </w:rPr>
              <w:t>Issuance of common stock in acquisition</w:t>
            </w:r>
          </w:p>
        </w:tc>
        <w:tc>
          <w:tcPr>
            <w:tcW w:w="3420" w:type="dxa"/>
            <w:vAlign w:val="bottom"/>
            <w:gridSpan w:val="3"/>
          </w:tcPr>
          <w:p>
            <w:pPr>
              <w:jc w:val="right"/>
              <w:ind w:right="240"/>
              <w:spacing w:after="0"/>
              <w:rPr>
                <w:sz w:val="20"/>
                <w:szCs w:val="20"/>
                <w:color w:val="auto"/>
              </w:rPr>
            </w:pPr>
            <w:r>
              <w:rPr>
                <w:rFonts w:ascii="Arial" w:cs="Arial" w:eastAsia="Arial" w:hAnsi="Arial"/>
                <w:sz w:val="18"/>
                <w:szCs w:val="18"/>
                <w:color w:val="auto"/>
              </w:rPr>
              <w:t>82</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2,247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310"/>
        </w:trPr>
        <w:tc>
          <w:tcPr>
            <w:tcW w:w="6360" w:type="dxa"/>
            <w:vAlign w:val="bottom"/>
            <w:gridSpan w:val="5"/>
          </w:tcPr>
          <w:p>
            <w:pPr>
              <w:spacing w:after="0"/>
              <w:rPr>
                <w:sz w:val="20"/>
                <w:szCs w:val="20"/>
                <w:color w:val="auto"/>
              </w:rPr>
            </w:pPr>
            <w:r>
              <w:rPr>
                <w:rFonts w:ascii="Arial" w:cs="Arial" w:eastAsia="Arial" w:hAnsi="Arial"/>
                <w:sz w:val="18"/>
                <w:szCs w:val="18"/>
                <w:color w:val="auto"/>
              </w:rPr>
              <w:t>Common stock issued under stock plans, net of shares withheld for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taxes</w:t>
            </w:r>
          </w:p>
        </w:tc>
        <w:tc>
          <w:tcPr>
            <w:tcW w:w="3420" w:type="dxa"/>
            <w:vAlign w:val="bottom"/>
            <w:gridSpan w:val="3"/>
          </w:tcPr>
          <w:p>
            <w:pPr>
              <w:jc w:val="right"/>
              <w:ind w:right="240"/>
              <w:spacing w:after="0"/>
              <w:rPr>
                <w:sz w:val="20"/>
                <w:szCs w:val="20"/>
                <w:color w:val="auto"/>
              </w:rPr>
            </w:pPr>
            <w:r>
              <w:rPr>
                <w:rFonts w:ascii="Arial" w:cs="Arial" w:eastAsia="Arial" w:hAnsi="Arial"/>
                <w:sz w:val="18"/>
                <w:szCs w:val="18"/>
                <w:color w:val="auto"/>
              </w:rPr>
              <w:t>156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2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27,565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169,816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(15,476)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80" w:type="dxa"/>
            <w:vAlign w:val="bottom"/>
            <w:gridSpan w:val="10"/>
          </w:tcPr>
          <w:p>
            <w:pPr>
              <w:jc w:val="right"/>
              <w:ind w:right="540"/>
              <w:spacing w:after="0"/>
              <w:rPr>
                <w:sz w:val="20"/>
                <w:szCs w:val="20"/>
                <w:color w:val="auto"/>
              </w:rPr>
            </w:pPr>
            <w:r>
              <w:rPr>
                <w:rFonts w:ascii="Arial" w:cs="Arial" w:eastAsia="Arial" w:hAnsi="Arial"/>
                <w:sz w:val="18"/>
                <w:szCs w:val="18"/>
                <w:color w:val="auto"/>
                <w:w w:val="88"/>
              </w:rPr>
              <w:t>See accompanying notes to the condensed consolidated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80" w:type="dxa"/>
            <w:vAlign w:val="bottom"/>
            <w:gridSpan w:val="2"/>
          </w:tcPr>
          <w:p>
            <w:pPr>
              <w:jc w:val="right"/>
              <w:ind w:right="276"/>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Accounts and unbilled receivables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royalties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royalties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(12,501)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(13,176)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non-marketable equity investments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59,537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59,045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in connection with acquisition</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2014 are not necessarily indicative of the results that may be expected for the year ending December 31, 2014.</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balance sheet at December 31, 2013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2013 (included in the Company’s Annual Report on Form 10-K, filed with the Securities and Exchange Commission on March 4,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three months ended March 31, 2014 and 2013, the Company recorded a provision for income taxes of approximately $1.4 million and $1.3 million respectively. The Company’s effective tax rate for the three months ended March 31, 2014 and 2013 was 41.7% and 39.7%, respectively. The Company’s effective tax rate primarily reflects the statutory corporate income tax rate, the net effect of state taxes, and the effect of various permanent tax differences.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and restricted share units (RSUs). During the three months ended March 31, 2014, the Company issued 62,080 RSUs with a weighted average grant date fair value of $29.15 per share, measured based on the closing fair market value of the Company’s stock on the date of grant. During the three months ended March 31, 2013, the Company issued 77,750 RSUs with a weighted average grant date fair value of $21.70 per share, measured based on the closing fair market value of the Company’s stock on the date of grant.</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2014 and 2013, which is recorded in the condensed consolidated statements of income, is as follows (in thousands):</w:t>
      </w:r>
    </w:p>
    <w:p>
      <w:pPr>
        <w:spacing w:after="0" w:line="193" w:lineRule="exact"/>
        <w:rPr>
          <w:sz w:val="20"/>
          <w:szCs w:val="20"/>
          <w:color w:val="auto"/>
        </w:rPr>
      </w:pPr>
    </w:p>
    <w:p>
      <w:pPr>
        <w:jc w:val="center"/>
        <w:ind w:left="7000"/>
        <w:spacing w:after="0"/>
        <w:rPr>
          <w:sz w:val="20"/>
          <w:szCs w:val="20"/>
          <w:color w:val="auto"/>
        </w:rPr>
      </w:pPr>
      <w:r>
        <w:rPr>
          <w:rFonts w:ascii="Arial" w:cs="Arial" w:eastAsia="Arial" w:hAnsi="Arial"/>
          <w:sz w:val="14"/>
          <w:szCs w:val="14"/>
          <w:color w:val="auto"/>
        </w:rPr>
        <w:t>Three Months Ended</w:t>
      </w:r>
    </w:p>
    <w:p>
      <w:pPr>
        <w:jc w:val="center"/>
        <w:ind w:left="7000"/>
        <w:spacing w:after="0"/>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428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w w:val="89"/>
              </w:rPr>
              <w:t>2014</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3"/>
              <w:spacing w:after="0" w:line="157" w:lineRule="exact"/>
              <w:rPr>
                <w:sz w:val="20"/>
                <w:szCs w:val="20"/>
                <w:color w:val="auto"/>
              </w:rPr>
            </w:pPr>
            <w:r>
              <w:rPr>
                <w:rFonts w:ascii="Arial" w:cs="Arial" w:eastAsia="Arial" w:hAnsi="Arial"/>
                <w:sz w:val="14"/>
                <w:szCs w:val="14"/>
                <w:color w:val="auto"/>
                <w:w w:val="83"/>
              </w:rPr>
              <w:t>2013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revenues (excluding depreciation and amortization)</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Product development</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0" w:type="dxa"/>
            <w:vAlign w:val="bottom"/>
            <w:vMerge w:val="restart"/>
          </w:tcPr>
          <w:p>
            <w:pPr>
              <w:jc w:val="right"/>
              <w:ind w:right="2610"/>
              <w:spacing w:after="0"/>
              <w:rPr>
                <w:sz w:val="20"/>
                <w:szCs w:val="20"/>
                <w:color w:val="auto"/>
              </w:rPr>
            </w:pPr>
            <w:r>
              <w:rPr>
                <w:rFonts w:ascii="Arial" w:cs="Arial" w:eastAsia="Arial" w:hAnsi="Arial"/>
                <w:sz w:val="18"/>
                <w:szCs w:val="18"/>
                <w:color w:val="auto"/>
                <w:w w:val="79"/>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165,000 and 135,000 for the three months ended March 31, 2014 and 2013, respectively.</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2014 and 2013 (in thousands, except per share data):</w:t>
      </w:r>
    </w:p>
    <w:p>
      <w:pPr>
        <w:spacing w:after="0" w:line="193"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27,906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March 31, 2014 and December 31, 2013,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w w:val="94"/>
              </w:rPr>
              <w:t>March 31, 2014</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Adjusted 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Fair Value</w:t>
            </w: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2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2,262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$ 2,262</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40,690</w:t>
            </w:r>
          </w:p>
        </w:tc>
      </w:tr>
      <w:tr>
        <w:trPr>
          <w:trHeight w:val="230"/>
        </w:trPr>
        <w:tc>
          <w:tcPr>
            <w:tcW w:w="2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w w:val="72"/>
              </w:rPr>
              <w:t>(26)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42,975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42,952</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color w:val="auto"/>
              </w:rPr>
              <w:t>December 31, 2013</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Adjusted 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Fair Value</w:t>
            </w: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2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2,260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$ 2,260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46,399</w:t>
            </w:r>
          </w:p>
        </w:tc>
      </w:tr>
      <w:tr>
        <w:trPr>
          <w:trHeight w:val="230"/>
        </w:trPr>
        <w:tc>
          <w:tcPr>
            <w:tcW w:w="2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w w:val="72"/>
              </w:rPr>
              <w:t>(31)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48,690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48,659</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March 31, 2014, the Company does not consider any of its marketable securities to be other than temporarily impaired. During the three months ended March 31, 2014 and 2013,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$13.0 million in cash and 81,614 shares of our common stock. The Company may make additional payments of up to $750,000, contingent upon the achievement of certain performance milestones within one year post-closing. The Company incurred approximately $500,000 in transaction costs associated with the acquisition, of which $350,000 were incurred during the three months ended March 31, 2014 and $150,000 were incurred during the year ended December 31, 2013. The transaction costs were recorded in other general and administrative expenses in the condensed consolidated statement of income. In allocating the purchase price, the Company has preliminarily recorded approximately $7.0 million of goodwill, $7.6 million of identifiable intangible assets, $2.5 million of tangible assets, and $1.1 million of liabilities. The goodwill balance is primarily attributed to assembled workforce, additional market opportunities of HCCS’s compliance solutions, and expected synergies from integrating HCCS’s products into our platform. The goodwill balance is deductible for U.S. income tax purposes.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deferred revenue, and contingent consideration. The results of operations for HCCS have been included in the Company’s condensed consolidated financial statements from the date of acquisition, and are also included in the HealthStream Workforce Development Solutions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primarily provides services to healthcare organizations and other members within the healthcare industry. The Company’s services are primarily focused on the delivery of workforce development products and services (HealthStream Workforce Development Solutions), as well as survey and research services (HealthStream Research/Patient Experience Solutions). The accounting policies of the segments are the same as those described in the summary of significant accounting policies in the Company’s Annual Report on Form 10-K for the year ended December 31, 2013.</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months ended March 31, 2014 and 2013 (in thousands).</w:t>
      </w: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4"/>
          <w:szCs w:val="14"/>
          <w:color w:val="auto"/>
        </w:rPr>
        <w:t>Three Months Ended</w:t>
      </w:r>
    </w:p>
    <w:p>
      <w:pPr>
        <w:jc w:val="center"/>
        <w:ind w:left="664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47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30,957</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23,140</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19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18"/>
                <w:szCs w:val="18"/>
                <w:color w:val="auto"/>
              </w:rPr>
            </w:pPr>
          </w:p>
        </w:tc>
      </w:tr>
      <w:tr>
        <w:trPr>
          <w:trHeight w:val="223"/>
        </w:trPr>
        <w:tc>
          <w:tcPr>
            <w:tcW w:w="4780" w:type="dxa"/>
            <w:vAlign w:val="bottom"/>
          </w:tcPr>
          <w:p>
            <w:pPr>
              <w:ind w:left="720"/>
              <w:spacing w:after="0"/>
              <w:rPr>
                <w:sz w:val="20"/>
                <w:szCs w:val="20"/>
                <w:color w:val="auto"/>
              </w:rPr>
            </w:pPr>
            <w:r>
              <w:rPr>
                <w:rFonts w:ascii="Arial" w:cs="Arial" w:eastAsia="Arial" w:hAnsi="Arial"/>
                <w:sz w:val="18"/>
                <w:szCs w:val="18"/>
                <w:color w:val="auto"/>
              </w:rPr>
              <w:t>Total net revenue</w:t>
            </w:r>
          </w:p>
        </w:tc>
        <w:tc>
          <w:tcPr>
            <w:tcW w:w="19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38,350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29,646</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7"/>
          </w:tcPr>
          <w:p>
            <w:pPr>
              <w:jc w:val="right"/>
              <w:ind w:right="420"/>
              <w:spacing w:after="0"/>
              <w:rPr>
                <w:sz w:val="20"/>
                <w:szCs w:val="20"/>
                <w:color w:val="auto"/>
              </w:rPr>
            </w:pPr>
            <w:r>
              <w:rPr>
                <w:rFonts w:ascii="Arial" w:cs="Arial" w:eastAsia="Arial" w:hAnsi="Arial"/>
                <w:sz w:val="14"/>
                <w:szCs w:val="14"/>
                <w:color w:val="auto"/>
              </w:rPr>
              <w:t>Three Months Ended</w:t>
            </w:r>
          </w:p>
        </w:tc>
      </w:tr>
      <w:tr>
        <w:trPr>
          <w:trHeight w:val="167"/>
        </w:trPr>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March 31,</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1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7,880</w:t>
            </w:r>
          </w:p>
        </w:tc>
        <w:tc>
          <w:tcPr>
            <w:tcW w:w="20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1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(3,944)</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income from operations</w:t>
            </w:r>
          </w:p>
        </w:tc>
        <w:tc>
          <w:tcPr>
            <w:tcW w:w="2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line="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1300" w:type="dxa"/>
            <w:vAlign w:val="bottom"/>
            <w:gridSpan w:val="4"/>
          </w:tcPr>
          <w:p>
            <w:pPr>
              <w:ind w:left="380"/>
              <w:spacing w:after="0"/>
              <w:rPr>
                <w:sz w:val="20"/>
                <w:szCs w:val="20"/>
                <w:color w:val="auto"/>
              </w:rPr>
            </w:pPr>
            <w:r>
              <w:rPr>
                <w:rFonts w:ascii="Arial" w:cs="Arial" w:eastAsia="Arial" w:hAnsi="Arial"/>
                <w:sz w:val="14"/>
                <w:szCs w:val="14"/>
                <w:color w:val="auto"/>
              </w:rPr>
              <w:t>December 31,</w:t>
            </w:r>
          </w:p>
        </w:tc>
      </w:tr>
      <w:tr>
        <w:trPr>
          <w:trHeight w:val="167"/>
        </w:trPr>
        <w:tc>
          <w:tcPr>
            <w:tcW w:w="456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assets*</w:t>
            </w:r>
          </w:p>
        </w:tc>
        <w:tc>
          <w:tcPr>
            <w:tcW w:w="2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84,857</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60,013</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w:t>
            </w: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2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112,010</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117,854</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230,959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212,594</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12" w:hanging="212"/>
        <w:spacing w:after="0" w:line="286" w:lineRule="auto"/>
        <w:tabs>
          <w:tab w:leader="none" w:pos="212"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35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participates in a collaborative arrangement, SimVentures</w:t>
      </w:r>
      <w:r>
        <w:rPr>
          <w:rFonts w:ascii="Arial" w:cs="Arial" w:eastAsia="Arial" w:hAnsi="Arial"/>
          <w:sz w:val="14"/>
          <w:szCs w:val="14"/>
          <w:color w:val="auto"/>
        </w:rPr>
        <w:t>TM</w:t>
      </w:r>
      <w:r>
        <w:rPr>
          <w:rFonts w:ascii="Arial" w:cs="Arial" w:eastAsia="Arial" w:hAnsi="Arial"/>
          <w:sz w:val="17"/>
          <w:szCs w:val="17"/>
          <w:color w:val="auto"/>
        </w:rPr>
        <w:t>, with Laerdal Medical A/S (Laerdal Medical). The Company receives 50 percent of the profits or losses generated from this collaborative arrangement. For the three months ended March 31, 2014, the Company has recorded approximately $0.4 million of revenues and $0.5 million of expenses related to the collaborative arrangement. For the three months ended March 31, 2013, the Company recorded approximately $0.4 million of revenues and $0.4 million of expenses related to the collaborative arrangement. The Company has also recorded approximately $0.2 million of capitalized software development for SimVentures during 2014.</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12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2013, appearing in our Annual Report on Form 10-K that was filed with the Securities and Exchange Commission (“SEC”) on March 4, 2014, (the “2013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2013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HealthStream provides workforce development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first quarter of 2014 include:</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$38.3 million in the first quarter of 2014, up 29% from $29.6 million in the first quarter of 2013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of $3.3 million in the first quarter of 2014, up 4% from $3.2 million in the first quarter of 2013</w:t>
      </w:r>
    </w:p>
    <w:p>
      <w:pPr>
        <w:spacing w:after="0" w:line="130" w:lineRule="exact"/>
        <w:rPr>
          <w:rFonts w:ascii="Arial" w:cs="Arial" w:eastAsia="Arial" w:hAnsi="Arial"/>
          <w:sz w:val="18"/>
          <w:szCs w:val="18"/>
          <w:color w:val="auto"/>
        </w:rPr>
      </w:pPr>
    </w:p>
    <w:p>
      <w:pPr>
        <w:ind w:left="440" w:right="24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$1.9 million in both the first quarter of 2014 and the first quarter of 2013, and earnings per share (EPS) of $0.07 per share (diluted) in both the first quarter of 2014 and the first quarter of 2013</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$6.1 million in the first quarter of 2014, up 13% from $5.4 million in the first quarter of 2013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revenue per implemented subscriber</w:t>
      </w:r>
      <w:r>
        <w:rPr>
          <w:rFonts w:ascii="Arial" w:cs="Arial" w:eastAsia="Arial" w:hAnsi="Arial"/>
          <w:sz w:val="15"/>
          <w:szCs w:val="15"/>
          <w:color w:val="auto"/>
        </w:rPr>
        <w:t>(2)</w:t>
      </w:r>
      <w:r>
        <w:rPr>
          <w:rFonts w:ascii="Arial" w:cs="Arial" w:eastAsia="Arial" w:hAnsi="Arial"/>
          <w:sz w:val="18"/>
          <w:szCs w:val="18"/>
          <w:color w:val="auto"/>
        </w:rPr>
        <w:t xml:space="preserve"> of $33.33 in the first quarter of 2014, up 17% from $28.47 in the first quarter of 2013</w:t>
      </w:r>
    </w:p>
    <w:p>
      <w:pPr>
        <w:spacing w:after="0" w:line="25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is included in this report.</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 revenue per implemented subscriber represents the quarter’s revenue for internet-based subscription products, annualized, then divided by the quarter’s average total implemented subscribers.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$13.0 million in cash and 81,614 shares of our common stock. The Company may make additional payments of up to $750,000, contingent upon the achievement of certain performance milestones within one year post-closing. The Company incurred approximately $500,000 in transaction costs associated with the acquisition, of which $350,000 were incurred during the three months ended March 31, 2014 and $150,000 were incurred during the year ended December 31, 2013. The transaction costs were recorded in other general and administrative expenses in the condensed consolidated statement of income. In allocating the purchase price, the Company has preliminarily recorded approximately $7.0 million of goodwill, $7.6 million of identifiable intangible assets, $2.5 million of tangible assets, and $1.1 million of liabilities. The goodwill balance is primarily attributed to assembled workforce, additional market opportunities of HCCS’s compliance solutions, and expected synergies from integrating HCCS’s products into our platform. The goodwill balance is deductible for U.S. income tax purposes.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deferred revenue, and contingent consideration. The results of operations for HCCS have been included in the Company’s condensed consolidated financial statements from the date of acquisition, and are also included in the HealthStream Workforce Development Solutions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2013 Form 10-K, which contains additional information regarding our accounting policies and other disclosures required by US GAAP. There have been no changes in our critical accounting policies and estimates from those reported in our 2013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Three Months Ended March 31, 2013</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$8.7 million, or 29.4%, to $38.3 million for the three months ended March 31, 2014 from $29.6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2013. Revenues for 2014 consisted of $30.9 million, or 81% of total revenue, for HealthStream Workforce Development Solutions and $7.4 million, or 19% of total revenue, for HealthStream Research/Patient Experience Solutions. In 2013, revenues consisted of $23.1 million, or 78% of total revenue, for HealthStream Workforce Development Solutions and $6.5 million, or 22% of total revenue, for HealthStream Research/Patient Experience Solutions.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Revenues for HealthStream Workforce Development Solutions increased approximately $7.8 million, or 33.8%, over the first quarter of 2013. Revenues from our subscription-based workforce development products increased approximately $7.8 million, or 36.7%, over the prior year first quarter due to a higher number of subscribers and more courseware consumption by subscribers. Annualized revenue per implemented subscriber increased by 17.1%, to $33.33 per subscriber for the first quarter of 2014 compared to $28.47 per subscriber for the first quarter of 2013. Our implemented subscriber base increased by 18.0% over the prior year first quarter to 3.58 million implemented subscribers at March 31, 2014 compared to 3.03 million implemented subscribers at March 31, 2013. Additionally, we had a 21.5% increase in total subscribers over the prior year first quarter, with 3.85 million total subscribers at March 31, 2014 compared to 3.17 million total subscribers at March 31, 2013. Revenues in 2014 were positively influenced by courseware subscriptions associated with, among other products, ICD-10 training. Revenues from ICD-10 training were approximately $6.6 million for the first quarter of 2014, compared to $2.0 million for the first quarter of 2013.</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for HealthStream Research/Patient Experience Solutions increased approximately $887,000, or 13.6%, over the first quarter of 2013. Revenues from Patient Insights™ surveys, our survey research product that generates recurring revenues, increased by $364,000, or 6.7%, over the prior year first quarter. Revenues from other surveys, which are conducted on annual or bi-annual cycles, decreased $161,000 compared to the prior year first quarter. Revenues from the Baptist Leadership Group (BLG) acquisition, consummated on September 9, 2013, were $684,000 during the first quarter of 2014, and are included in the HealthStream Research/Patient Experience Solutions segment.</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$4.4 million, or 35.2%, to $16.9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2014 from $12.5 million for the three months ended March 31, 2013. Cost of revenues as a percentage of revenues was 44.1% of revenues for the three months ended March 31, 2014 compared to 42.2% of revenues for the three months ended March 31, 2013. Cost of revenues for HealthStream Workforce Development Solutions increased approximately $3.7 million to $12.2 million and approximated 39.4% and 36.9% of revenues for HealthStream Workforce Development Solutions for the three months ended March 31, 2014 and 2013, respectively. The increase in both amount and as a percentage of revenue is primarily associated with increased royalties paid by us resulting from growth in courseware subscription revenues and increased personnel costs. Cost of revenues for HealthStream Research/Patient Experience Solutions increased approximately $740,000 to $4.7 million and approximated 64.0% and 61.3% of revenues for HealthStream Research/Patient Experience Solutions for the three months ended March 31, 2014 and 2013, respectively. The increase in both amount and as a percentage of revenue is primarily the result of increased personnel costs from the BLG acquisition as well as additional costs associated with the growth in patient survey volume over the prior year first quarter.</w:t>
      </w:r>
    </w:p>
    <w:p>
      <w:pPr>
        <w:spacing w:after="0" w:line="16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$940,000, or 36.1%, to $3.5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$2.6 million for the three months ended March 31, 2013. Product development expenses as a percentage of revenues were 9.2% and 8.8% of revenues for the three months ended March 31, 2014 and 2013, respectively.</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Product development expenses for HealthStream Workforce Development Solutions increased approximately $886,000 and approximated 10.2% and 9.8% of revenues for HealthStream Workforce Development Solutions for the three months ended March 31, 2014 and 2013, respectively. The increase is due to additional personnel expenses associated with new product development initiatives for our platform products. Product development expenses for HealthStream Research/Patient Experience Solutions increased approximately $54,000 and approximated 5.4% and 5.3% of revenues for HealthStream Research/Patient Experience Solutions for the three months ended March 31, 2014 and 2013, respectively.</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$1.7 million, or 33.6%, to $6.9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2014 from $5.2 million for the three months ended March 31, 2013. Sales and marketing expenses were 18.1% and 17.5% of revenues for the three months ended March 31, 2014 and 2013, respectively.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Sales and marketing expenses for HealthStream Workforce Development Solutions increased approximately $1.7 million and approximated 17.8% and 16.6% of revenues for HealthStream Workforce Development Solutions for the three months ended March 31, 2014 and 2013, respectively. The increase in amount and as a percentage of revenue is primarily due to additional personnel and related expenses, increased commissions associated with higher sales performance over the prior year first quarter, and increased marketing spending. Sales and marketing expenses for HealthStream Research/Patient Experience Solutions increased approximately $64,000, and approximated 17.9% and 19.4% of revenues for HealthStream Research/Patient Experience Solutions for the three months ended March 31, 2014 and 2013, respectively. The increase in amount was a result of additional personnel associated with the BLG acquisition.</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$960,000, or 22.5%, to $5.2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2014 from $4.3 million for the three months ended March 31, 2013. Other general and administrative expenses as a percentage of revenues were 13.6% and 14.4% of revenues for the three months ended March 31, 2014 and 2013, respectively.</w:t>
      </w:r>
    </w:p>
    <w:p>
      <w:pPr>
        <w:spacing w:after="0" w:line="16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Other general and administrative expenses for HealthStream Workforce Development Solutions increased approximately $206,000 over the prior year first quarter primarily due to additional personnel and other support costs, while other general and administrative expenses for HealthStream Research/Patient Experience Solutions increased approximately $115,000 compared to the prior year first quarter primarily due to the BLG acquisition. The unallocated corporate portion of other general and administrative expenses increased approximately $640,000 over the prior year first quarter, primarily associated with additional personnel, professional fees, stock based compensation expense, rent, and other general expenses, as well as approximately $350,000 of one-time expenses associated with the acquisition of HCCS.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$524,000, or 27.9%, to $2.4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2014 from $1.9 million for the three months ended March 31, 2013. The increase primarily resulted from amortization of capitalized software development and depreciation expense associated with leasehold improvements to our Nashville, Tennessee office space.</w:t>
      </w:r>
    </w:p>
    <w:p>
      <w:pPr>
        <w:spacing w:after="0" w:line="166"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$45,000 for the three months ended March 31, 2014 compared to $47,000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2013.</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$1.4 million for the three months ended March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 million for the three months ended March 31, 2013. The Company’s effective tax rate was 41.7% for the first quarter of 2014 compared to 39.7% for the first quarter of 2013.</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approximated $1.9 million for both the three months ended March 31, 2014 and 2013. Earnings per diluted share were $0.07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for both the three months ended March 31, 2014 and 2013.</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by 13.5% to approximately $6.1 million for the three months ended March 31, 2014 compared to $5.4 million for the three months ended March 31, 2013. This improvement is consistent with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deductions in 2013 and 2014,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6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completed the acquisitions of Decision Critical, Inc. (DCI) during June 2012, Sy.Med Development, Inc. (Sy.Med) in October 2012, Baptist Leadership Group (BLG) in September 2013, and Health Care Compliance Strategies, Inc. (HCCS) in March 2014. In accordance with US GAAP reporting requirements for fair value, we recorded a deferred revenue write-down of $192,000 for DCI, $916,000 for Sy.Med, $254,000 for BLG, and a preliminary estimated write-down of approximately $2.5 million for HCCS. These write-downs result in lower revenues than would have otherwise been recognized for such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210"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Three Months Ended</w:t>
      </w:r>
    </w:p>
    <w:p>
      <w:pPr>
        <w:jc w:val="center"/>
        <w:ind w:left="676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60" w:type="dxa"/>
            <w:vAlign w:val="bottom"/>
            <w:gridSpan w:val="2"/>
          </w:tcPr>
          <w:p>
            <w:pPr>
              <w:spacing w:after="0"/>
              <w:rPr>
                <w:sz w:val="20"/>
                <w:szCs w:val="20"/>
                <w:color w:val="auto"/>
              </w:rPr>
            </w:pPr>
            <w:r>
              <w:rPr>
                <w:rFonts w:ascii="Arial" w:cs="Arial" w:eastAsia="Arial" w:hAnsi="Arial"/>
                <w:sz w:val="18"/>
                <w:szCs w:val="18"/>
                <w:color w:val="auto"/>
              </w:rPr>
              <w:t>GAAP revenues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38,350</w:t>
            </w:r>
          </w:p>
        </w:tc>
        <w:tc>
          <w:tcPr>
            <w:tcW w:w="2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29,646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38,719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60" w:type="dxa"/>
            <w:vAlign w:val="bottom"/>
            <w:gridSpan w:val="2"/>
          </w:tcPr>
          <w:p>
            <w:pPr>
              <w:spacing w:after="0"/>
              <w:rPr>
                <w:sz w:val="20"/>
                <w:szCs w:val="20"/>
                <w:color w:val="auto"/>
              </w:rPr>
            </w:pPr>
            <w:r>
              <w:rPr>
                <w:rFonts w:ascii="Arial" w:cs="Arial" w:eastAsia="Arial" w:hAnsi="Arial"/>
                <w:sz w:val="18"/>
                <w:szCs w:val="18"/>
                <w:color w:val="auto"/>
              </w:rPr>
              <w:t>GAAP 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provided by operating activities was approximately $9.2 million and $3.9 million during the three months ended March 31, 2014 and 2013, respectively. This improvement primarily resulted from increased cash receipts from the sales of our products and services. The number of days sales outstanding (DSO) was 62 days for the first quarter of 2014 compared to 59 days for the first quarter of 2013. The Company calculates DSO by dividing the average accounts receivable balance for the quarter, excluding unbilled and other receivables,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used in investing activities was approximately $10.0 million and $2.1 million for the three months ended March 31, 2014 and 2013, respectively. During 2014, the Company purchased $13.2 million of marketable securities, utilized $12.5 million (net of cash acquired) for acquisitions, spent $1.5 million for capitalized software development, purchased $1.1 million of property and equipment, and made $250,000 in non-marketable equity investments. These uses of cash were partially offset by maturities of marketable securities of $18.5 million. During 2013, the Company purchased $29.6 million of marketable securities, spent $1.1 million for capitalized software development, purchased $744,000 of property and equipment, and utilized $181,000 for acquisitions. These uses of cash were partially offset by maturities of marketable securities of $29.5 million.</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Cash provided by financing activities was approximately $297,000 and $742,000 for the three months ended March 31, 2014 and 2013, respectively. The primary source of cash from financing activities for 2014 and 2013 resulted from proceeds (net of payroll taxes paid) from the exercise of employee stock options and issuance of RSUs.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balance sheet reflects positive working capital of $80.5 million at March 31, 2014 compared to $90.9 million at December 31, 2013. The decrease in working capital was primarily due to the use of cash for the HCCS acquisition, but was partially offset by cash generated from operations. The Company’s primary source of liquidity is $102.0 million of cash and cash equivalents and marketable securities. The Company also has a $20.0 million revolving credit facility loan agreement, all of which was available at March 31, 2014.</w:t>
      </w:r>
    </w:p>
    <w:p>
      <w:pPr>
        <w:spacing w:after="0" w:line="18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tax liabilities. We anticipate our remaining net operating loss carryforwards will become fully utilized within the next 12 to 24 months. Our actual tax payments are expected to</w:t>
      </w:r>
    </w:p>
    <w:p>
      <w:pPr>
        <w:sectPr>
          <w:pgSz w:w="11900" w:h="16838" w:orient="portrait"/>
          <w:cols w:equalWidth="0" w:num="1">
            <w:col w:w="11340"/>
          </w:cols>
          <w:pgMar w:left="240" w:top="459" w:right="319" w:bottom="1440" w:gutter="0" w:footer="0" w:header="0"/>
        </w:sectPr>
      </w:pP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40"/>
          </w:cols>
          <w:pgMar w:left="240" w:top="459" w:right="3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increase significantly once the net operating loss carryforwards are fully utilized. As part of our growth strategy, we have recently completed several acquisitions and we continue to review possible acquisitions that complement our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March 31, 2014, we were in compliance with all covenants. The credit and capital markets have been experiencing extreme volatility and disruption.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March 31, 2014,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$102.0 million at March 31, 2014. Assuming a hypothetical 10% decrease in interest rates, interest income from cash and investments would decrease on an annualized basis by approximately $51,000.</w:t>
      </w:r>
    </w:p>
    <w:p>
      <w:pPr>
        <w:spacing w:after="0" w:line="19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32.1 – Certification Pursuant to 18 U.S.C. Section 1350, as Adopted Pursuant to Section 906 of the Sarbanes-Oxley Act of 2002</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32.2 – Certification Pursuant to 18 U.S.C. Section 1350, as Adopted Pursuant to Section 906 of the Sarbanes-Oxley Act of 2002</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INS – XBRL Instance Document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SCH – XBRL Taxonomy Extension Schema</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CAL – XBRL Taxonomy Extension Calculation Linkbase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DEF – XBRL Taxonomy Extension Definition Linkbase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LAB – XBRL Taxonomy Extension Label Linkbase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May 1, 2014</w:t>
      </w:r>
      <w:r>
        <w:rPr>
          <w:sz w:val="20"/>
          <w:szCs w:val="20"/>
          <w:color w:val="auto"/>
        </w:rPr>
        <w:tab/>
      </w:r>
      <w:r>
        <w:rPr>
          <w:rFonts w:ascii="Arial" w:cs="Arial" w:eastAsia="Arial" w:hAnsi="Arial"/>
          <w:sz w:val="17"/>
          <w:szCs w:val="17"/>
          <w:color w:val="auto"/>
        </w:rPr>
        <w:t>By: /s/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00"/>
          </w:cols>
          <w:pgMar w:left="240" w:top="459" w:right="8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8740" w:type="dxa"/>
            <w:vAlign w:val="bottom"/>
          </w:tcPr>
          <w:p>
            <w:pPr>
              <w:spacing w:after="0"/>
              <w:rPr>
                <w:sz w:val="17"/>
                <w:szCs w:val="17"/>
                <w:color w:val="auto"/>
              </w:rPr>
            </w:pPr>
          </w:p>
        </w:tc>
      </w:tr>
      <w:tr>
        <w:trPr>
          <w:trHeight w:val="534"/>
        </w:trPr>
        <w:tc>
          <w:tcPr>
            <w:tcW w:w="4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34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101.1 INS</w:t>
            </w:r>
          </w:p>
        </w:tc>
        <w:tc>
          <w:tcPr>
            <w:tcW w:w="87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101.1 SCH</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CAL</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DEF</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80" w:type="dxa"/>
            <w:vAlign w:val="bottom"/>
            <w:gridSpan w:val="3"/>
          </w:tcPr>
          <w:p>
            <w:pPr>
              <w:spacing w:after="0"/>
              <w:rPr>
                <w:sz w:val="20"/>
                <w:szCs w:val="20"/>
                <w:color w:val="auto"/>
              </w:rPr>
            </w:pPr>
            <w:r>
              <w:rPr>
                <w:rFonts w:ascii="Arial" w:cs="Arial" w:eastAsia="Arial" w:hAnsi="Arial"/>
                <w:sz w:val="18"/>
                <w:szCs w:val="18"/>
                <w:color w:val="auto"/>
              </w:rPr>
              <w:t>101.1 LAB</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PRE</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sectPr>
          <w:pgSz w:w="11900" w:h="16838" w:orient="portrait"/>
          <w:cols w:equalWidth="0" w:num="1">
            <w:col w:w="10219"/>
          </w:cols>
          <w:pgMar w:left="24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 w:name="page22"/>
    <w:bookmarkEnd w:id="2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6"/>
          <w:szCs w:val="16"/>
          <w:color w:val="auto"/>
        </w:rPr>
        <w:t xml:space="preserve">/s/ </w:t>
      </w:r>
      <w:r>
        <w:rPr>
          <w:rFonts w:ascii="Arial" w:cs="Arial" w:eastAsia="Arial" w:hAnsi="Arial"/>
          <w:sz w:val="13"/>
          <w:szCs w:val="13"/>
          <w:color w:val="auto"/>
        </w:rPr>
        <w:t>ROBERT A</w:t>
      </w:r>
      <w:r>
        <w:rPr>
          <w:rFonts w:ascii="Arial" w:cs="Arial" w:eastAsia="Arial" w:hAnsi="Arial"/>
          <w:sz w:val="16"/>
          <w:szCs w:val="16"/>
          <w:color w:val="auto"/>
        </w:rPr>
        <w:t xml:space="preserve">. </w:t>
      </w:r>
      <w:r>
        <w:rPr>
          <w:rFonts w:ascii="Arial" w:cs="Arial" w:eastAsia="Arial" w:hAnsi="Arial"/>
          <w:sz w:val="13"/>
          <w:szCs w:val="13"/>
          <w:color w:val="auto"/>
        </w:rPr>
        <w:t>FRIST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2014,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2014,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2019-12-06T21:57:16Z</dcterms:created>
  <dcterms:modified xsi:type="dcterms:W3CDTF">2019-12-06T21:57:16Z</dcterms:modified>
</cp:coreProperties>
</file>