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GORDON FRANK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4"/>
        <w:gridCol w:w="919"/>
        <w:gridCol w:w="787"/>
        <w:gridCol w:w="610"/>
        <w:gridCol w:w="349"/>
        <w:gridCol w:w="888"/>
        <w:gridCol w:w="447"/>
        <w:gridCol w:w="613"/>
        <w:gridCol w:w="1159"/>
        <w:gridCol w:w="997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215,552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100,418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Crofton Capital</w:t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11,386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Joel Company</w:t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Custodial account for minor child - Gavin B. Gordon</w:t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Custodial account for minor child - Cameron L. Gordon</w:t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Custodial account for minor child - Taylor K. Gordon</w:t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Frank E. Gordon 2003 Family Trust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RSU's are subject to a three year vesting schedule, contingent upon continued service at the time of vesting. The RSU's vest annually beginning June 6, 2024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RSU's are subject to a three year vesting schedule, contingent upon continued service at the time of vesting. The RSU's vest annually beginning May 30, 2025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RSU's are subject to a three year vesting schedule, contingent upon continued service at the time of vesting. The RSU's vest annually beginning May 29, 2026 in three equal installments.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E. Gordon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9231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805</Words>
  <Characters>4235</Characters>
  <CharactersWithSpaces>4928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