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For the quarterly period ended </w:t>
      </w:r>
      <w:r>
        <w:rPr>
          <w:rFonts w:ascii="Times New Roman" w:cs="Times New Roman" w:eastAsia="Times New Roman" w:hAnsi="Times New Roman"/>
          <w:sz w:val="18"/>
          <w:szCs w:val="18"/>
          <w:color w:val="auto"/>
        </w:rPr>
        <w:t>June 30, 2025</w:t>
      </w:r>
    </w:p>
    <w:p>
      <w:pPr>
        <w:spacing w:after="0" w:line="225" w:lineRule="exact"/>
        <w:rPr>
          <w:sz w:val="24"/>
          <w:szCs w:val="24"/>
          <w:color w:val="auto"/>
        </w:rPr>
      </w:pPr>
    </w:p>
    <w:p>
      <w:pPr>
        <w:ind w:left="4380" w:right="4060" w:hanging="4372"/>
        <w:spacing w:after="0" w:line="512" w:lineRule="auto"/>
        <w:tabs>
          <w:tab w:leader="none" w:pos="368"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Commission File No.: 000-27701</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HealthStream,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170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60" w:type="dxa"/>
            <w:vAlign w:val="bottom"/>
            <w:gridSpan w:val="5"/>
          </w:tcPr>
          <w:p>
            <w:pPr>
              <w:jc w:val="right"/>
              <w:ind w:right="2380"/>
              <w:spacing w:after="0"/>
              <w:rPr>
                <w:sz w:val="20"/>
                <w:szCs w:val="20"/>
                <w:color w:val="auto"/>
              </w:rPr>
            </w:pPr>
            <w:r>
              <w:rPr>
                <w:rFonts w:ascii="Times New Roman" w:cs="Times New Roman" w:eastAsia="Times New Roman" w:hAnsi="Times New Roman"/>
                <w:sz w:val="18"/>
                <w:szCs w:val="18"/>
                <w:b w:val="1"/>
                <w:bCs w:val="1"/>
                <w:color w:val="auto"/>
              </w:rPr>
              <w:t>62-1443555</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900" w:type="dxa"/>
            <w:vAlign w:val="bottom"/>
            <w:gridSpan w:val="8"/>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60" w:type="dxa"/>
            <w:vAlign w:val="bottom"/>
            <w:gridSpan w:val="5"/>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38"/>
        </w:trPr>
        <w:tc>
          <w:tcPr>
            <w:tcW w:w="4900" w:type="dxa"/>
            <w:vAlign w:val="bottom"/>
            <w:gridSpan w:val="8"/>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5"/>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Identification No.)</w:t>
            </w:r>
          </w:p>
        </w:tc>
        <w:tc>
          <w:tcPr>
            <w:tcW w:w="0" w:type="dxa"/>
            <w:vAlign w:val="bottom"/>
          </w:tcPr>
          <w:p>
            <w:pPr>
              <w:spacing w:after="0"/>
              <w:rPr>
                <w:sz w:val="1"/>
                <w:szCs w:val="1"/>
                <w:color w:val="auto"/>
              </w:rPr>
            </w:pPr>
          </w:p>
        </w:tc>
      </w:tr>
      <w:tr>
        <w:trPr>
          <w:trHeight w:val="410"/>
        </w:trPr>
        <w:tc>
          <w:tcPr>
            <w:tcW w:w="4900" w:type="dxa"/>
            <w:vAlign w:val="bottom"/>
            <w:gridSpan w:val="8"/>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500 11th Avenue North, Suite 850,</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900" w:type="dxa"/>
            <w:vAlign w:val="bottom"/>
            <w:gridSpan w:val="8"/>
          </w:tcPr>
          <w:p>
            <w:pPr>
              <w:jc w:val="center"/>
              <w:ind w:left="650"/>
              <w:spacing w:after="0" w:line="198" w:lineRule="exact"/>
              <w:rPr>
                <w:sz w:val="20"/>
                <w:szCs w:val="20"/>
                <w:color w:val="auto"/>
              </w:rPr>
            </w:pPr>
            <w:r>
              <w:rPr>
                <w:rFonts w:ascii="Times New Roman" w:cs="Times New Roman" w:eastAsia="Times New Roman" w:hAnsi="Times New Roman"/>
                <w:sz w:val="18"/>
                <w:szCs w:val="18"/>
                <w:b w:val="1"/>
                <w:bCs w:val="1"/>
                <w:color w:val="auto"/>
                <w:w w:val="98"/>
              </w:rPr>
              <w:t>Nashville, Tennessee</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4"/>
          </w:tcPr>
          <w:p>
            <w:pPr>
              <w:jc w:val="right"/>
              <w:ind w:right="200"/>
              <w:spacing w:after="0" w:line="198" w:lineRule="exact"/>
              <w:rPr>
                <w:sz w:val="20"/>
                <w:szCs w:val="20"/>
                <w:color w:val="auto"/>
              </w:rPr>
            </w:pPr>
            <w:r>
              <w:rPr>
                <w:rFonts w:ascii="Times New Roman" w:cs="Times New Roman" w:eastAsia="Times New Roman" w:hAnsi="Times New Roman"/>
                <w:sz w:val="18"/>
                <w:szCs w:val="18"/>
                <w:b w:val="1"/>
                <w:bCs w:val="1"/>
                <w:color w:val="auto"/>
              </w:rPr>
              <w:t>37203</w:t>
            </w: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gridSpan w:val="8"/>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40" w:type="dxa"/>
            <w:vAlign w:val="bottom"/>
            <w:gridSpan w:val="4"/>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8"/>
              </w:rPr>
              <w:t>(Zip Code)</w:t>
            </w:r>
          </w:p>
        </w:tc>
        <w:tc>
          <w:tcPr>
            <w:tcW w:w="0" w:type="dxa"/>
            <w:vAlign w:val="bottom"/>
          </w:tcPr>
          <w:p>
            <w:pPr>
              <w:spacing w:after="0"/>
              <w:rPr>
                <w:sz w:val="1"/>
                <w:szCs w:val="1"/>
                <w:color w:val="auto"/>
              </w:rPr>
            </w:pPr>
          </w:p>
        </w:tc>
      </w:tr>
      <w:tr>
        <w:trPr>
          <w:trHeight w:val="391"/>
        </w:trPr>
        <w:tc>
          <w:tcPr>
            <w:tcW w:w="2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(615) 301-3100</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80" w:type="dxa"/>
            <w:vAlign w:val="bottom"/>
            <w:gridSpan w:val="8"/>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4900" w:type="dxa"/>
            <w:vAlign w:val="bottom"/>
            <w:gridSpan w:val="8"/>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340" w:type="dxa"/>
            <w:vAlign w:val="bottom"/>
            <w:gridSpan w:val="2"/>
          </w:tcPr>
          <w:p>
            <w:pPr>
              <w:spacing w:after="0"/>
              <w:rPr>
                <w:sz w:val="24"/>
                <w:szCs w:val="24"/>
                <w:color w:val="auto"/>
              </w:rPr>
            </w:pPr>
          </w:p>
        </w:tc>
        <w:tc>
          <w:tcPr>
            <w:tcW w:w="356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1"/>
        </w:trPr>
        <w:tc>
          <w:tcPr>
            <w:tcW w:w="2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20" w:type="dxa"/>
            <w:vAlign w:val="bottom"/>
            <w:gridSpan w:val="3"/>
            <w:vMerge w:val="restart"/>
          </w:tcPr>
          <w:p>
            <w:pPr>
              <w:jc w:val="center"/>
              <w:ind w:right="1320"/>
              <w:spacing w:after="0"/>
              <w:rPr>
                <w:sz w:val="20"/>
                <w:szCs w:val="20"/>
                <w:color w:val="auto"/>
              </w:rPr>
            </w:pPr>
            <w:r>
              <w:rPr>
                <w:rFonts w:ascii="Times New Roman" w:cs="Times New Roman" w:eastAsia="Times New Roman" w:hAnsi="Times New Roman"/>
                <w:sz w:val="18"/>
                <w:szCs w:val="18"/>
                <w:color w:val="auto"/>
                <w:w w:val="99"/>
              </w:rPr>
              <w:t>HSTM</w:t>
            </w: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7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w:t>
            </w:r>
          </w:p>
        </w:tc>
        <w:tc>
          <w:tcPr>
            <w:tcW w:w="116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242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4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4, 2025, there were 29,641,207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23"/>
        </w:trPr>
        <w:tc>
          <w:tcPr>
            <w:tcW w:w="9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40" w:type="dxa"/>
            <w:vAlign w:val="bottom"/>
            <w:gridSpan w:val="10"/>
          </w:tcPr>
          <w:p>
            <w:pPr>
              <w:jc w:val="center"/>
              <w:ind w:right="1680"/>
              <w:spacing w:after="0" w:line="207" w:lineRule="exact"/>
              <w:rPr>
                <w:sz w:val="20"/>
                <w:szCs w:val="20"/>
                <w:color w:val="auto"/>
              </w:rPr>
            </w:pPr>
            <w:r>
              <w:rPr>
                <w:rFonts w:ascii="Times New Roman" w:cs="Times New Roman" w:eastAsia="Times New Roman" w:hAnsi="Times New Roman"/>
                <w:sz w:val="18"/>
                <w:szCs w:val="18"/>
                <w:b w:val="1"/>
                <w:bCs w:val="1"/>
                <w:color w:val="auto"/>
              </w:rPr>
              <w:t>Index to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Q</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4"/>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40" w:type="dxa"/>
            <w:vAlign w:val="bottom"/>
            <w:gridSpan w:val="10"/>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7"/>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38"/>
        </w:trPr>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27"/>
        </w:trPr>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94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Part I.</w:t>
            </w:r>
          </w:p>
        </w:tc>
        <w:tc>
          <w:tcPr>
            <w:tcW w:w="15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Information</w:t>
            </w:r>
          </w:p>
        </w:tc>
        <w:tc>
          <w:tcPr>
            <w:tcW w:w="7720" w:type="dxa"/>
            <w:vAlign w:val="bottom"/>
            <w:gridSpan w:val="11"/>
          </w:tcPr>
          <w:p>
            <w:pPr>
              <w:spacing w:after="0"/>
              <w:rPr>
                <w:sz w:val="17"/>
                <w:szCs w:val="17"/>
                <w:color w:val="auto"/>
              </w:rPr>
            </w:pPr>
          </w:p>
        </w:tc>
        <w:tc>
          <w:tcPr>
            <w:tcW w:w="88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Pr>
          <w:p>
            <w:pPr>
              <w:spacing w:after="0"/>
              <w:rPr>
                <w:sz w:val="17"/>
                <w:szCs w:val="17"/>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9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68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(Unaudited) – June 30, 2025 and December 31, 2024</w:t>
            </w:r>
          </w:p>
        </w:tc>
        <w:tc>
          <w:tcPr>
            <w:tcW w:w="2500" w:type="dxa"/>
            <w:vAlign w:val="bottom"/>
            <w:gridSpan w:val="5"/>
          </w:tcPr>
          <w:p>
            <w:pPr>
              <w:spacing w:after="0"/>
              <w:rPr>
                <w:sz w:val="21"/>
                <w:szCs w:val="21"/>
                <w:color w:val="auto"/>
              </w:rPr>
            </w:pPr>
          </w:p>
        </w:tc>
        <w:tc>
          <w:tcPr>
            <w:tcW w:w="8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Pr>
          <w:p>
            <w:pPr>
              <w:spacing w:after="0"/>
              <w:rPr>
                <w:sz w:val="21"/>
                <w:szCs w:val="21"/>
                <w:color w:val="auto"/>
              </w:rPr>
            </w:pPr>
          </w:p>
        </w:tc>
      </w:tr>
      <w:tr>
        <w:trPr>
          <w:trHeight w:val="250"/>
        </w:trPr>
        <w:tc>
          <w:tcPr>
            <w:tcW w:w="940" w:type="dxa"/>
            <w:vAlign w:val="bottom"/>
          </w:tcPr>
          <w:p>
            <w:pPr>
              <w:spacing w:after="0"/>
              <w:rPr>
                <w:sz w:val="21"/>
                <w:szCs w:val="21"/>
                <w:color w:val="auto"/>
              </w:rPr>
            </w:pPr>
          </w:p>
        </w:tc>
        <w:tc>
          <w:tcPr>
            <w:tcW w:w="83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Income (Unaudited) – Three and Six Months ended June 30, 2025 and 2024</w:t>
            </w:r>
          </w:p>
        </w:tc>
        <w:tc>
          <w:tcPr>
            <w:tcW w:w="960" w:type="dxa"/>
            <w:vAlign w:val="bottom"/>
            <w:gridSpan w:val="3"/>
          </w:tcPr>
          <w:p>
            <w:pPr>
              <w:spacing w:after="0"/>
              <w:rPr>
                <w:sz w:val="21"/>
                <w:szCs w:val="21"/>
                <w:color w:val="auto"/>
              </w:rPr>
            </w:pPr>
          </w:p>
        </w:tc>
        <w:tc>
          <w:tcPr>
            <w:tcW w:w="8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2</w:t>
            </w:r>
          </w:p>
        </w:tc>
        <w:tc>
          <w:tcPr>
            <w:tcW w:w="20" w:type="dxa"/>
            <w:vAlign w:val="bottom"/>
          </w:tcPr>
          <w:p>
            <w:pPr>
              <w:spacing w:after="0"/>
              <w:rPr>
                <w:sz w:val="21"/>
                <w:szCs w:val="2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Comprehensive Income (Unaudited) – Three and Six Months ended June 30, 2025 and</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3</w:t>
            </w:r>
          </w:p>
        </w:tc>
      </w:tr>
      <w:tr>
        <w:trPr>
          <w:trHeight w:val="196"/>
        </w:trPr>
        <w:tc>
          <w:tcPr>
            <w:tcW w:w="94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2024</w:t>
            </w: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940" w:type="dxa"/>
            <w:vAlign w:val="bottom"/>
          </w:tcPr>
          <w:p>
            <w:pPr>
              <w:spacing w:after="0"/>
              <w:rPr>
                <w:sz w:val="21"/>
                <w:szCs w:val="21"/>
                <w:color w:val="auto"/>
              </w:rPr>
            </w:pP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Statement of Shareholders' Equity (Unaudited) – Three and Six Months ended June 30, 2025 and 2024</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4</w:t>
            </w:r>
          </w:p>
        </w:tc>
      </w:tr>
      <w:tr>
        <w:trPr>
          <w:trHeight w:val="250"/>
        </w:trPr>
        <w:tc>
          <w:tcPr>
            <w:tcW w:w="940" w:type="dxa"/>
            <w:vAlign w:val="bottom"/>
          </w:tcPr>
          <w:p>
            <w:pPr>
              <w:spacing w:after="0"/>
              <w:rPr>
                <w:sz w:val="21"/>
                <w:szCs w:val="21"/>
                <w:color w:val="auto"/>
              </w:rPr>
            </w:pPr>
          </w:p>
        </w:tc>
        <w:tc>
          <w:tcPr>
            <w:tcW w:w="788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(Unaudited) – Six Months ended June 30, 2025 and 2024</w:t>
            </w:r>
          </w:p>
        </w:tc>
        <w:tc>
          <w:tcPr>
            <w:tcW w:w="1340" w:type="dxa"/>
            <w:vAlign w:val="bottom"/>
            <w:tcBorders>
              <w:top w:val="single" w:sz="8" w:color="0000EE"/>
            </w:tcBorders>
            <w:gridSpan w:val="2"/>
          </w:tcPr>
          <w:p>
            <w:pPr>
              <w:spacing w:after="0"/>
              <w:rPr>
                <w:sz w:val="21"/>
                <w:szCs w:val="21"/>
                <w:color w:val="auto"/>
              </w:rPr>
            </w:pPr>
          </w:p>
        </w:tc>
        <w:tc>
          <w:tcPr>
            <w:tcW w:w="80" w:type="dxa"/>
            <w:vAlign w:val="bottom"/>
            <w:gridSpan w:val="2"/>
          </w:tcPr>
          <w:p>
            <w:pPr>
              <w:spacing w:after="0"/>
              <w:rPr>
                <w:sz w:val="21"/>
                <w:szCs w:val="21"/>
                <w:color w:val="auto"/>
              </w:rPr>
            </w:pPr>
          </w:p>
        </w:tc>
        <w:tc>
          <w:tcPr>
            <w:tcW w:w="88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5</w:t>
            </w:r>
          </w:p>
        </w:tc>
        <w:tc>
          <w:tcPr>
            <w:tcW w:w="20" w:type="dxa"/>
            <w:vAlign w:val="bottom"/>
          </w:tcPr>
          <w:p>
            <w:pPr>
              <w:spacing w:after="0"/>
              <w:rPr>
                <w:sz w:val="21"/>
                <w:szCs w:val="2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6</w:t>
            </w:r>
          </w:p>
        </w:tc>
      </w:tr>
      <w:tr>
        <w:trPr>
          <w:trHeight w:val="20"/>
        </w:trPr>
        <w:tc>
          <w:tcPr>
            <w:tcW w:w="9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860" w:type="dxa"/>
            <w:vAlign w:val="bottom"/>
            <w:gridSpan w:val="6"/>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12</w:t>
            </w:r>
          </w:p>
        </w:tc>
      </w:tr>
      <w:tr>
        <w:trPr>
          <w:trHeight w:val="20"/>
        </w:trPr>
        <w:tc>
          <w:tcPr>
            <w:tcW w:w="9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860" w:type="dxa"/>
            <w:vAlign w:val="bottom"/>
            <w:gridSpan w:val="6"/>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18</w:t>
            </w:r>
          </w:p>
        </w:tc>
      </w:tr>
      <w:tr>
        <w:trPr>
          <w:trHeight w:val="20"/>
        </w:trPr>
        <w:tc>
          <w:tcPr>
            <w:tcW w:w="9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43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5000" w:type="dxa"/>
            <w:vAlign w:val="bottom"/>
            <w:gridSpan w:val="9"/>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18</w:t>
            </w:r>
          </w:p>
        </w:tc>
      </w:tr>
      <w:tr>
        <w:trPr>
          <w:trHeight w:val="20"/>
        </w:trPr>
        <w:tc>
          <w:tcPr>
            <w:tcW w:w="9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 II.</w:t>
            </w: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440" w:type="dxa"/>
            <w:vAlign w:val="bottom"/>
            <w:gridSpan w:val="3"/>
          </w:tcPr>
          <w:p>
            <w:pPr>
              <w:spacing w:after="0"/>
              <w:rPr>
                <w:sz w:val="21"/>
                <w:szCs w:val="21"/>
                <w:color w:val="auto"/>
              </w:rPr>
            </w:pPr>
          </w:p>
        </w:tc>
        <w:tc>
          <w:tcPr>
            <w:tcW w:w="7540" w:type="dxa"/>
            <w:vAlign w:val="bottom"/>
            <w:gridSpan w:val="10"/>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19</w:t>
            </w:r>
          </w:p>
        </w:tc>
      </w:tr>
      <w:tr>
        <w:trPr>
          <w:trHeight w:val="20"/>
        </w:trPr>
        <w:tc>
          <w:tcPr>
            <w:tcW w:w="9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20" w:type="dxa"/>
            <w:vAlign w:val="bottom"/>
            <w:tcBorders>
              <w:left w:val="single" w:sz="8" w:color="0000EE"/>
            </w:tcBorders>
            <w:gridSpan w:val="5"/>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5"/>
              </w:rPr>
              <w:t>Legal Proceedings</w:t>
            </w:r>
          </w:p>
        </w:tc>
        <w:tc>
          <w:tcPr>
            <w:tcW w:w="7980" w:type="dxa"/>
            <w:vAlign w:val="bottom"/>
            <w:gridSpan w:val="13"/>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19</w:t>
            </w:r>
          </w:p>
        </w:tc>
      </w:tr>
      <w:tr>
        <w:trPr>
          <w:trHeight w:val="20"/>
        </w:trPr>
        <w:tc>
          <w:tcPr>
            <w:tcW w:w="9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20" w:type="dxa"/>
            <w:vAlign w:val="bottom"/>
            <w:tcBorders>
              <w:left w:val="single" w:sz="8" w:color="0000EE"/>
            </w:tcBorders>
            <w:gridSpan w:val="5"/>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7980" w:type="dxa"/>
            <w:vAlign w:val="bottom"/>
            <w:gridSpan w:val="13"/>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19</w:t>
            </w:r>
          </w:p>
        </w:tc>
      </w:tr>
      <w:tr>
        <w:trPr>
          <w:trHeight w:val="20"/>
        </w:trPr>
        <w:tc>
          <w:tcPr>
            <w:tcW w:w="9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20</w:t>
            </w:r>
          </w:p>
        </w:tc>
      </w:tr>
      <w:tr>
        <w:trPr>
          <w:trHeight w:val="20"/>
        </w:trPr>
        <w:tc>
          <w:tcPr>
            <w:tcW w:w="9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20" w:type="dxa"/>
            <w:vAlign w:val="bottom"/>
            <w:tcBorders>
              <w:left w:val="single" w:sz="8" w:color="0000EE"/>
            </w:tcBorders>
            <w:gridSpan w:val="5"/>
            <w:shd w:val="clear" w:color="auto" w:fill="0000EE"/>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3020" w:type="dxa"/>
            <w:vAlign w:val="bottom"/>
            <w:gridSpan w:val="5"/>
          </w:tcPr>
          <w:p>
            <w:pPr>
              <w:spacing w:after="0"/>
              <w:rPr>
                <w:sz w:val="21"/>
                <w:szCs w:val="21"/>
                <w:color w:val="auto"/>
              </w:rPr>
            </w:pPr>
          </w:p>
        </w:tc>
        <w:tc>
          <w:tcPr>
            <w:tcW w:w="4960" w:type="dxa"/>
            <w:vAlign w:val="bottom"/>
            <w:gridSpan w:val="8"/>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20</w:t>
            </w:r>
          </w:p>
        </w:tc>
      </w:tr>
      <w:tr>
        <w:trPr>
          <w:trHeight w:val="20"/>
        </w:trPr>
        <w:tc>
          <w:tcPr>
            <w:tcW w:w="9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98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720" w:type="dxa"/>
            <w:vAlign w:val="bottom"/>
            <w:gridSpan w:val="3"/>
          </w:tcPr>
          <w:p>
            <w:pPr>
              <w:spacing w:after="0"/>
              <w:rPr>
                <w:sz w:val="21"/>
                <w:szCs w:val="21"/>
                <w:color w:val="auto"/>
              </w:rPr>
            </w:pPr>
          </w:p>
        </w:tc>
        <w:tc>
          <w:tcPr>
            <w:tcW w:w="7980" w:type="dxa"/>
            <w:vAlign w:val="bottom"/>
            <w:gridSpan w:val="13"/>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21</w:t>
            </w:r>
          </w:p>
        </w:tc>
      </w:tr>
      <w:tr>
        <w:trPr>
          <w:trHeight w:val="20"/>
        </w:trPr>
        <w:tc>
          <w:tcPr>
            <w:tcW w:w="9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300" w:type="dxa"/>
            <w:vAlign w:val="bottom"/>
            <w:gridSpan w:val="1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SIGNATURE</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22</w:t>
            </w:r>
          </w:p>
        </w:tc>
      </w:tr>
      <w:tr>
        <w:trPr>
          <w:trHeight w:val="622"/>
        </w:trPr>
        <w:tc>
          <w:tcPr>
            <w:tcW w:w="940" w:type="dxa"/>
            <w:vAlign w:val="bottom"/>
            <w:tcBorders>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ind w:left="3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52,102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59,469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38,517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37,748</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26,926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30,189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 unbilled</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5,133</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144,396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153,122</w:t>
            </w:r>
          </w:p>
        </w:tc>
      </w:tr>
      <w:tr>
        <w:trPr>
          <w:trHeight w:val="216"/>
        </w:trPr>
        <w:tc>
          <w:tcPr>
            <w:tcW w:w="8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10,741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development, net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44,580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43,370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17,453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191,845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191,220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48,865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55,548</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500,148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510,766</w:t>
            </w:r>
          </w:p>
        </w:tc>
      </w:tr>
      <w:tr>
        <w:trPr>
          <w:trHeight w:val="20"/>
        </w:trPr>
        <w:tc>
          <w:tcPr>
            <w:tcW w:w="8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4,043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6,628</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royalties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10,141</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9,507</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84,227</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115,378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115,693</w:t>
            </w:r>
          </w:p>
        </w:tc>
      </w:tr>
      <w:tr>
        <w:trPr>
          <w:trHeight w:val="216"/>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14,596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17,366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Preferred Stock, no par value, 10,000 shares authorized, no shares issued or outstanding</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no par value, 75,000 shares authorized; 29,897 and 30,432 shares issued and</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outstanding at June 30, 2025 and December 31, 2024, respectively</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235,041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252,432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116,804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108,972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(2,049)</w:t>
            </w:r>
          </w:p>
        </w:tc>
      </w:tr>
      <w:tr>
        <w:trPr>
          <w:trHeight w:val="210"/>
        </w:trPr>
        <w:tc>
          <w:tcPr>
            <w:tcW w:w="8000" w:type="dxa"/>
            <w:vAlign w:val="bottom"/>
            <w:tcBorders>
              <w:top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350,567</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359,355</w:t>
            </w:r>
          </w:p>
        </w:tc>
        <w:tc>
          <w:tcPr>
            <w:tcW w:w="100" w:type="dxa"/>
            <w:vAlign w:val="bottom"/>
            <w:tcBorders>
              <w:top w:val="single" w:sz="8" w:color="CCEEFF"/>
            </w:tcBorders>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500,148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510,766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2740" w:type="dxa"/>
            <w:vAlign w:val="bottom"/>
            <w:gridSpan w:val="4"/>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720" w:type="dxa"/>
            <w:vAlign w:val="bottom"/>
            <w:gridSpan w:val="9"/>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 (UNAUDITED)</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080" w:type="dxa"/>
            <w:vAlign w:val="bottom"/>
            <w:gridSpan w:val="5"/>
          </w:tcPr>
          <w:p>
            <w:pPr>
              <w:jc w:val="center"/>
              <w:ind w:left="251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24"/>
                <w:szCs w:val="24"/>
                <w:color w:val="auto"/>
              </w:rPr>
            </w:pPr>
          </w:p>
        </w:tc>
        <w:tc>
          <w:tcPr>
            <w:tcW w:w="22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10"/>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18"/>
                <w:szCs w:val="18"/>
                <w:color w:val="auto"/>
              </w:rPr>
            </w:pPr>
          </w:p>
        </w:tc>
      </w:tr>
      <w:tr>
        <w:trPr>
          <w:trHeight w:val="20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6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74,396</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71,556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147,881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144,316</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Cost of revenues (excluding depreciation and amortization)</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26,364</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23,738</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51,851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48,355</w:t>
            </w:r>
          </w:p>
        </w:tc>
      </w:tr>
      <w:tr>
        <w:trPr>
          <w:trHeight w:val="216"/>
        </w:trPr>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Product development</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12,073</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12,076</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24,121</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24,107</w:t>
            </w:r>
          </w:p>
        </w:tc>
      </w:tr>
      <w:tr>
        <w:trPr>
          <w:trHeight w:val="216"/>
        </w:trPr>
        <w:tc>
          <w:tcPr>
            <w:tcW w:w="4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11,808</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11,405</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23,958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23,179</w:t>
            </w:r>
          </w:p>
        </w:tc>
      </w:tr>
      <w:tr>
        <w:trPr>
          <w:trHeight w:val="216"/>
        </w:trPr>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9,556</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16,066</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17,868</w:t>
            </w:r>
          </w:p>
        </w:tc>
      </w:tr>
      <w:tr>
        <w:trPr>
          <w:trHeight w:val="216"/>
        </w:trPr>
        <w:tc>
          <w:tcPr>
            <w:tcW w:w="4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10,867</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10,370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21,621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20,706</w:t>
            </w: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68,510</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67,145</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137,617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134,215</w:t>
            </w:r>
          </w:p>
        </w:tc>
      </w:tr>
      <w:tr>
        <w:trPr>
          <w:trHeight w:val="216"/>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5,886</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4,411</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10,264</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10,101</w:t>
            </w:r>
          </w:p>
        </w:tc>
      </w:tr>
      <w:tr>
        <w:trPr>
          <w:trHeight w:val="216"/>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958</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944</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1,889</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1,848</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r>
      <w:tr>
        <w:trPr>
          <w:trHeight w:val="210"/>
        </w:trPr>
        <w:tc>
          <w:tcPr>
            <w:tcW w:w="12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5,300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12,114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11,842</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1,132</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2,393</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2,448</w:t>
            </w: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4,168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9,721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9,394</w:t>
            </w:r>
          </w:p>
        </w:tc>
      </w:tr>
      <w:tr>
        <w:trPr>
          <w:trHeight w:val="197"/>
        </w:trPr>
        <w:tc>
          <w:tcPr>
            <w:tcW w:w="1280" w:type="dxa"/>
            <w:vAlign w:val="bottom"/>
            <w:tcBorders>
              <w:top w:val="single" w:sz="8" w:color="CCEEFF"/>
            </w:tcBorders>
          </w:tcPr>
          <w:p>
            <w:pPr>
              <w:spacing w:after="0"/>
              <w:rPr>
                <w:sz w:val="17"/>
                <w:szCs w:val="17"/>
                <w:color w:val="auto"/>
              </w:rPr>
            </w:pPr>
          </w:p>
        </w:tc>
        <w:tc>
          <w:tcPr>
            <w:tcW w:w="334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16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0.18</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0.31</w:t>
            </w: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6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620" w:type="dxa"/>
            <w:vAlign w:val="bottom"/>
            <w:gridSpan w:val="2"/>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0.18</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0.14</w:t>
            </w:r>
          </w:p>
        </w:tc>
        <w:tc>
          <w:tcPr>
            <w:tcW w:w="300" w:type="dxa"/>
            <w:vAlign w:val="bottom"/>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0.32</w:t>
            </w:r>
          </w:p>
        </w:tc>
        <w:tc>
          <w:tcPr>
            <w:tcW w:w="320" w:type="dxa"/>
            <w:vAlign w:val="bottom"/>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0.31</w:t>
            </w:r>
          </w:p>
        </w:tc>
      </w:tr>
      <w:tr>
        <w:trPr>
          <w:trHeight w:val="196"/>
        </w:trPr>
        <w:tc>
          <w:tcPr>
            <w:tcW w:w="1280" w:type="dxa"/>
            <w:vAlign w:val="bottom"/>
            <w:tcBorders>
              <w:top w:val="single" w:sz="8" w:color="CCEEFF"/>
            </w:tcBorders>
          </w:tcPr>
          <w:p>
            <w:pPr>
              <w:spacing w:after="0"/>
              <w:rPr>
                <w:sz w:val="17"/>
                <w:szCs w:val="17"/>
                <w:color w:val="auto"/>
              </w:rPr>
            </w:pPr>
          </w:p>
        </w:tc>
        <w:tc>
          <w:tcPr>
            <w:tcW w:w="334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30,320</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30,401</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30,382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30,357</w:t>
            </w: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4620" w:type="dxa"/>
            <w:vAlign w:val="bottom"/>
            <w:gridSpan w:val="2"/>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30,450</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30,526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30,519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30,472</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46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Dividends declared per share</w:t>
            </w:r>
          </w:p>
        </w:tc>
        <w:tc>
          <w:tcPr>
            <w:tcW w:w="1620" w:type="dxa"/>
            <w:vAlign w:val="bottom"/>
            <w:gridSpan w:val="2"/>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0.031</w:t>
            </w:r>
          </w:p>
        </w:tc>
        <w:tc>
          <w:tcPr>
            <w:tcW w:w="260" w:type="dxa"/>
            <w:vAlign w:val="bottom"/>
          </w:tcPr>
          <w:p>
            <w:pPr>
              <w:spacing w:after="0"/>
              <w:rPr>
                <w:sz w:val="17"/>
                <w:szCs w:val="17"/>
                <w:color w:val="auto"/>
              </w:rPr>
            </w:pP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0.028</w:t>
            </w: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0.062</w:t>
            </w: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0.056</w:t>
            </w: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2800" w:type="dxa"/>
            <w:vAlign w:val="bottom"/>
          </w:tcPr>
          <w:p>
            <w:pPr>
              <w:spacing w:after="0"/>
              <w:rPr>
                <w:sz w:val="24"/>
                <w:szCs w:val="24"/>
                <w:color w:val="auto"/>
              </w:rPr>
            </w:pPr>
          </w:p>
        </w:tc>
        <w:tc>
          <w:tcPr>
            <w:tcW w:w="33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740" w:type="dxa"/>
            <w:vAlign w:val="bottom"/>
            <w:gridSpan w:val="11"/>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 (UNAUDITED)</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240" w:type="dxa"/>
            <w:vAlign w:val="bottom"/>
            <w:gridSpan w:val="2"/>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1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5"/>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24"/>
                <w:szCs w:val="24"/>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3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Pr>
          <w:p>
            <w:pPr>
              <w:spacing w:after="0"/>
              <w:rPr>
                <w:sz w:val="19"/>
                <w:szCs w:val="19"/>
                <w:color w:val="auto"/>
              </w:rPr>
            </w:pPr>
          </w:p>
        </w:tc>
        <w:tc>
          <w:tcPr>
            <w:tcW w:w="1320" w:type="dxa"/>
            <w:vAlign w:val="bottom"/>
            <w:tcBorders>
              <w:top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19"/>
                <w:szCs w:val="19"/>
                <w:color w:val="auto"/>
              </w:rPr>
            </w:pPr>
          </w:p>
        </w:tc>
      </w:tr>
      <w:tr>
        <w:trPr>
          <w:trHeight w:val="209"/>
        </w:trPr>
        <w:tc>
          <w:tcPr>
            <w:tcW w:w="40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9,721</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1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754</w:t>
            </w:r>
          </w:p>
        </w:tc>
        <w:tc>
          <w:tcPr>
            <w:tcW w:w="400" w:type="dxa"/>
            <w:vAlign w:val="bottom"/>
          </w:tcPr>
          <w:p>
            <w:pPr>
              <w:spacing w:after="0"/>
              <w:rPr>
                <w:sz w:val="18"/>
                <w:szCs w:val="18"/>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803</w:t>
            </w:r>
          </w:p>
        </w:tc>
        <w:tc>
          <w:tcPr>
            <w:tcW w:w="6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29"/>
        </w:trPr>
        <w:tc>
          <w:tcPr>
            <w:tcW w:w="4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6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4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9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22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4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9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10,492</w:t>
            </w: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2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8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8740" w:type="dxa"/>
            <w:vAlign w:val="bottom"/>
            <w:gridSpan w:val="1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SHAREHOLDERS' EQUITY (UNAUDITED)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16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8"/>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80" w:type="dxa"/>
            <w:vAlign w:val="bottom"/>
            <w:gridSpan w:val="5"/>
            <w:vMerge w:val="restart"/>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8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18"/>
                <w:szCs w:val="18"/>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(Loss)/Income</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252,432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108,972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(2,049)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359,355</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4,332</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4,332</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declared on common stock ($0.031 per share)</w:t>
            </w:r>
          </w:p>
        </w:tc>
        <w:tc>
          <w:tcPr>
            <w:tcW w:w="4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(943)</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1,104</w:t>
            </w:r>
          </w:p>
        </w:tc>
        <w:tc>
          <w:tcPr>
            <w:tcW w:w="0" w:type="dxa"/>
            <w:vAlign w:val="bottom"/>
          </w:tcPr>
          <w:p>
            <w:pPr>
              <w:spacing w:after="0"/>
              <w:rPr>
                <w:sz w:val="1"/>
                <w:szCs w:val="1"/>
                <w:color w:val="auto"/>
              </w:rPr>
            </w:pPr>
          </w:p>
        </w:tc>
      </w:tr>
      <w:tr>
        <w:trPr>
          <w:trHeight w:val="198"/>
        </w:trPr>
        <w:tc>
          <w:tcPr>
            <w:tcW w:w="41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under stock plans, net of shares</w:t>
            </w:r>
          </w:p>
        </w:tc>
        <w:tc>
          <w:tcPr>
            <w:tcW w:w="480" w:type="dxa"/>
            <w:vAlign w:val="bottom"/>
            <w:vMerge w:val="restart"/>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(1,070)</w:t>
            </w:r>
          </w:p>
        </w:tc>
        <w:tc>
          <w:tcPr>
            <w:tcW w:w="14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21"/>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withheld for employee taxes</w:t>
            </w:r>
          </w:p>
        </w:tc>
        <w:tc>
          <w:tcPr>
            <w:tcW w:w="48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252,466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112,361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362,808</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5,389</w:t>
            </w:r>
          </w:p>
        </w:tc>
        <w:tc>
          <w:tcPr>
            <w:tcW w:w="22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5,389</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declared on common stock ($0.031 per share)</w:t>
            </w:r>
          </w:p>
        </w:tc>
        <w:tc>
          <w:tcPr>
            <w:tcW w:w="4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(946)</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198"/>
        </w:trPr>
        <w:tc>
          <w:tcPr>
            <w:tcW w:w="41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under stock plans, net of shares</w:t>
            </w: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withheld for employee taxes</w:t>
            </w:r>
          </w:p>
        </w:tc>
        <w:tc>
          <w:tcPr>
            <w:tcW w:w="1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Excise tax on repurchases of common stock</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4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(18,121)</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(18,121)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29,897</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235,041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116,804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350,567</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8"/>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80" w:type="dxa"/>
            <w:vAlign w:val="bottom"/>
            <w:gridSpan w:val="5"/>
            <w:vMerge w:val="restart"/>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8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30,298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249,075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92,368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340,752</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5,227</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5,227</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declared on common stock ($0.028 per share)</w:t>
            </w:r>
          </w:p>
        </w:tc>
        <w:tc>
          <w:tcPr>
            <w:tcW w:w="4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(849)</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r>
        <w:trPr>
          <w:trHeight w:val="198"/>
        </w:trPr>
        <w:tc>
          <w:tcPr>
            <w:tcW w:w="41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under stock plans, net of shares</w:t>
            </w:r>
          </w:p>
        </w:tc>
        <w:tc>
          <w:tcPr>
            <w:tcW w:w="480" w:type="dxa"/>
            <w:vAlign w:val="bottom"/>
            <w:vMerge w:val="restart"/>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(855)</w:t>
            </w:r>
          </w:p>
        </w:tc>
        <w:tc>
          <w:tcPr>
            <w:tcW w:w="14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21"/>
        </w:trPr>
        <w:tc>
          <w:tcPr>
            <w:tcW w:w="4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withheld for employee taxes</w:t>
            </w:r>
          </w:p>
        </w:tc>
        <w:tc>
          <w:tcPr>
            <w:tcW w:w="48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249,280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96,746</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344,854</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4,168</w:t>
            </w:r>
          </w:p>
        </w:tc>
        <w:tc>
          <w:tcPr>
            <w:tcW w:w="22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4,168</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declared on common stock ($0.028 per share)</w:t>
            </w:r>
          </w:p>
        </w:tc>
        <w:tc>
          <w:tcPr>
            <w:tcW w:w="4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(851)</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198"/>
        </w:trPr>
        <w:tc>
          <w:tcPr>
            <w:tcW w:w="41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under stock plans, net of shares</w:t>
            </w:r>
          </w:p>
        </w:tc>
        <w:tc>
          <w:tcPr>
            <w:tcW w:w="480" w:type="dxa"/>
            <w:vAlign w:val="bottom"/>
            <w:vMerge w:val="restart"/>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1"/>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withheld for employee taxes</w:t>
            </w:r>
          </w:p>
        </w:tc>
        <w:tc>
          <w:tcPr>
            <w:tcW w:w="48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250,368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100,063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(1,217)</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349,214</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8"/>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9,721</w:t>
            </w:r>
          </w:p>
        </w:tc>
        <w:tc>
          <w:tcPr>
            <w:tcW w:w="3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21,621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1,940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commissions</w:t>
            </w:r>
          </w:p>
        </w:tc>
        <w:tc>
          <w:tcPr>
            <w:tcW w:w="9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6,017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equity method investments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and unbilled receivables</w:t>
            </w:r>
          </w:p>
        </w:tc>
        <w:tc>
          <w:tcPr>
            <w:tcW w:w="9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3,465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(1,728)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9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(8,596)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(5,516)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(3,858)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(8,912)</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royalties</w:t>
            </w:r>
          </w:p>
        </w:tc>
        <w:tc>
          <w:tcPr>
            <w:tcW w:w="9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9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3,692</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2,985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26,073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29,196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9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(26,100)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(34,526)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non-marketable equity investments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other investments</w:t>
            </w:r>
          </w:p>
        </w:tc>
        <w:tc>
          <w:tcPr>
            <w:tcW w:w="9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associated with capitalized software development</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(14,500)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(13,552)</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(3,372)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(18,399)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(19,031)</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Taxes paid related to net settlement of equity awards</w:t>
            </w:r>
          </w:p>
        </w:tc>
        <w:tc>
          <w:tcPr>
            <w:tcW w:w="9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cash dividends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(1,890)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(18,121)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(21,086)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9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59,469</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40,333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52,102</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46,131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 accrued but not paid</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Capitalized software development, accrued but not paid</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vMerge w:val="continue"/>
          </w:tcPr>
          <w:p>
            <w:pPr>
              <w:spacing w:after="0"/>
              <w:rPr>
                <w:sz w:val="17"/>
                <w:szCs w:val="17"/>
                <w:color w:val="auto"/>
              </w:rPr>
            </w:pPr>
          </w:p>
        </w:tc>
        <w:tc>
          <w:tcPr>
            <w:tcW w:w="920" w:type="dxa"/>
            <w:vAlign w:val="bottom"/>
            <w:tcBorders>
              <w:bottom w:val="single" w:sz="8" w:color="auto"/>
            </w:tcBorders>
          </w:tcPr>
          <w:p>
            <w:pPr>
              <w:jc w:val="right"/>
              <w:ind w:right="7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611</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383</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OVERVIEW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HealthStream provides primarily Software-as-a-Service ("SaaS") based applications for healthcare organizations—all designed to improve business and clinical outcomes by supporting the people who deliver patient care. The Company is focused on helping individuals and organizations in healthcare meet their ongoing learning, clinical development, credentialing, and scheduling needs. The Company also provides its solutions to nursing schools and nursing students.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organized and operated according to its One HealthStream approach, with its hStream technology platform at the center of that approach. Increasingly, SaaS-based applications in the Company's diverse ecosystem of solutions utilize the Company's proprietary hStream technology platform to enhance the value proposition for customers by creating interoperability with and among other applications. We believe that our single platform strategy, as represented by hStream, is the best way to realize our mission of improving the quality of care by developing the people who deliver care and the best way to create value for our shareholders in the process. As used in this Quarterly Report on Form 10-Q (“Form 10-Q”), “HealthStream,” “Company,” “we,” “us,” and “our” mean HealthStream, Inc. and its subsidiaries, unless the context indicates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(“US GAAP”) for interim financial information and with the instructions to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Article 10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intercompany transactions have been eliminated in consolidation and certain prior period amounts have been reclassified to conform to the current period presentation. Operating results for the three and six months ended June 30, 2025 are not necessarily indicative of the results that may be expected for the year ending December 31, 2025.</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Condensed Consolidated Balance Sheet at December 31, 2024 was derived from the audited Consolidated Financial Statements at that date but does not include all of the information and footnotes required by US GAAP for a complete set of financial statements. For further information, refer to the Consolidated Financial Statements and Notes thereto for the year ended December 31, 2024 (included in the Company's Annual Report on Form 10-K, filed with the Securities and Exchange Commission on February 28,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chief operating decision maker ("CODM") is its Chief Executive Officer. Since January 1, 2023, the Company’s business has been organized and managed around a consolidated, enterprise approach, including with regard to technology, operations, accounting, internal reporting (including the nature of information reviewed by the CODM), organization structure, compensation, performance assessment, and resource allocation. The Company’s CODM uses consolidated net income to make operating decisions, assess financial performance, and allocate resources. Further, the CODM reviews and utilizes functional expenses (cost of revenues, product development, sales and marketing, general and administrative, and depreciation and amortization) at the consolidated level to manage the Company's operations. Other segment items included in consolidated net income are interest income, other income (expense), net, and income tax provision, which are reflected in the Condensed Consolidated Statements of Income. Expenditures for additions to long-lived assets for the consolidated entity were $23.2 million and $19.4 million for the six months ended June 30, 2025 and 2024,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Non-Marketable Equity Investments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carrying amount of non-marketable equity investments accounted for using the measurement alternative for equity investments that do not have readily determinable fair values was $1.5 million as of June 30, 2025 and December 31, 2024, which the Company evaluates for impairment at each reporting period. Cumulatively, there have been no adjustments recorded due to changes in the fair value of the non-marketable equity investments the Company held as of June 30, 2025. The fair value of non-marketable equity investments is not estimated if there are no identified events or changes in circumstances that may have a significant adverse effect on the fair value of the investment.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280): Improvements to Reportable Segment Disclosures</w:t>
      </w:r>
      <w:r>
        <w:rPr>
          <w:rFonts w:ascii="Times New Roman" w:cs="Times New Roman" w:eastAsia="Times New Roman" w:hAnsi="Times New Roman"/>
          <w:sz w:val="18"/>
          <w:szCs w:val="18"/>
          <w:color w:val="auto"/>
        </w:rPr>
        <w:t>. The new guidance requires disclosures of significant reportable segment expenses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regularly provided to the CODM and other segment items on an interim and annual basis. Entities with a single reportable segment will also be required to apply the disclosure requirements in ASU 2023-07 on an interim and annual basis. ASU 2023-07 was effective for the Company for annual periods beginning after December 15, 2023 and interim periods within fiscal years beginning after December 15, 2024. The Company adopted this standard effective January 1, 2024 using a retrospective method.</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public entities to provide disclosure of disaggregated information in the entity’s tax rate reconciliation, as well as disclosure of income taxes paid disaggregated by jurisdiction. ASU 2023-09 is effective for fiscal years beginning after December 15, 2024. The Company is currently evaluating the effect of this standard on its disclosures and will adopt the standard effective for the annual period ending December 31, 2025.</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requires disclosure of disaggregated information about specific categories underlying certain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expense line items in the footnotes to the financial statements for both annual and interim periods. This ASU is effective for fiscal years beginning after December 15, 2026, and interim reporting periods beginning after December 15, 2027. Early adoption is permitted. The Company is currently evaluating the impact of the adoption of this standard.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are recognized when control of the promised goods or services is transferred to the customer in an amount that reflects the consideration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expects to be entitled in exchange for transferring those goods or services. Revenue is recognized based on the following five step model:</w:t>
      </w:r>
    </w:p>
    <w:p>
      <w:pPr>
        <w:spacing w:after="0" w:line="207" w:lineRule="exact"/>
        <w:rPr>
          <w:sz w:val="20"/>
          <w:szCs w:val="20"/>
          <w:color w:val="auto"/>
        </w:rPr>
      </w:pPr>
    </w:p>
    <w:p>
      <w:pPr>
        <w:ind w:left="420" w:hanging="210"/>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with a customer</w:t>
      </w:r>
    </w:p>
    <w:p>
      <w:pPr>
        <w:spacing w:after="0" w:line="27"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9"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9"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9"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revenues disaggregated by revenue source (in thousands). Sales taxes are excluded from revenues.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Pr>
          <w:p>
            <w:pPr>
              <w:spacing w:after="0"/>
              <w:rPr>
                <w:sz w:val="20"/>
                <w:szCs w:val="20"/>
                <w:color w:val="auto"/>
              </w:rPr>
            </w:pPr>
          </w:p>
        </w:tc>
        <w:tc>
          <w:tcPr>
            <w:tcW w:w="24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98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services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71,941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139,218</w:t>
            </w:r>
          </w:p>
        </w:tc>
        <w:tc>
          <w:tcPr>
            <w:tcW w:w="100" w:type="dxa"/>
            <w:vAlign w:val="bottom"/>
            <w:shd w:val="clear" w:color="auto" w:fill="CCEEFF"/>
          </w:tcPr>
          <w:p>
            <w:pPr>
              <w:spacing w:after="0"/>
              <w:rPr>
                <w:sz w:val="18"/>
                <w:szCs w:val="18"/>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2,455</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2,543</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5,151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5,098</w:t>
            </w:r>
          </w:p>
        </w:tc>
      </w:tr>
      <w:tr>
        <w:trPr>
          <w:trHeight w:val="223"/>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 net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147,881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2025 and 2024, the Company recognized $0.2 million and $1.6 million in impairment losses on receivables and contract assets arising from the Company's contracts with customers, respectively. For the six months ended June 30, 2025 and 2024, the Company recognized $0.4 million and $1.8 million in impairment losses on receivables and contract assets arising from the Company's contracts with customers, respectively.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June 30, 2025 and 2024, the Company recognized revenues of $49.1 million and $47.2 million, respectively, from amounts included in deferred revenue at the beginning of the respective periods. During the six months ended June 30, 2025 and 2024, the Company recognized revenues of $69.1 million and $65.2 million, respectively, from the amounts included in deferred revenue at the beginning of the respective periods. As of June 30, 2025, approximately $618 million of revenue is expected to be recognized from remaining performance obligations under contracts with customers. The Company expects to recognize revenue related to approximately 39% of these remaining performance obligations over the next 12 months, 68% over the next 24 months, and 85% over the next 36 months, with the remaining amounts recognized thereafter.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The Company computes its interim period provision for income taxes by applying the estimated annual effective tax rate to year-to-date pretax income or loss and adjusts the provision for discrete tax items recorded in the period. The Company’s effective tax rate was 20% and 21% for the six months ended June 30, 2025 and 2024, respectively. The Company’s effective tax rate primarily reflects the statutory corporate income tax rate, the net effect of state taxes, foreign income taxes, the effect of various permanent tax differences, and recognition of discrete tax items.</w:t>
      </w:r>
    </w:p>
    <w:p>
      <w:pPr>
        <w:sectPr>
          <w:pgSz w:w="11900" w:h="16838" w:orient="portrait"/>
          <w:cols w:equalWidth="0" w:num="1">
            <w:col w:w="11240"/>
          </w:cols>
          <w:pgMar w:left="320" w:top="121" w:right="3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4, 2025, the federal budget reconciliation legislation, commonly referred to as the One Big Beautiful Bill ("OBBB”), was signed into law. The OBBB includes significant changes to federal tax law and other regulatory provisions that may impact the Company, including modifications to capitalization of research and development expenses, limitations on deductions for interest expense, and accelerated fixed asset depreciation. The Company is currently evaluating the provisions of the new law and the potential effects on its financial position, results of operations, and cash flows. As of the date of these financial statements, the Company has not completed its assessment, and, therefore, no adjustments have been made. Additional disclosures will be provided in future periods as the impact of the legislation is determined.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SHAREHOLDERS'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on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2025, the Company's Board of Directors (“Board”) declared the following quarterly dividends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dividend policy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Dividend Payment Date</w:t>
            </w:r>
          </w:p>
        </w:tc>
        <w:tc>
          <w:tcPr>
            <w:tcW w:w="100" w:type="dxa"/>
            <w:vAlign w:val="bottom"/>
          </w:tcPr>
          <w:p>
            <w:pPr>
              <w:spacing w:after="0"/>
              <w:rPr>
                <w:sz w:val="20"/>
                <w:szCs w:val="20"/>
                <w:color w:val="auto"/>
              </w:rPr>
            </w:pP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Dividend Declaration Date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Dividend Per Share</w:t>
            </w:r>
          </w:p>
        </w:tc>
        <w:tc>
          <w:tcPr>
            <w:tcW w:w="10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Cash Outlay</w:t>
            </w:r>
          </w:p>
        </w:tc>
        <w:tc>
          <w:tcPr>
            <w:tcW w:w="100" w:type="dxa"/>
            <w:vAlign w:val="bottom"/>
          </w:tcPr>
          <w:p>
            <w:pPr>
              <w:spacing w:after="0"/>
              <w:rPr>
                <w:sz w:val="20"/>
                <w:szCs w:val="20"/>
                <w:color w:val="auto"/>
              </w:rPr>
            </w:pPr>
          </w:p>
        </w:tc>
      </w:tr>
      <w:tr>
        <w:trPr>
          <w:trHeight w:val="223"/>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21, 2025</w:t>
            </w:r>
          </w:p>
        </w:tc>
        <w:tc>
          <w:tcPr>
            <w:tcW w:w="2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February 24, 2025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0.031</w:t>
            </w: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10, 2025</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943</w:t>
            </w: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May 30, 2025</w:t>
            </w:r>
          </w:p>
        </w:tc>
        <w:tc>
          <w:tcPr>
            <w:tcW w:w="2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5, 2025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0.031</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May 19, 2025</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946</w:t>
            </w:r>
          </w:p>
        </w:tc>
      </w:tr>
    </w:tbl>
    <w:p>
      <w:pPr>
        <w:spacing w:after="0" w:line="19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on August 4, 2025, the Board declared a quarterly cash dividend of $0.031 per share, payable on August 29, 2025 to holders of record on August 18,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stock awards outstanding under its 2016 Omnibus Incentive Plan and 2022 Omnibus Incentive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for the three months ended June 30, 2025 is as follows (in thousands, except weighted-average exercise price).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320" w:type="dxa"/>
            <w:vAlign w:val="bottom"/>
          </w:tcPr>
          <w:p>
            <w:pPr>
              <w:spacing w:after="0"/>
              <w:rPr>
                <w:sz w:val="19"/>
                <w:szCs w:val="19"/>
                <w:color w:val="auto"/>
              </w:rPr>
            </w:pPr>
          </w:p>
        </w:tc>
        <w:tc>
          <w:tcPr>
            <w:tcW w:w="11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38"/>
        </w:trPr>
        <w:tc>
          <w:tcPr>
            <w:tcW w:w="6320" w:type="dxa"/>
            <w:vAlign w:val="bottom"/>
          </w:tcPr>
          <w:p>
            <w:pPr>
              <w:spacing w:after="0"/>
              <w:rPr>
                <w:sz w:val="20"/>
                <w:szCs w:val="20"/>
                <w:color w:val="auto"/>
              </w:rPr>
            </w:pPr>
          </w:p>
        </w:tc>
        <w:tc>
          <w:tcPr>
            <w:tcW w:w="118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09"/>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20.34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Expired</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3"/>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18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Borders>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20.34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bottom w:val="single" w:sz="8" w:color="CCEEFF"/>
            </w:tcBorders>
          </w:tcPr>
          <w:p>
            <w:pPr>
              <w:spacing w:after="0"/>
              <w:rPr>
                <w:sz w:val="22"/>
                <w:szCs w:val="22"/>
                <w:color w:val="auto"/>
              </w:rPr>
            </w:pPr>
          </w:p>
        </w:tc>
      </w:tr>
      <w:tr>
        <w:trPr>
          <w:trHeight w:val="197"/>
        </w:trPr>
        <w:tc>
          <w:tcPr>
            <w:tcW w:w="63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at end of period</w:t>
            </w:r>
          </w:p>
        </w:tc>
        <w:tc>
          <w:tcPr>
            <w:tcW w:w="11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2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20.34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6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contractual term of options outstanding at June 30, 2025 was 5.4 years.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 Activity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Restricted Share Unit ("RSU") activity for the three months ended June 30, 2025 is as follows (in thousands, except weighted-average grant date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320" w:type="dxa"/>
            <w:vAlign w:val="bottom"/>
          </w:tcPr>
          <w:p>
            <w:pPr>
              <w:spacing w:after="0"/>
              <w:rPr>
                <w:sz w:val="19"/>
                <w:szCs w:val="19"/>
                <w:color w:val="auto"/>
              </w:rPr>
            </w:pP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38"/>
        </w:trPr>
        <w:tc>
          <w:tcPr>
            <w:tcW w:w="6320" w:type="dxa"/>
            <w:vAlign w:val="bottom"/>
          </w:tcPr>
          <w:p>
            <w:pPr>
              <w:spacing w:after="0"/>
              <w:rPr>
                <w:sz w:val="20"/>
                <w:szCs w:val="20"/>
                <w:color w:val="auto"/>
              </w:rPr>
            </w:pP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RSU’s</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09"/>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w:t>
            </w:r>
          </w:p>
        </w:tc>
        <w:tc>
          <w:tcPr>
            <w:tcW w:w="9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total unrecognized compensation expense related to non-vested RSUs was $6.4 million, net of estimated forfeitures, with a weighted average expense recognition period remaining of 2.6 years.</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recognized in the Condensed Consolidated Statements of Income is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72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0"/>
                <w:szCs w:val="20"/>
                <w:color w:val="auto"/>
              </w:rPr>
            </w:pPr>
          </w:p>
        </w:tc>
        <w:tc>
          <w:tcPr>
            <w:tcW w:w="24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98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 (excluding depreciation and amortization)</w:t>
            </w: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50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80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Pr>
          <w:p>
            <w:pPr>
              <w:spacing w:after="0"/>
              <w:rPr>
                <w:sz w:val="19"/>
                <w:szCs w:val="19"/>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479</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1,376</w:t>
            </w: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00" w:type="dxa"/>
            <w:vAlign w:val="bottom"/>
            <w:tcBorders>
              <w:top w:val="single" w:sz="8" w:color="auto"/>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836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8, 2025, the Company announced a share repurchase program approved by the Company’s Board of Directors under which the Company is authorized to repurchase up to $25.0 million of its outstanding shares of common stock. Pursuant to this authorization, repurchases may be made from time to time in the open market, including under a Rule 10b5-1 plan, through privately negotiated transactions, or otherwise. During the three months ended June 30, 2025, the Company repurchased and subsequently retired 649,953 shares valued at $18.1 million pursuant to this authorization, and the Company continued to repurchase shares pursuant to this authorization during the third quarter, completing the program in July by repurchasing and retiring 255,833 shares valued at $6.9 million. The share repurchase program terminated in July when the maximum dollar amount was expended.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EARNINGS PER SHARE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Basic earnings per share is computed by dividing the net income available to common shareholders for the period by the weighted average number of common shares outstanding during the period. Diluted earnings per share is computed by dividing the net income available to common shareholders for the period by the weighted average number of potentially dilutive common and common equivalent shares outstanding during the period. Common equivalent shares are composed of incremental common shares issuable upon the exercise of stock options and RSUs subject to vesting. The dilutive effect of common equivalent shares is included in diluted earnings per share by application of the treasury stock method. The total number of common equivalent shares excluded from the calculations of diluted earnings per share, due to their anti-dilutive effect or contingent performance conditions, was approximately 184,000 and 155,000 for the three months ended June 30, 2025 and 2024, respectively, and 145,000 and 166,000 for the six months ended June 30, 2025 and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per share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Pr>
          <w:p>
            <w:pPr>
              <w:spacing w:after="0"/>
              <w:rPr>
                <w:sz w:val="20"/>
                <w:szCs w:val="20"/>
                <w:color w:val="auto"/>
              </w:rPr>
            </w:pPr>
          </w:p>
        </w:tc>
        <w:tc>
          <w:tcPr>
            <w:tcW w:w="24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5,389</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9,721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9,394</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30,320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30,401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30,382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30,357</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dilutive shares</w:t>
            </w: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63"/>
        </w:trPr>
        <w:tc>
          <w:tcPr>
            <w:tcW w:w="4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Weighted-average diluted shares</w:t>
            </w:r>
          </w:p>
        </w:tc>
        <w:tc>
          <w:tcPr>
            <w:tcW w:w="176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30,450</w:t>
            </w:r>
          </w:p>
        </w:tc>
        <w:tc>
          <w:tcPr>
            <w:tcW w:w="2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30,526</w:t>
            </w:r>
          </w:p>
        </w:tc>
        <w:tc>
          <w:tcPr>
            <w:tcW w:w="2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30,519</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176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20" w:type="dxa"/>
            <w:vAlign w:val="bottom"/>
            <w:vMerge w:val="continue"/>
          </w:tcPr>
          <w:p>
            <w:pPr>
              <w:spacing w:after="0"/>
              <w:rPr>
                <w:sz w:val="17"/>
                <w:szCs w:val="17"/>
                <w:color w:val="auto"/>
              </w:rPr>
            </w:pPr>
          </w:p>
        </w:tc>
        <w:tc>
          <w:tcPr>
            <w:tcW w:w="1760" w:type="dxa"/>
            <w:vAlign w:val="bottom"/>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0.18</w:t>
            </w:r>
          </w:p>
        </w:tc>
        <w:tc>
          <w:tcPr>
            <w:tcW w:w="26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0.14</w:t>
            </w:r>
          </w:p>
        </w:tc>
        <w:tc>
          <w:tcPr>
            <w:tcW w:w="22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0.32</w:t>
            </w:r>
          </w:p>
        </w:tc>
        <w:tc>
          <w:tcPr>
            <w:tcW w:w="2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0.31</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7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2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2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MARKETABLE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marketable securities, which were all classified as available for sale and which the Company does not intend to sell nor will the Company be required to sell prior to recovery of their amortized cost basis, included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98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Cost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38,528</w:t>
            </w:r>
          </w:p>
        </w:tc>
        <w:tc>
          <w:tcPr>
            <w:tcW w:w="1000" w:type="dxa"/>
            <w:vAlign w:val="bottom"/>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38,517</w:t>
            </w:r>
          </w:p>
        </w:tc>
      </w:tr>
      <w:tr>
        <w:trPr>
          <w:trHeight w:val="20"/>
        </w:trPr>
        <w:tc>
          <w:tcPr>
            <w:tcW w:w="5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38,528</w:t>
            </w:r>
          </w:p>
        </w:tc>
        <w:tc>
          <w:tcPr>
            <w:tcW w:w="100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38,517</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200" w:type="dxa"/>
            <w:vAlign w:val="bottom"/>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98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Cost</w:t>
            </w:r>
          </w:p>
        </w:tc>
        <w:tc>
          <w:tcPr>
            <w:tcW w:w="12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37,726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37,748</w:t>
            </w:r>
          </w:p>
        </w:tc>
      </w:tr>
      <w:tr>
        <w:trPr>
          <w:trHeight w:val="20"/>
        </w:trPr>
        <w:tc>
          <w:tcPr>
            <w:tcW w:w="5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37,726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37,748</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carrying amounts reported in the Condensed Consolidated Balance Sheets approximate fair value based on quoted market prices or alternative pricing sources and models utilizing market observable inputs. As of June 30, 2025 and December 31, 2024, the Company did not recognize any allowance for credit impairments on its available for sale securities. All investments in marketable securities are classified as current assets on the Condensed Consolidated Balance Sheets because the underlying securities mature within one year from the balance sheet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Revolving Credit Facility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6, 2023, the Company entered into an Amended and Restated Revolving Credit Agreement (“Revolving Credit Facility”), amending the Revolving Credit Facility dated as of November 24, 2014, as amended, with certain lenders party thereto from time to time, and Truist, as Administrative Agent for the lenders. Under the Revolving Credit Facility, the Company may borrow up to $50.0 million, which includes a $5.0 million swingline sub-facility and a $5.0 million letter of credit sub-facility, as well as an accordion feature that allows the Company to increase the Revolving Credit Facility by a total of up to $25.0 million, subject to securing additional commitments from existing lenders or new lending institutions. The Revolving Credit Facility has a maturity date of October 6, 2026.</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obligations under the Revolving Credit Facility are unsecured. In addition, if the Company forms or acquires any domestic subsidiaries, the loans and other obligations under the Revolving Credit Facility will be guaranteed by such domestic subsidiaries.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Company’s election, the borrowings under the Revolving Credit Facility, other than the swingline loans, bear interest at either (1) a base rate defined as the highest of (a) the rate which the Administrative Agent announces from time to time as its prime lending rate, as in effect from time to time, or (b) the Federal Funds Rate, as in effect from time to time, plus one-half of one percent (0.50%) per annum (any changes in such rates to be effective as of the date of any change in such rate), plus in each case an applicable margin that varies with the company’s funded debt leverage ratio; or (2) a term secured overnight financing rate (“SOFR”) defined as the greater of (a)(i) the forward-looking term rate based on SOFR determined as of the reference time for such interest period with a term equivalent to such interest period plus (ii) a term SOFR adjustment equal to 0.10% per annum and (b) zero, plus, in each case, an applicable margin that varies with the Company’s consolidated total leverage ratio. The Company’s borrowings under the swingline loans bear interest at the base rate plus the applicable margin. The initial applicable margin for base rate loans is 0.50% and the initial applicable margin SOFR loans is 1.50%. The applicable margins will be adjusted quarterly, in each case two (2) business days after the Administrative Agent's receipt of the Company's quarterly financial statements. The Company is also required to pay a commitment fee accruing on the unused revolving commitment, which fee initially is 20 basis points per annum and a letter of credit fee, accruing at a rate per annum equal to the applicable margin for SOFR loans then in effect on the daily average amount of such lender’s letter of credit exposure.</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Principal is payable in full at maturity on October 6, 2026, and there are no scheduled principal payments prior to maturity. Interest on base rate loans and swingline loans is payable quarterly in arrears, and interest on SOFR loans is payable at the end of each interest period, and in the case of interest periods longer than three months, on each day which occurs every three months after the initial date of such interest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purpose of the Revolving Credit Facility is for general working capital needs, permitted acquisitions (as defined in the Amended and Restated Revolving Credit Agreement), and for stock repurchase and/or redemption transactions that the Company may authorize.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Revolving Credit Facility required the Company to meet certain financial tests, including, without limitation:</w:t>
      </w:r>
    </w:p>
    <w:p>
      <w:pPr>
        <w:spacing w:after="0" w:line="225"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funded debt leverage ratio (consolidated debt/consolidated EBITDA) of not greater than 3.0 to 1.0; and</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interest coverage ratio (consolidated EBITDA/consolidated interest expense) of not less than 3.0 to 1.0.</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Revolving Credit Facility contains certain customary affirmative and negative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the Company was in compliance with all covenants. There were no balances outstanding on the Revolving Credit Facility as of or during the three and six months ended June 30,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8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Special Cautionary Notice Regarding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Looking Statements</w:t>
      </w:r>
    </w:p>
    <w:p>
      <w:pPr>
        <w:spacing w:after="0" w:line="2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read the following discussion and analysis in conjunction with our Condensed Consolidated Financial Statements and related Notes included elsewhere in this Form 10-Q and our audited Consolidated Financial Statements and the Notes thereto for the year ended December 31, 2024, appearing in our Annual Report on Form 10-K that was filed with the Securities and Exchange Commission (“SEC”) on February 28, 2025 (the “2024 Form 10-K”). Statements contained in this Form 10-Q that are not historical facts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“projects,” “should,” “will,” “would,” and similar expressions are forward-looking statements.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evaluating any forward-looking statement, you should specifically consider the information regarding forward-looking statements set forth above and the risks set forth under the caption Part I, Item 1A. Risk Factors in our 2024 Form 10-K and other disclosures in our 2024 Form 10-K, earnings releases, and other filings with the SEC from time to time, as well as other cautionary statements contained elsewhere in this Form 10-Q, including our critical accounting policies and estimates as discussed in this Form 10-Q and our 2024 Form 10-K. We undertake no obligation to update or revise any forward-looking statements. You should read this Form 10-Q and the documents that we reference in this Form 10-Q and have filed as exhibits to this Form 10-Q completely and with the understanding that our actual future results may be materially different from what we currently expect.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HealthStream provides primarily SaaS based applications for healthcare organizations—all designed to improve business and clinical outcomes by supporting the people who deliver patient care. We are focused on helping individuals and organizations in healthcare meet their ongoing learning, clinical development, credentialing, and scheduling needs. We also provide our solutions to nursing schools and nursing students.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managed and organized around a single platform strategy, also referred to as our One HealthStream approach. At the center of this single platform strategy is our hStream technology platform. By enabling our applications through hStream, we believe that stand-alone applications, which already provide a powerful value proposition on their own, are beginning to leverage each other to more efficiently and effectively empower our customers to manage their business and improve their outcomes. Further, the Company’s internal structure and executive leadership are likewise shaped by the organizing principle of a single platform, including with regard to technology, operations, accounting, internal reporting (including the nature of information reviewed by our key decision makers), organizational structure, compensation, performance assessment, and resource allocation.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financial metrics for the second quarter of 2025 are set forth in the bullets below.</w:t>
      </w:r>
    </w:p>
    <w:p>
      <w:pPr>
        <w:spacing w:after="0" w:line="225" w:lineRule="exact"/>
        <w:rPr>
          <w:sz w:val="20"/>
          <w:szCs w:val="20"/>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$74.4 million in the second quarter of 2025, up 4.0% from $71.6 million in the second quarter of 2024</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of $5.9 million in the second quarter of 2025, up 33.4% from $4.4 million in the second quarter of 2024</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$5.4 million in the second quarter of 2025, up 29.3% from $4.2 million in the second quarter of 2024</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(“EPS”) of $0.18 per share (diluted) in the second quarter of 2025, up from $0.14 per share (diluted) in the second quarter of 2024</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of $17.6 million in the second quarter of 2025, up 11.3% from $15.8 million in the second quarter of 2024</w:t>
      </w:r>
    </w:p>
    <w:p>
      <w:pPr>
        <w:spacing w:after="0" w:line="138" w:lineRule="exact"/>
        <w:rPr>
          <w:sz w:val="20"/>
          <w:szCs w:val="20"/>
          <w:color w:val="auto"/>
        </w:rPr>
      </w:pPr>
    </w:p>
    <w:p>
      <w:pPr>
        <w:ind w:left="220" w:hanging="212"/>
        <w:spacing w:after="0" w:line="200" w:lineRule="auto"/>
        <w:tabs>
          <w:tab w:leader="none" w:pos="220"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Adjusted EBITDA is a non-GAAP financial measure. A reconciliation of adjusted EBITDA to net income and disclosure regarding why we believe adjusted EBITDA provides useful information to investors is included later in this Form 10-Q.</w:t>
      </w: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first quarter of 2025, we entered into an agreement to sublease a portion of our office space in the Capitol View building in Nashville, Tennessee to optimize our workforce performance to deliver positive results for customers, employees, and shareholders. HealthStream’s corporate headquarters remains in Nashville in the Capitol View building, while we continue to hire new employees both locally and nationally to support our growth. The sublease commenced in April 2025 and will expire in October 2031. We recorded sublease income, net of initial direct cost amortization, of $0.7 million during the three months ended June 30, 2025. In addition, we expect to record sublease income, net, of approximately $1.6 million during the last six months of 2025 and $3.2 million annually thereafter for the remaining term of the sublease under the caption General and Administrative.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Macroeconomic and other conditions in the U.S. that directly or indirectly impact the healthcare industry are challenging in certain respects and may become more challenging based on recent and contemplated changes to various policies and regulations. While healthcare costs continue to grow, government cuts or reimbursement rate reductions to funding for programs and organizations such as Federally Qualified Health Centers and academic medical institutions, the impact of tariffs on goods and services utilized by healthcare provider organizations, as well as uncertainty surrounding potential policy, regulatory, and economic shifts continue to be challenging for our healthcare customers. In particular, the federal reconciliation legislation enacted on July 4, 2025 includes significant policy changes that may adversely impact healthcare provider organizations, including changes that are expected to decrease access to health insurance and result in significant cuts to federal healthcare spending, particularly within the Medicaid program. We believe that these challenges and uncertainties, particularly among healthcare provider organizations with patient populations more dependent on government-funded reimbursement, have caused, and may in the future cause, some delays in purchasing and non-renewals of existing products and services, particularly in relation to elective or non-mandatory products and services.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challenges persist in terms of inflationary pressures, ongoing elevated interest rate levels, lower consumer sentiment levels compared to recent periods, and heightened geopolitical tensions, including various ongoing and threatened conflicts abroad and strained global trade relations. We have experienced in certain recent periods, and believe that many of our customers have experienced, increased labor, supply chain, capital, and other expenditures and budgetary pressures associated with such conditions and challenges. These conditions and challenges impacting the U.S. economy and our customers in the healthcare industry have adversely affected, and may continue to adversely impact, our business and results of operations. Additionally, given our focus on customers in the healthcare industry, adverse developments impacting the healthcare industry, including as a result of the developments described above, may adversely impact our business and financial results, although we are unable to fully assess the impact to which we may be impacted by any such developments.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Metrics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management utilizes the following financial metrics in connection with managing our business.</w:t>
      </w:r>
    </w:p>
    <w:p>
      <w:pPr>
        <w:spacing w:after="0" w:line="223" w:lineRule="exact"/>
        <w:rPr>
          <w:sz w:val="20"/>
          <w:szCs w:val="20"/>
          <w:color w:val="auto"/>
        </w:rPr>
      </w:pPr>
    </w:p>
    <w:p>
      <w:pPr>
        <w:jc w:val="both"/>
        <w:ind w:left="420" w:hanging="210"/>
        <w:spacing w:after="0" w:line="261" w:lineRule="auto"/>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Revenues, net</w:t>
      </w:r>
      <w:r>
        <w:rPr>
          <w:rFonts w:ascii="Times New Roman" w:cs="Times New Roman" w:eastAsia="Times New Roman" w:hAnsi="Times New Roman"/>
          <w:sz w:val="18"/>
          <w:szCs w:val="18"/>
          <w:color w:val="auto"/>
        </w:rPr>
        <w:t>. Revenues, net, reflect income generated by the sales of goods and services related to our operations. Revenues, net, were $74.4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$147.9 million for the three and six months ended June 30, 2025, respectively, compared to $71.6 million and $144.3 million for the three and six months ended June 30, 2024, respectively. Management utilizes revenue in connection with managing our business and believes that this metric provides useful information to investors as a key indicator of the growth and success of our products.</w:t>
      </w:r>
    </w:p>
    <w:p>
      <w:pPr>
        <w:spacing w:after="0" w:line="179" w:lineRule="exact"/>
        <w:rPr>
          <w:rFonts w:ascii="Times New Roman" w:cs="Times New Roman" w:eastAsia="Times New Roman" w:hAnsi="Times New Roman"/>
          <w:sz w:val="18"/>
          <w:szCs w:val="18"/>
          <w:color w:val="auto"/>
        </w:rPr>
      </w:pPr>
    </w:p>
    <w:p>
      <w:pPr>
        <w:jc w:val="both"/>
        <w:ind w:left="420" w:hanging="210"/>
        <w:spacing w:after="0" w:line="267" w:lineRule="auto"/>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Net income represents revenues, net, less all expenses. Net income was $5.4 million and $9.7 million for the three and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2025, respectively, compared to $4.2 million and $9.4 million for the three and six months ended June 30, 2024, respectively. Management utilizes net income in connection with managing our business, including with regard to our capital deployment strategies.</w:t>
      </w:r>
    </w:p>
    <w:p>
      <w:pPr>
        <w:spacing w:after="0" w:line="173" w:lineRule="exact"/>
        <w:rPr>
          <w:rFonts w:ascii="Times New Roman" w:cs="Times New Roman" w:eastAsia="Times New Roman" w:hAnsi="Times New Roman"/>
          <w:sz w:val="18"/>
          <w:szCs w:val="18"/>
          <w:color w:val="auto"/>
        </w:rPr>
      </w:pPr>
    </w:p>
    <w:p>
      <w:pPr>
        <w:jc w:val="both"/>
        <w:ind w:left="420" w:hanging="210"/>
        <w:spacing w:after="0" w:line="255" w:lineRule="auto"/>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Adjusted EBITDA, calculated as set forth below under “Reconciliation of Non-GAAP Financial Measures,” is utilized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in connection with managing our business and provides useful information to investors because adjusted EBITDA reflects net income adjusted for certain GAAP accounting, non-cash, and/or non-operating items, as more specifically set forth below, which may not fully reflect the underlying operating performance of our business. We also believe that adjusted EBITDA is useful to investors to assess the Company’s ongoing operations. Additionally, certain short-term cash incentive bonuses and performance-based equity award grants are based, in whole or in part, on the achievement of adjusted EBITDA (as defined in applicable bonus and equity grant documentation) targets. Adjusted EBITDA was $17.6 million and $33.8 million for the three and six months ended June 30, 2025, respectively, compared to $15.8 million and $32.9 million for the three and six months ended June 30, 2024, respectively.</w:t>
      </w:r>
    </w:p>
    <w:p>
      <w:pPr>
        <w:spacing w:after="0" w:line="184" w:lineRule="exact"/>
        <w:rPr>
          <w:rFonts w:ascii="Times New Roman" w:cs="Times New Roman" w:eastAsia="Times New Roman" w:hAnsi="Times New Roman"/>
          <w:sz w:val="18"/>
          <w:szCs w:val="18"/>
          <w:color w:val="auto"/>
        </w:rPr>
      </w:pPr>
    </w:p>
    <w:p>
      <w:pPr>
        <w:jc w:val="both"/>
        <w:ind w:left="420" w:hanging="210"/>
        <w:spacing w:after="0" w:line="258" w:lineRule="auto"/>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Capital Expenditures</w:t>
      </w:r>
      <w:r>
        <w:rPr>
          <w:rFonts w:ascii="Times New Roman" w:cs="Times New Roman" w:eastAsia="Times New Roman" w:hAnsi="Times New Roman"/>
          <w:sz w:val="18"/>
          <w:szCs w:val="18"/>
          <w:color w:val="auto"/>
        </w:rPr>
        <w:t>. Capital expenditures represent cash payments incurred for purchases of property and equipment and during the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phase for projects to develop software and content. Capital expenditures were $9.0 million and $17.9 million for the three and six months ended June 30, 2025, respectively, compared to $6.7 million and $14.5 million for the three and six months ended June 30, 2024, respectively. Management utilizes this metric in connection with managing the allocation of capitalized expenditures in which the Company invests related to the development of its products and believes that this metric is a key indicator of investment in products relative to their current and expected performance.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Notes to the Consolidated Financial Statements in our 2024 Form 10-K and the Notes to the Condensed Consolidated Financial Statements herein which contain additional information regarding our accounting policies and other disclosures required by US GAAP. There have been no changes in our critical accounting policies and estimates from those reported in our 2024 Form 10-K.</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2025 Compared to Three Months Ended June 30, 2024</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Revenues, net. </w:t>
      </w:r>
      <w:r>
        <w:rPr>
          <w:rFonts w:ascii="Times New Roman" w:cs="Times New Roman" w:eastAsia="Times New Roman" w:hAnsi="Times New Roman"/>
          <w:sz w:val="18"/>
          <w:szCs w:val="18"/>
          <w:color w:val="auto"/>
        </w:rPr>
        <w:t>Revenues increased $2.8 million, or 4%, to $74.4 million for the three months ended June 30, 2025 from $71.6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June 30, 2024. Subscription revenues increased $2.9 million, or 4%, and professional services revenues decreased by $0.1 million, or 3%, compared to the second quarter of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 comparison of revenues by revenue source is as follows (in thousands):</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87"/>
        </w:trPr>
        <w:tc>
          <w:tcPr>
            <w:tcW w:w="5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16"/>
                <w:szCs w:val="16"/>
                <w:color w:val="auto"/>
              </w:rPr>
            </w:pPr>
          </w:p>
        </w:tc>
      </w:tr>
      <w:tr>
        <w:trPr>
          <w:trHeight w:val="238"/>
        </w:trPr>
        <w:tc>
          <w:tcPr>
            <w:tcW w:w="5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20"/>
                <w:szCs w:val="20"/>
                <w:color w:val="auto"/>
              </w:rPr>
            </w:pPr>
          </w:p>
        </w:tc>
      </w:tr>
      <w:tr>
        <w:trPr>
          <w:trHeight w:val="209"/>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Subscription services</w:t>
            </w:r>
          </w:p>
        </w:tc>
        <w:tc>
          <w:tcPr>
            <w:tcW w:w="138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71,941</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69,013</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Professional services</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2,455</w:t>
            </w: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2,543</w:t>
            </w:r>
          </w:p>
        </w:tc>
        <w:tc>
          <w:tcPr>
            <w:tcW w:w="2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5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revenues, net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74,396</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71,556</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57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of Revenues</w:t>
            </w:r>
          </w:p>
        </w:tc>
        <w:tc>
          <w:tcPr>
            <w:tcW w:w="38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r>
      <w:tr>
        <w:trPr>
          <w:trHeight w:val="216"/>
        </w:trPr>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Subscription services</w:t>
            </w:r>
          </w:p>
        </w:tc>
        <w:tc>
          <w:tcPr>
            <w:tcW w:w="38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97%</w:t>
            </w:r>
          </w:p>
        </w:tc>
        <w:tc>
          <w:tcPr>
            <w:tcW w:w="274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4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Professional services</w:t>
            </w:r>
          </w:p>
        </w:tc>
        <w:tc>
          <w:tcPr>
            <w:tcW w:w="384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3%</w:t>
            </w:r>
          </w:p>
        </w:tc>
        <w:tc>
          <w:tcPr>
            <w:tcW w:w="2740" w:type="dxa"/>
            <w:vAlign w:val="bottom"/>
            <w:shd w:val="clear" w:color="auto" w:fill="CCEEFF"/>
          </w:tcPr>
          <w:p>
            <w:pPr>
              <w:jc w:val="right"/>
              <w:ind w:right="1630"/>
              <w:spacing w:after="0"/>
              <w:rPr>
                <w:sz w:val="20"/>
                <w:szCs w:val="20"/>
                <w:color w:val="auto"/>
              </w:rPr>
            </w:pPr>
            <w:r>
              <w:rPr>
                <w:rFonts w:ascii="Times New Roman" w:cs="Times New Roman" w:eastAsia="Times New Roman" w:hAnsi="Times New Roman"/>
                <w:sz w:val="18"/>
                <w:szCs w:val="18"/>
                <w:color w:val="auto"/>
              </w:rPr>
              <w:t>4%</w:t>
            </w:r>
          </w:p>
        </w:tc>
      </w:tr>
    </w:tbl>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Revenues (excluding Depreciation and Amortization). </w:t>
      </w:r>
      <w:r>
        <w:rPr>
          <w:rFonts w:ascii="Times New Roman" w:cs="Times New Roman" w:eastAsia="Times New Roman" w:hAnsi="Times New Roman"/>
          <w:sz w:val="18"/>
          <w:szCs w:val="18"/>
          <w:color w:val="auto"/>
        </w:rPr>
        <w:t>Cost of revenues increased $2.7 million, or 11%, to $26.4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2025, from $23.7 million for the three months ended June 30, 2024. Cost of revenues as a percentage of revenues were 35% and 33% for the three months ended June 30, 2025 and 2024, respectively. The increase in amount is primarily associated with investments in several areas of our business, primarily in our platform and SaaS applications, resulting in higher costs for third-party software and cloud hosting as well as an increase in labor costs and royalties.</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was $12.1 million for both the three months ended June 30, 2025 and 2024. Product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as a percentage of revenues were 16% and 17% for the three months ended June 30, 2025 and 2024, respectively.</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including personnel costs, increased $0.4 million, or 4%, to $11.8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2025, from $11.4 million for the three months ended June 30, 2024. Sales and marketing expenses were 16% of revenues for both the three months ended June 30, 2025 and 2024. The increase in amount is primarily due to higher labor costs and increased staffing levels.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decreased $2.2 million, or 23%, to $7.4 million for the three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from $9.6 million for the three months ended June 30, 2024. General and administrative expenses were 10% and 13% of revenues for the three months ended June 30, 2025 and 2024, respectively. The decrease in amount is primarily due to a decrease in bad debt expense associated with a customer bankruptcy that occurred during the three months ended June 30, 2024, coupled with sublease income associated with the sublease that commenced during the second quarter of 2025 as noted above.</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increased $0.5 million, or 5%, to $10.9 million for the three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from $10.4 million for the three months ended June 30, 2024. This increase in amount is primarily a result of an increase in amortization associated with capitalized software.</w:t>
      </w:r>
    </w:p>
    <w:p>
      <w:pPr>
        <w:spacing w:after="0" w:line="173"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Interest income was $1.0 million and $0.9 million for the three months ended June 30, 2025 and 2024, respectively. This increase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an increase in cash and investment balances.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Other income (expense), net was income of $23,000 and expense of $55,000 for the three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and 2024, respectively. The change is primarily a result of foreign currency gains.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The Company recorded a provision for income taxes of $1.5 million for the three months ended June 30, 2025,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$1.1 million for the three months ended June 30, 2024. The Company’s effective tax rate was 22% for the three months ended June 30, 2025, compared to 21% for the three months ended June 30, 2024. The Company’s effective tax rate primarily reflects the statutory corporate income tax rate, the net effect of state taxes, foreign income taxes, the effect of various permanent tax differences, and recognition of discrete tax items.</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was $5.4 million and $4.2 million for the three months ended June 30, 2025 and 2024, respectively. EPS was $0.18 per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(diluted) and $0.14 per share (diluted) for the three months ended June 30, 2025 and 2024, respectively.</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was $17.6 million for the three months ended June 30, 2025, compared to $15.8 million for the three months ended June 30, 2024. See “Reconciliation of Non-GAAP Financial Measures” below for our reconciliation of adjusted EBITDA to the most directly comparable measure under US GAAP and disclosure regarding why we believe adjusted EBITDA provides useful information to investors.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2025 Compared to Six Months Ended June 30, 2024</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Revenues, net. </w:t>
      </w:r>
      <w:r>
        <w:rPr>
          <w:rFonts w:ascii="Times New Roman" w:cs="Times New Roman" w:eastAsia="Times New Roman" w:hAnsi="Times New Roman"/>
          <w:sz w:val="18"/>
          <w:szCs w:val="18"/>
          <w:color w:val="auto"/>
        </w:rPr>
        <w:t>Revenues increased $3.6 million, or 2%, to $147.9 million for the six months ended June 30, 2025 from $144.3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June 30, 2024. Subscription revenues increased $3.5 million, or 3%, compared to the six months ended June 30, 2024. Compared to the six months ended June 30, 2024, revenues for the six months ended June 30, 2025 were negatively impacted by several factors, including a $3.5 million reduction from attrition in legacy applications, a $1.1 million reduction from customer bankruptcies, and a $0.9 million reduction in perpetual license sales. These reductions to revenue were more than offset by $9.1 million of revenue growth across our portfolio of solutions.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 comparison of revenues by revenue source is as follows (in thousands):</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6"/>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87"/>
        </w:trPr>
        <w:tc>
          <w:tcPr>
            <w:tcW w:w="5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94"/>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16"/>
                <w:szCs w:val="16"/>
                <w:color w:val="auto"/>
              </w:rPr>
            </w:pPr>
          </w:p>
        </w:tc>
      </w:tr>
      <w:tr>
        <w:trPr>
          <w:trHeight w:val="238"/>
        </w:trPr>
        <w:tc>
          <w:tcPr>
            <w:tcW w:w="5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20"/>
                <w:szCs w:val="20"/>
                <w:color w:val="auto"/>
              </w:rPr>
            </w:pPr>
          </w:p>
        </w:tc>
      </w:tr>
      <w:tr>
        <w:trPr>
          <w:trHeight w:val="210"/>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Subscription services</w:t>
            </w:r>
          </w:p>
        </w:tc>
        <w:tc>
          <w:tcPr>
            <w:tcW w:w="7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142,730</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139,218</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Professional services</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5,151</w:t>
            </w: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5,098</w:t>
            </w: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5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revenues, net</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147,881</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144,316</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line="210" w:lineRule="exact"/>
              <w:rPr>
                <w:sz w:val="20"/>
                <w:szCs w:val="20"/>
                <w:color w:val="auto"/>
              </w:rPr>
            </w:pPr>
            <w:r>
              <w:rPr>
                <w:rFonts w:ascii="Times New Roman" w:cs="Times New Roman" w:eastAsia="Times New Roman" w:hAnsi="Times New Roman"/>
                <w:sz w:val="14"/>
                <w:szCs w:val="14"/>
                <w:color w:val="auto"/>
              </w:rPr>
              <w:t>2</w:t>
            </w:r>
            <w:r>
              <w:rPr>
                <w:rFonts w:ascii="Times New Roman" w:cs="Times New Roman" w:eastAsia="Times New Roman" w:hAnsi="Times New Roman"/>
                <w:sz w:val="24"/>
                <w:szCs w:val="24"/>
                <w:color w:val="auto"/>
                <w:vertAlign w:val="superscript"/>
              </w:rPr>
              <w:t>%</w:t>
            </w:r>
          </w:p>
        </w:tc>
      </w:tr>
      <w:tr>
        <w:trPr>
          <w:trHeight w:val="20"/>
        </w:trPr>
        <w:tc>
          <w:tcPr>
            <w:tcW w:w="57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of Revenues</w:t>
            </w:r>
          </w:p>
        </w:tc>
        <w:tc>
          <w:tcPr>
            <w:tcW w:w="38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r>
      <w:tr>
        <w:trPr>
          <w:trHeight w:val="216"/>
        </w:trPr>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Subscription services</w:t>
            </w:r>
          </w:p>
        </w:tc>
        <w:tc>
          <w:tcPr>
            <w:tcW w:w="38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97%</w:t>
            </w:r>
          </w:p>
        </w:tc>
        <w:tc>
          <w:tcPr>
            <w:tcW w:w="274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4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Professional services</w:t>
            </w:r>
          </w:p>
        </w:tc>
        <w:tc>
          <w:tcPr>
            <w:tcW w:w="384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3%</w:t>
            </w:r>
          </w:p>
        </w:tc>
        <w:tc>
          <w:tcPr>
            <w:tcW w:w="2740" w:type="dxa"/>
            <w:vAlign w:val="bottom"/>
            <w:shd w:val="clear" w:color="auto" w:fill="CCEEFF"/>
          </w:tcPr>
          <w:p>
            <w:pPr>
              <w:jc w:val="right"/>
              <w:ind w:right="1630"/>
              <w:spacing w:after="0"/>
              <w:rPr>
                <w:sz w:val="20"/>
                <w:szCs w:val="20"/>
                <w:color w:val="auto"/>
              </w:rPr>
            </w:pPr>
            <w:r>
              <w:rPr>
                <w:rFonts w:ascii="Times New Roman" w:cs="Times New Roman" w:eastAsia="Times New Roman" w:hAnsi="Times New Roman"/>
                <w:sz w:val="18"/>
                <w:szCs w:val="18"/>
                <w:color w:val="auto"/>
              </w:rPr>
              <w:t>4%</w:t>
            </w:r>
          </w:p>
        </w:tc>
      </w:tr>
    </w:tbl>
    <w:p>
      <w:pPr>
        <w:spacing w:after="0" w:line="1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Cost of Revenues (excluding Depreciation and Amortization). </w:t>
      </w:r>
      <w:r>
        <w:rPr>
          <w:rFonts w:ascii="Times New Roman" w:cs="Times New Roman" w:eastAsia="Times New Roman" w:hAnsi="Times New Roman"/>
          <w:sz w:val="18"/>
          <w:szCs w:val="18"/>
          <w:color w:val="auto"/>
        </w:rPr>
        <w:t>Cost of revenues increased $3.5 million, or 7%, to $51.9 million for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2025, from $48.4 million for the six months ended June 30, 2024. Cost of revenues as a percentage of revenues were 35% and 34% for the six months ended June 30, 2025 and 2024, respectively. The increase in amount is primarily associated with investments in several areas of our business, primarily in our platform and SaaS applications, resulting in higher costs for cloud hosting and third-party software as well as an increase in labor costs.</w:t>
      </w:r>
    </w:p>
    <w:p>
      <w:pPr>
        <w:spacing w:after="0" w:line="39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was $24.1 million for both the six months ended June 30, 2025 and 2024. Product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as a percentage of revenues were 16% and 17% for the six months ended June 30, 2025 and 2024, respectively.</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including personnel costs, increased $0.8 million, or 3%, to $24.0 million for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2025, from $23.2 million for the six months ended June 30, 2024. Sales and marketing expenses were 16% of revenues for both the six months ended June 30, 2025 and 2024. The increase in amount is primarily due to higher labor costs and sales commissions.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decreased $1.8 million, or 10%, to $16.1 million for the six months ended June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$17.9 million for the six months ended June 30, 2024. General and administrative expenses were 11% and 12% of revenues for the six months ended June 30, 2025 and 2024, respectively. The decrease in amount is primarily due to a decrease in bad debt expense associated with a customer bankruptcy that occurred during the six months ended June 30, 2024, coupled with sublease income associated with the sublease that commenced during the second quarter of 2025 as noted above.</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increased $0.9 million, or 4%, to $21.6 million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from $20.7 million for the six months ended June 30, 2024. This increase in amount is primarily a result of an increase in amortization associated with capitalized software.</w:t>
      </w:r>
    </w:p>
    <w:p>
      <w:pPr>
        <w:spacing w:after="0" w:line="173"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Interest income was $1.9 million and $1.8 million for the six months ended June 30, 2025 and 2024, respectively. This increase is a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 increase in cash and investment balances.</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Other income (expense), net was expense of $39,000 and $107,000 for the six months ended June 30, 2025 and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change is primarily a result of foreign currency gains.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The Company recorded a provision for income taxes of $2.4 million for both the six months ended June 30, 2025 and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The Company’s effective tax rate was 20% for the six months ended June 30, 2025, compared to 21% for the six months ended June 30, 2024. The Company’s effective tax rate primarily reflects the statutory corporate income tax rate, the net effect of state taxes, foreign income taxes, the effect of various permanent tax differences, and recognition of discrete tax items.</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was $9.7 million and $9.4 million for the six months ended June 30, 2025 and 2024, respectively. EPS was $0.32 per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(diluted) and $0.31 per share (diluted) for the six months ended June 30, 2025 and 2024, respectively.</w:t>
      </w:r>
    </w:p>
    <w:p>
      <w:pPr>
        <w:spacing w:after="0" w:line="16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Adjusted EBITDA was $33.8 million for the six months ended June 30, 2025, compared to $32.9 million for the six months ended June 30, 2024. See “Reconciliation of Non-GAAP Financial Measures” below for our reconciliation of adjusted EBITDA to the most directly comparable measure under US GAAP and disclosure regarding why we believe adjusted EBITDA provides useful information to investors.</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Form 10-Q presents adjusted EBITDA, which is a non-GAAP financial measure used by management in analyzing our financial results and ongoing operational performance.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order to better assess the Company’s financial results, management believes that net income before interest, income taxes, stock-based compensation, depreciation and amortization, and changes in fair value of, including gains (losses) on the sale of, non-marketable equity investments (“adjusted EBITDA”) is a useful measure for evaluating the operating performance of the Company because adjusted EBITDA reflects net income adjusted for certain GAAP accounting, non-cash, and/or non-operating items which may not, in any such case, fully reflect the underlying operating performance of our business. We believe that adjusted EBITDA is useful to investors to assess the Company’s ongoing operating performance and to compare the Company’s operating performance between periods. Additionally, certain short-term cash incentive bonuses and performance-based equity awards are based on the achievement of adjusted EBITDA (as defined in applicable bonus and equity grant documentation) targets.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is a non-GAAP financial measure and should not be considered as a measure of financial performance under GAAP. Because adjusted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is not a measurement determined in accordance with GAAP, adjusted EBITDA is susceptible to varying calculations. Accordingly, adjusted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as presented, may not be comparable to other similarly titled measures of other companies and has limitations as an analytical tool.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adjusted EBITDA to the most directly comparable GAAP measure, net income, is set forth below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264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0"/>
                <w:szCs w:val="20"/>
                <w:color w:val="auto"/>
              </w:rPr>
            </w:pPr>
          </w:p>
        </w:tc>
        <w:tc>
          <w:tcPr>
            <w:tcW w:w="24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60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9,394</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(958)</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(1,848)</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2,448</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2,154</w:t>
            </w:r>
          </w:p>
        </w:tc>
      </w:tr>
      <w:tr>
        <w:trPr>
          <w:trHeight w:val="23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10,867</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10,370</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21,621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20,706</w:t>
            </w:r>
          </w:p>
        </w:tc>
      </w:tr>
      <w:tr>
        <w:trPr>
          <w:trHeight w:val="223"/>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increased by $4.7 million to $32.1 million during the six months ended June 30, 2025, from $27.4 million during the six months ended June 30, 2024. The increase in net cash provided by operating activities is primarily due to higher cash receipts from customers during the period, resulting in a reduction to our days sales outstanding ("DSO"). Our DSO was 35 days for the second quarter of 2025 compared to 45 days for the second quarter of 2024. The Company calculates DSO by dividing the average accounts receivable balance for the quarter by average daily revenues for the quarter.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income tax payments, general corporate expenses, and initial direct costs related to the sublease.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was $18.4 million for the six months ended June 30, 2025, compared to $19.0 million for the six months ended June 30, 2024. During the six months ended June 30, 2025, the Company invested in marketable securities of $26.1 million, made payments for capitalized software development of $14.5 million, purchased property and equipment of $3.4 million, and purchased an investment of $0.5 million. These uses of cash were partially offset by $26.1 million in maturities of marketable securities. During the six months ended June 30, 2024, the Company invested in marketable securities of $34.5 million, made payments for capitalized software development of $13.6 million, and purchased property and equipment of $0.9 million. These uses of cash were partially offset by $29.2 million in maturities of marketable securities and $0.8 million received upon the settlement and release of escrowed proceeds related to a prior sale of a non-marketable equity investment.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was $21.1 million for the six months ended June 30, 2025, compared to $2.6 million for the six months ended June 30, 2024. The uses of cash for the six months ended June 30, 2025 included $18.1 million for repurchases of common stock, $1.9 million for the payment of cash dividends, and $1.1 million for the payment of employee payroll taxes in relation to the vesting of restricted share units. The uses of cash for the six months ended June 30, 2024 included $1.7 million for the payment of cash dividends and $0.9 million for the payment of employee payroll taxes in relation to the vesting of RSUs.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balance sheet reflects working capital of $29.0 million at June 30, 2025, compared to $37.4 million at December 31, 2024. The decrease in working capital is primarily a result of a decrease in cash and cash equivalents to fund share repurchases. The Company’s primary source of liquidity as of June 30, 2025 was $52.1 million of cash and cash equivalents and $38.5 million of marketable securities.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has a $50.0 million revolving credit facility, the availability of which is subject to certain covenants and minimum liquidity requirements. There currently are no outstanding borrowings under the revolving credit facility. The revolving credit facility expires on October 6, 2026, unless earlier renewed or amended. For additional information regarding our revolving credit facility, see Note 8 to the Condensed Consolidated Financial Statements included herein.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20, 2023, we announced that our Board approved a quarterly dividend policy, under which we have paid dividends on a quarterly basis since our adoption of this policy. On February 24, 2025, the Board approved a quarterly cash dividend under this policy of $0.031 per share, which was paid on March 21, 2025 to holders of record of our common stock on March 10, 2025. On May 5, 2025, the Board approved a quarterly cash dividend under this policy of $0.031 per share, which was paid on May 30, 2025 to holders of record of our common stock on May 19, 2025. In addition, on August 4, 2025, the Board approved a quarterly cash dividend under this policy of $0.031 per share, which will be payable on August 29, 2025 to holders of record of our common stock on August 18, 2025.</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dividend policy and the declaration and payment of each quarterly cash dividend will be subject to our Board’s continuing determination that the policy and the declaration and payment of dividends thereunder are in the best interests of our shareholders and are in compliance with applicable law and our credit agreement. Our Board retains the power to modify, suspend, or cancel the dividend policy and quarterly dividends thereunder in any manner and at any time that our Board may deem necessary or appropriate.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13, 2023, the Company announced a share repurchase program authorized by the Company’s Board of Directors under which the Company was authorized to purchase up to $10.0 million of its common stock. Pursuant to this authorization, repurchases could be made in the open market, including under a Rule 10b5-1 plan, through privately negotiated transactions, or otherwise. Under this program, during 2023, the Company repurchased 404,188 shares of common stock at an aggregate fair value of $8.9 million, reflecting an average price per share of $22.07 (excluding the cost of broker commissions). The share repurchase program expired according to its terms on March 31, 2024, and no repurchases occurred under such program during 2024.</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8, 2025, the Company’s Board of Directors approved a new share repurchase program for the Company’s common stock, under which the Company may repurchase up to $25.0 million of outstanding shares of common stock. Pursuant to the authorization, repurchases may be made from time to time in the open market, including under a Rule 10b5-1 plan, through privately negotiated transactions, or otherwise. In addition, any repurchases under the authorization will be subject to prevailing market conditions, liquidity and cash flow considerations, applicable securities laws requirements (including under Rule 10b-18 and Rule 10b5-1 of the Securities Exchange Act of 1934, as applicable), and other factors. Under this program, during the three months ended June 30, 2025, the Company repurchased and subsequently retired 649,953 shares of common stock at an aggregate fair value of $18.1 million, reflecting an average price per share of $27.86 (excluding the cost of broker commissions), and the Company continued to repurchase shares pursuant to this authorization during the third quarter, completing the program in July by repurchasing and retiring 255,833 shares valued at $6.9 million, reflecting an average price per share of $26.94 (excluding the cost of broker commissions). The share repurchase program terminated in July when the maximum dollar amount was expended.</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existing cash, cash equivalents, marketable securities, cash generated from operations, and available borrowings under our revolving credit facility will be sufficient to meet anticipated working capital needs, new product development, pay our quarterly dividends, effect share repurchases we made under our share repurchase program as described above and any future program, and fund capital expenditures for at least the next 12 months and for the foreseeable future thereafter.</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growth strategy includes acquiring businesses or making strategic investments in businesses that complement or enhance our business. It is anticipated that future acquisitions or strategic investments, if any, would be effected through cash consideration, stock consideration, debt, or a combination thereof. The issuance of our stock as consideration for an acquisition or to raise additional capital could have a dilutive effect on earnings per share and could adversely affect our stock price. Our revolving credit facility contains financial covenants and availability calculations designed to set a maximum leverage ratio of outstanding debt to consolidated EBITDA (as defined in our credit facility) and an interest coverage ratio of consolidated EBITDA to interest expense. Therefore, the maximum borrowings against our new revolving credit facility would be dependent on the covenant calculations at the time of borrowing. As of June 30, 2025, we were in compliance with all covenants under our revolving credit facility. There can be no assurance that amounts available for borrowing under our revolving credit facility will be sufficient to consummate any possible acquisitions, and we cannot provide assurance that if we need additional financing,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exposed to market risk from changes in interest rates, foreign currency risk, and investment risk. We do not have any commodity price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2025, and during the three months then ended,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also exposed to market risk with respect to our cash and investment balances, which were $90.6 million at June 30, 2025. Assuming a hypothetical 10% decrease in interest rates for invested balances, interest income from cash and investments would decrease on an annualized basis by $0.3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foreign currency risks related to our revenue and operating expenses denominated in currencies other than the US dollar, including Canadian dollar, New Zealand dollar, and Australian dollar. Increases or decreases in our foreign-denominated revenue from movements in foreign exchange rates are often partially offset by the corresponding increases or decreases in our foreign-denominated operating expenses.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our international operations grow, our risks associated with fluctuation in currency rates will become greater, and we will continue to assess our approach to managing this risk. In addition, currency fluctuations or a weakening US dollar can increase the costs of our international operations. To date, we have not entered into any foreign currency hedging contracts although we may do so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an investment portfolio that includes strategic investments in privately held companies, which primarily include early-stage companies. We primarily invest in healthcare technology companies that we believe can help expand our ecosystem. We may continue to make these types of strategic investments as opportunities arise that we find attractive. We may experience additional volatility to our Condensed Consolidated Financial Statements due to changes in market prices, observable price changes, and impairments to our strategic investments. These changes could be material based on market conditions and events.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Form 10-Q.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SEC’s rules and forms, and the information required to be disclosed in the reports the Company files or submits under the Exchange Act was accumulated and communicated to the Company’s management, including its chief executive officer and principal financial officer, or persons performing similar functions,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change in HealthStream’s internal control over financial reporting that occurred during the second quarter of 2025 that has materially affected, or that is reasonably likely to materially affect, HealthStream’s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PART II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OTHER INFORMATION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Part I, Item 1A of the 2024 Form 10-K, except as set forth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Model</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impacted, and may continue to be adversely impacted, by unfavorable conditions and uncertainty impacting the healthcare industry and the U.S. economy more generally.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Macroeconomic conditions in the U.S. continue to be challenging in certain respects, driven by, among other things, persistent inflationary pressures, elevated interest rate levels, ongoing policy-related uncertainty, lower consumer sentiment levels compared to recent periods, heightened geopolitical tensions, including as a result of ongoing conflicts abroad and strained global trade relations. Additional challenges related to macroeconomic conditions in the U.S. that are impacting or may impact healthcare more directly include current or potential policy and regulatory decisions to reduce government funding for certain healthcare provider organizations or programs, tariff-related policies that impact goods and services on which healthcare organizations rely, and uncertainty around reduction to payment rates, including through cuts to Medicaid or other payment programs, and loss of insurance coverage by individuals. These conditions have, among other things, limited our ability to forecast future demand for our products and services, contributed to increased volatility in customer demand, and could constrain future access to capital for ourselves, our suppliers, customers, and partners. Moreover, while inflation has decreased in comparison to recent periods, we have experienced, and believe that many of our customers have experienced, increased labor, supply chain, capital, and other expenditures associated with inflationary conditions.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sell our products and services to large, mid-sized, and small healthcare organizations whose businesses fluctuate based on general economic and business conditions. As such, our operating results may vary based on the level of demand for our solutions by healthcare organizations and the impact of changes in our industry or the economy on us or our clients. For example, we have recently experienced a decrease in demand for certain of our solutions, such as health equity and belonging content, that may be viewed as a more elective type of offering by some of our customers. In addition, a portion of our revenue is attributable to the number of users of our products at each of our clients, which in turn is influenced by the employment and hiring patterns of our clients and potential clients. To the extent that economic uncertainty or weak economic conditions cause our clients and potential clients to freeze or reduce their headcount or operations, demand for our products may be negatively affected. Moreover, current economic conditions and uncertainty have resulted in and may continue to result in overall reductions in spending by some healthcare providers as well as pressure from some clients and potential clients for extended payment terms. If current economic conditions deteriorate, our clients and potential clients may elect to decrease their budgets for our solutions by deferring or reconsidering purchases or could file for bankruptcy, which has occurred from time to time. Such budget decreases or bankruptcy filings would limit our ability to grow our business and negatively affect our operating results.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Economic, regulatory, policy, or other recent developments that adversely or disproportionately impact the healthcare industry may reduce spending on information technology by healthcare organizations and otherwise adversely affect our customer base and our financial results. Healthcare organizations continue to face persistent labor shortages, elevated wage and operating costs, and ongoing uncertainty regarding reimbursement levels. Furthermore, the margins of many healthcare providers are modest, and potential decreases in reimbursement for healthcare costs – whether due to federal or state budgetary constraints, deficit reduction initiatives, reduction or elimination of programs such the 340B Drug Pricing Program, reduction of insurance coverage readily available to individuals, or changes to Medicare and/or Medicaid policy – may reduce the overall solvency of our customers or cause further deterioration in their financial or business condition.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U.S. government has recently imposed tariffs on certain foreign goods and has raised the possibility of imposing significant additional tariff increases or expanding the tariffs to capture other countries and types of foreign goods. Trade policies and tariffs affecting imported medical equipment, technology components, and other healthcare-related infrastructure have the potential to increase costs for healthcare organizations, which may reduce demand for our products and adversely impact financial results.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budget pressures at the federal and state levels have had and may continue to have a negative impact on spending for many health and human services programs, including Medicare and Medicaid, which represent significant payor sources for our customers. In particular, the federal budget reconciliation legislation enacted on July 4, 2025 includes significant policy changes that may adversely impact healthcare provider organizations, including changes that are expected to decrease access to health insurance and result in significant cuts to federal healthcare spending, particularly within the Medicaid program. Moreover, we anticipate that federal and state budget deficits combined with growing governmental healthcare expenditures will continue to place pressure on governmental healthcare programs. Any actual or potential reductions in government healthcare spending or reduction to readily available health insurance coverage for individuals could result in reduced demand for our products or heightened pricing pressure.</w:t>
      </w:r>
    </w:p>
    <w:p>
      <w:pPr>
        <w:sectPr>
          <w:pgSz w:w="11900" w:h="16838" w:orient="portrait"/>
          <w:cols w:equalWidth="0" w:num="1">
            <w:col w:w="11240"/>
          </w:cols>
          <w:pgMar w:left="320" w:top="121"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there is ongoing uncertainty regarding the federal budget and federal spending levels, including the possible impacts of a failure to increase the “debt ceiling” and any possible U.S. governmental default on its debt. Additionally, the current presidential administration has implemented the "Department of Government Efficiency" ("DOGE"), an advisory commission focused on restructuring and streamlining government agencies and reducing or eliminating regulations and federal government programs and other expenditures, which has also given rise to separate efforts at the state level to reduce government spending. In March 2025, in accordance with the DOGE Workforce Optimization Initiative, HHS announced a significant agency restructuring, reducing the HHS workforce and consolidating divisions of the agency. Pressures on and uncertainty surrounding the U.S. federal and state annual appropriations, holds on congressionally authorized spending, or interruptions in the distribution of governmental funds, could adversely affect our financial results due to the reliance of many of our customers on payments from third-party healthcare payors, including Medicare, Medicaid, and other government-sponsored programs.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conditions and uncertainties impacting the healthcare industry and our healthcare customers as described above have adversely affected, and may continue to adversely impact, our business and results of operations, including by lengthening sales cycles, increasing pricing sensitivity, and delaying investment decisions among our customers and potential customers. Moreover, if economic or conditions impacting the healthcare industry or U.S. economy significantly deteriorate, our results of operations, financial position, and/or cash flows could be materially and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8, 2025, the Company’s Board of Directors approved a new share repurchase program for the Company’s common stock, under which the Company may repurchase up to $25.0 million of outstanding shares of common stock. Pursuant to the authorization, repurchases may be made from time to time in the open market, including under a Rule 10b5-1 plan, through privately negotiated transactions, or otherwise. In addition, any repurchases under the authorization will be subject to prevailing market conditions, liquidity and cash flow considerations, applicable securities laws requirements (including under Rule 10b-18 and Rule 10b5-1 of the Securities Exchange Act of 1934, as applicable), and other factors. Under this program, during the three months ended June 30, 2025, the Company repurchased and subsequently retired 649,953 shares of common stock at an aggregate fair value of $18.1 million, reflecting an average price per share of $27.86 (excluding the cost of broker commissions), and the Company continued to repurchase shares pursuant to this authorization during the third quarter, completing the program in July by repurchasing and retiring 255,833 shares valued at $6.9 million, reflecting an average price per share of $26.94 (excluding the cost of broker commissions). The share repurchase program terminated in July when the maximum dollar amount was expended.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HealthStream's repurchases of common stock during the quarter ended June 30, 2025.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 Maximum</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(c) Total</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 (or</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 of</w:t>
            </w:r>
          </w:p>
        </w:tc>
        <w:tc>
          <w:tcPr>
            <w:tcW w:w="122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approximate</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 (or</w:t>
            </w:r>
          </w:p>
        </w:tc>
        <w:tc>
          <w:tcPr>
            <w:tcW w:w="122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dollar value)</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units)</w:t>
            </w:r>
          </w:p>
        </w:tc>
        <w:tc>
          <w:tcPr>
            <w:tcW w:w="122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 shares (or</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purchased as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units) that</w:t>
            </w:r>
          </w:p>
        </w:tc>
      </w:tr>
      <w:tr>
        <w:trPr>
          <w:trHeight w:val="216"/>
        </w:trPr>
        <w:tc>
          <w:tcPr>
            <w:tcW w:w="59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 Total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part of</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may yet be</w:t>
            </w:r>
          </w:p>
        </w:tc>
      </w:tr>
      <w:tr>
        <w:trPr>
          <w:trHeight w:val="216"/>
        </w:trPr>
        <w:tc>
          <w:tcPr>
            <w:tcW w:w="59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number of</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(b) Average</w:t>
            </w:r>
          </w:p>
        </w:tc>
        <w:tc>
          <w:tcPr>
            <w:tcW w:w="13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publicly</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purchased</w:t>
            </w:r>
          </w:p>
        </w:tc>
      </w:tr>
      <w:tr>
        <w:trPr>
          <w:trHeight w:val="216"/>
        </w:trPr>
        <w:tc>
          <w:tcPr>
            <w:tcW w:w="59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 (or</w:t>
            </w:r>
          </w:p>
        </w:tc>
        <w:tc>
          <w:tcPr>
            <w:tcW w:w="1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price paid per</w:t>
            </w:r>
          </w:p>
        </w:tc>
        <w:tc>
          <w:tcPr>
            <w:tcW w:w="13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under the</w:t>
            </w:r>
          </w:p>
        </w:tc>
      </w:tr>
      <w:tr>
        <w:trPr>
          <w:trHeight w:val="216"/>
        </w:trPr>
        <w:tc>
          <w:tcPr>
            <w:tcW w:w="59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units)</w:t>
            </w:r>
          </w:p>
        </w:tc>
        <w:tc>
          <w:tcPr>
            <w:tcW w:w="1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 (or unit)</w:t>
            </w:r>
          </w:p>
        </w:tc>
        <w:tc>
          <w:tcPr>
            <w:tcW w:w="13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plans or</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plans or</w:t>
            </w:r>
          </w:p>
        </w:tc>
      </w:tr>
      <w:tr>
        <w:trPr>
          <w:trHeight w:val="23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3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programs</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programs</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Month #1 (April 1 - April 30)</w:t>
            </w:r>
          </w:p>
        </w:tc>
        <w:tc>
          <w:tcPr>
            <w:tcW w:w="112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 #2 (May 1 - May 31)</w:t>
            </w:r>
          </w:p>
        </w:tc>
        <w:tc>
          <w:tcPr>
            <w:tcW w:w="13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393,959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11,094,372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13,905,628</w:t>
            </w: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Month #3 (June 1 - June 30)</w:t>
            </w:r>
          </w:p>
        </w:tc>
        <w:tc>
          <w:tcPr>
            <w:tcW w:w="13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255,994</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7,013,708</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6,891,920</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5"/>
              </w:rPr>
              <w:t>649,953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18,108,080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6,891,920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 The weighted average price paid per share of common stock does not include the cost of broker commissions.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None. Without limiting the generality of the foregoing, during the six months ended June 30, 2025, no director or officer of the Company adopted or terminated any “Rule 10b5-1 trading arrangement,” or any “non-Rule 10b-5 trading arrangement,” as such terms are defined in Item 408 of Regulation 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jc w:val="center"/>
        <w:ind w:right="10000"/>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00" w:type="dxa"/>
            <w:vAlign w:val="bottom"/>
          </w:tcPr>
          <w:p>
            <w:pPr>
              <w:spacing w:after="0"/>
              <w:rPr>
                <w:sz w:val="17"/>
                <w:szCs w:val="17"/>
                <w:color w:val="auto"/>
              </w:rPr>
            </w:pPr>
          </w:p>
        </w:tc>
        <w:tc>
          <w:tcPr>
            <w:tcW w:w="101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Certification of the Chief Executive Officer Pursuant to Section 302 of the Sarbanes-Oxley Act of 2002</w:t>
            </w:r>
          </w:p>
        </w:tc>
      </w:tr>
      <w:tr>
        <w:trPr>
          <w:trHeight w:val="20"/>
        </w:trPr>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600" w:type="dxa"/>
            <w:vAlign w:val="bottom"/>
          </w:tcPr>
          <w:p>
            <w:pPr>
              <w:spacing w:after="0"/>
              <w:rPr>
                <w:sz w:val="17"/>
                <w:szCs w:val="17"/>
                <w:color w:val="auto"/>
              </w:rPr>
            </w:pPr>
          </w:p>
        </w:tc>
        <w:tc>
          <w:tcPr>
            <w:tcW w:w="10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the Principal Financial Officer Pursuant to Section 302 of the Sarbanes-Oxley Act of 2002</w:t>
            </w:r>
          </w:p>
        </w:tc>
      </w:tr>
      <w:tr>
        <w:trPr>
          <w:trHeight w:val="20"/>
        </w:trPr>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6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600" w:type="dxa"/>
            <w:vAlign w:val="bottom"/>
          </w:tcPr>
          <w:p>
            <w:pPr>
              <w:spacing w:after="0"/>
              <w:rPr>
                <w:sz w:val="17"/>
                <w:szCs w:val="17"/>
                <w:color w:val="auto"/>
              </w:rPr>
            </w:pPr>
          </w:p>
        </w:tc>
        <w:tc>
          <w:tcPr>
            <w:tcW w:w="10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w:t>
            </w:r>
          </w:p>
        </w:tc>
      </w:tr>
      <w:tr>
        <w:trPr>
          <w:trHeight w:val="20"/>
        </w:trPr>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740" w:type="dxa"/>
            <w:vAlign w:val="bottom"/>
            <w:gridSpan w:val="3"/>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600" w:type="dxa"/>
            <w:vAlign w:val="bottom"/>
          </w:tcPr>
          <w:p>
            <w:pPr>
              <w:spacing w:after="0"/>
              <w:rPr>
                <w:sz w:val="17"/>
                <w:szCs w:val="17"/>
                <w:color w:val="auto"/>
              </w:rPr>
            </w:pPr>
          </w:p>
        </w:tc>
        <w:tc>
          <w:tcPr>
            <w:tcW w:w="10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w:t>
            </w:r>
          </w:p>
        </w:tc>
      </w:tr>
      <w:tr>
        <w:trPr>
          <w:trHeight w:val="20"/>
        </w:trPr>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740" w:type="dxa"/>
            <w:vAlign w:val="bottom"/>
            <w:gridSpan w:val="3"/>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1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w:t>
            </w:r>
          </w:p>
        </w:tc>
        <w:tc>
          <w:tcPr>
            <w:tcW w:w="10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instant document does not appear in the Interactive Data File because its XBRL tags are embedded</w:t>
            </w:r>
          </w:p>
        </w:tc>
      </w:tr>
      <w:tr>
        <w:trPr>
          <w:trHeight w:val="216"/>
        </w:trPr>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 SCH</w:t>
            </w:r>
          </w:p>
        </w:tc>
        <w:tc>
          <w:tcPr>
            <w:tcW w:w="10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w:t>
            </w:r>
          </w:p>
        </w:tc>
        <w:tc>
          <w:tcPr>
            <w:tcW w:w="10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w:t>
            </w:r>
          </w:p>
        </w:tc>
        <w:tc>
          <w:tcPr>
            <w:tcW w:w="10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w:t>
            </w:r>
          </w:p>
        </w:tc>
        <w:tc>
          <w:tcPr>
            <w:tcW w:w="10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w:t>
            </w:r>
          </w:p>
        </w:tc>
        <w:tc>
          <w:tcPr>
            <w:tcW w:w="10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bl>
    <w:p>
      <w:pPr>
        <w:ind w:left="1040" w:hanging="1032"/>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June 30, 2025, has been formatted in Inline</w:t>
      </w:r>
    </w:p>
    <w:p>
      <w:pPr>
        <w:spacing w:after="0" w:line="9"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w:t>
      </w:r>
    </w:p>
    <w:p>
      <w:pPr>
        <w:spacing w:after="0" w:line="9" w:lineRule="exact"/>
        <w:rPr>
          <w:sz w:val="20"/>
          <w:szCs w:val="20"/>
          <w:color w:val="auto"/>
        </w:rPr>
      </w:pPr>
    </w:p>
    <w:p>
      <w:pPr>
        <w:ind w:left="1040" w:hanging="1032"/>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792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HEALTHSTREAM, INC.</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August 7, 2025</w:t>
            </w:r>
          </w:p>
        </w:tc>
        <w:tc>
          <w:tcPr>
            <w:tcW w:w="792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By:   /s/ Scott A. Roberts</w:t>
            </w:r>
          </w:p>
        </w:tc>
      </w:tr>
      <w:tr>
        <w:trPr>
          <w:trHeight w:val="191"/>
        </w:trPr>
        <w:tc>
          <w:tcPr>
            <w:tcW w:w="33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4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Scott A. Roberts</w:t>
            </w:r>
          </w:p>
        </w:tc>
      </w:tr>
      <w:tr>
        <w:trPr>
          <w:trHeight w:val="234"/>
        </w:trPr>
        <w:tc>
          <w:tcPr>
            <w:tcW w:w="33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48"/>
        </w:trPr>
        <w:tc>
          <w:tcPr>
            <w:tcW w:w="3320" w:type="dxa"/>
            <w:vAlign w:val="bottom"/>
          </w:tcPr>
          <w:p>
            <w:pPr>
              <w:spacing w:after="0"/>
              <w:rPr>
                <w:sz w:val="24"/>
                <w:szCs w:val="24"/>
                <w:color w:val="auto"/>
              </w:rPr>
            </w:pPr>
          </w:p>
        </w:tc>
        <w:tc>
          <w:tcPr>
            <w:tcW w:w="3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22</w:t>
            </w:r>
          </w:p>
        </w:tc>
        <w:tc>
          <w:tcPr>
            <w:tcW w:w="474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Frist, Jr., certify that:</w:t>
      </w:r>
    </w:p>
    <w:p>
      <w:pPr>
        <w:spacing w:after="0" w:line="225"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HealthStream,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0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3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00" w:hanging="6"/>
        <w:spacing w:after="0" w:line="282" w:lineRule="auto"/>
        <w:tabs>
          <w:tab w:leader="none" w:pos="73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1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right="20" w:hanging="6"/>
        <w:spacing w:after="0" w:line="282" w:lineRule="auto"/>
        <w:tabs>
          <w:tab w:leader="none" w:pos="69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hanging="6"/>
        <w:spacing w:after="0" w:line="282" w:lineRule="auto"/>
        <w:tabs>
          <w:tab w:leader="none" w:pos="70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7040" w:type="dxa"/>
            <w:vAlign w:val="bottom"/>
            <w:tcBorders>
              <w:bottom w:val="single" w:sz="8" w:color="auto"/>
            </w:tcBorders>
          </w:tcPr>
          <w:p>
            <w:pPr>
              <w:ind w:left="266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A. F</w:t>
            </w:r>
            <w:r>
              <w:rPr>
                <w:rFonts w:ascii="Times New Roman" w:cs="Times New Roman" w:eastAsia="Times New Roman" w:hAnsi="Times New Roman"/>
                <w:sz w:val="12"/>
                <w:szCs w:val="12"/>
                <w:color w:val="auto"/>
              </w:rPr>
              <w:t>rist</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tc>
      </w:tr>
      <w:tr>
        <w:trPr>
          <w:trHeight w:val="191"/>
        </w:trPr>
        <w:tc>
          <w:tcPr>
            <w:tcW w:w="4200" w:type="dxa"/>
            <w:vAlign w:val="bottom"/>
          </w:tcPr>
          <w:p>
            <w:pPr>
              <w:spacing w:after="0"/>
              <w:rPr>
                <w:sz w:val="16"/>
                <w:szCs w:val="16"/>
                <w:color w:val="auto"/>
              </w:rPr>
            </w:pPr>
          </w:p>
        </w:tc>
        <w:tc>
          <w:tcPr>
            <w:tcW w:w="7040" w:type="dxa"/>
            <w:vAlign w:val="bottom"/>
          </w:tcPr>
          <w:p>
            <w:pPr>
              <w:ind w:left="2660"/>
              <w:spacing w:after="0" w:line="191" w:lineRule="exact"/>
              <w:rPr>
                <w:sz w:val="20"/>
                <w:szCs w:val="20"/>
                <w:color w:val="auto"/>
              </w:rPr>
            </w:pPr>
            <w:r>
              <w:rPr>
                <w:rFonts w:ascii="Times New Roman" w:cs="Times New Roman" w:eastAsia="Times New Roman" w:hAnsi="Times New Roman"/>
                <w:sz w:val="18"/>
                <w:szCs w:val="18"/>
                <w:color w:val="auto"/>
              </w:rPr>
              <w:t>Robert A. Frist, Jr.</w:t>
            </w:r>
          </w:p>
        </w:tc>
      </w:tr>
      <w:tr>
        <w:trPr>
          <w:trHeight w:val="234"/>
        </w:trPr>
        <w:tc>
          <w:tcPr>
            <w:tcW w:w="4200" w:type="dxa"/>
            <w:vAlign w:val="bottom"/>
          </w:tcPr>
          <w:p>
            <w:pPr>
              <w:spacing w:after="0"/>
              <w:rPr>
                <w:sz w:val="20"/>
                <w:szCs w:val="20"/>
                <w:color w:val="auto"/>
              </w:rPr>
            </w:pPr>
          </w:p>
        </w:tc>
        <w:tc>
          <w:tcPr>
            <w:tcW w:w="70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21"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A. Roberts, certify that:</w:t>
      </w:r>
    </w:p>
    <w:p>
      <w:pPr>
        <w:spacing w:after="0" w:line="225"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HealthStream,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0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3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00" w:hanging="6"/>
        <w:spacing w:after="0" w:line="282" w:lineRule="auto"/>
        <w:tabs>
          <w:tab w:leader="none" w:pos="73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1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right="20" w:hanging="6"/>
        <w:spacing w:after="0" w:line="282" w:lineRule="auto"/>
        <w:tabs>
          <w:tab w:leader="none" w:pos="69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hanging="6"/>
        <w:spacing w:after="0" w:line="282" w:lineRule="auto"/>
        <w:tabs>
          <w:tab w:leader="none" w:pos="70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7060" w:type="dxa"/>
            <w:vAlign w:val="bottom"/>
            <w:tcBorders>
              <w:bottom w:val="single" w:sz="8" w:color="auto"/>
            </w:tcBorders>
          </w:tcPr>
          <w:p>
            <w:pPr>
              <w:ind w:left="2640"/>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cott</w:t>
            </w:r>
            <w:r>
              <w:rPr>
                <w:rFonts w:ascii="Times New Roman" w:cs="Times New Roman" w:eastAsia="Times New Roman" w:hAnsi="Times New Roman"/>
                <w:sz w:val="18"/>
                <w:szCs w:val="18"/>
                <w:color w:val="auto"/>
              </w:rPr>
              <w:t xml:space="preserve"> A. R</w:t>
            </w:r>
            <w:r>
              <w:rPr>
                <w:rFonts w:ascii="Times New Roman" w:cs="Times New Roman" w:eastAsia="Times New Roman" w:hAnsi="Times New Roman"/>
                <w:sz w:val="12"/>
                <w:szCs w:val="12"/>
                <w:color w:val="auto"/>
              </w:rPr>
              <w:t>oberts</w:t>
            </w:r>
          </w:p>
        </w:tc>
      </w:tr>
      <w:tr>
        <w:trPr>
          <w:trHeight w:val="191"/>
        </w:trPr>
        <w:tc>
          <w:tcPr>
            <w:tcW w:w="4180" w:type="dxa"/>
            <w:vAlign w:val="bottom"/>
          </w:tcPr>
          <w:p>
            <w:pPr>
              <w:spacing w:after="0"/>
              <w:rPr>
                <w:sz w:val="16"/>
                <w:szCs w:val="16"/>
                <w:color w:val="auto"/>
              </w:rPr>
            </w:pPr>
          </w:p>
        </w:tc>
        <w:tc>
          <w:tcPr>
            <w:tcW w:w="7060" w:type="dxa"/>
            <w:vAlign w:val="bottom"/>
          </w:tcPr>
          <w:p>
            <w:pPr>
              <w:ind w:left="2640"/>
              <w:spacing w:after="0" w:line="191" w:lineRule="exact"/>
              <w:rPr>
                <w:sz w:val="20"/>
                <w:szCs w:val="20"/>
                <w:color w:val="auto"/>
              </w:rPr>
            </w:pPr>
            <w:r>
              <w:rPr>
                <w:rFonts w:ascii="Times New Roman" w:cs="Times New Roman" w:eastAsia="Times New Roman" w:hAnsi="Times New Roman"/>
                <w:sz w:val="18"/>
                <w:szCs w:val="18"/>
                <w:color w:val="auto"/>
              </w:rPr>
              <w:t>Scott A. Roberts</w:t>
            </w:r>
          </w:p>
        </w:tc>
      </w:tr>
      <w:tr>
        <w:trPr>
          <w:trHeight w:val="234"/>
        </w:trPr>
        <w:tc>
          <w:tcPr>
            <w:tcW w:w="4180" w:type="dxa"/>
            <w:vAlign w:val="bottom"/>
          </w:tcPr>
          <w:p>
            <w:pPr>
              <w:spacing w:after="0"/>
              <w:rPr>
                <w:sz w:val="20"/>
                <w:szCs w:val="20"/>
                <w:color w:val="auto"/>
              </w:rPr>
            </w:pPr>
          </w:p>
        </w:tc>
        <w:tc>
          <w:tcPr>
            <w:tcW w:w="706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21"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HealthStream, Inc. (the “Company”) on Form 10-Q for the period ending June 30, 2025,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176"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A. F</w:t>
      </w:r>
      <w:r>
        <w:rPr>
          <w:rFonts w:ascii="Times New Roman" w:cs="Times New Roman" w:eastAsia="Times New Roman" w:hAnsi="Times New Roman"/>
          <w:sz w:val="12"/>
          <w:szCs w:val="12"/>
          <w:color w:val="auto"/>
        </w:rPr>
        <w:t>rist</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A. Frist, Jr.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7, 2025</w:t>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HealthStream, Inc. (the “Company”) on Form 10-Q for the period ending June 30, 2025, as filed with the Securities and Exchange Commission on the date hereof (the “Report”), Scott A. Roberts, Chief Financial Officer of the Company, certifies, pursuant to 18 U.S.C. Section 1350, as adopted pursuant to Section 906 of the Sarbanes-Oxley Act of 2002, that:</w:t>
      </w:r>
    </w:p>
    <w:p>
      <w:pPr>
        <w:spacing w:after="0" w:line="176"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cott</w:t>
      </w:r>
      <w:r>
        <w:rPr>
          <w:rFonts w:ascii="Times New Roman" w:cs="Times New Roman" w:eastAsia="Times New Roman" w:hAnsi="Times New Roman"/>
          <w:sz w:val="18"/>
          <w:szCs w:val="18"/>
          <w:color w:val="auto"/>
        </w:rPr>
        <w:t xml:space="preserve"> A. R</w:t>
      </w:r>
      <w:r>
        <w:rPr>
          <w:rFonts w:ascii="Times New Roman" w:cs="Times New Roman" w:eastAsia="Times New Roman" w:hAnsi="Times New Roman"/>
          <w:sz w:val="12"/>
          <w:szCs w:val="12"/>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A. Roberts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7, 2025</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04"/>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2025-08-07T15:45:47Z</dcterms:created>
  <dcterms:modified xsi:type="dcterms:W3CDTF">2025-08-07T15:45:47Z</dcterms:modified>
</cp:coreProperties>
</file>