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3"/>
              </w:rPr>
              <w:t>Tennessee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00" w:type="dxa"/>
            <w:vAlign w:val="bottom"/>
          </w:tcPr>
          <w:p>
            <w:pPr>
              <w:jc w:val="center"/>
              <w:ind w:right="345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8"/>
              </w:rPr>
              <w:t>209 10th Avenue South, Suite 450</w:t>
            </w:r>
          </w:p>
        </w:tc>
        <w:tc>
          <w:tcPr>
            <w:tcW w:w="1500" w:type="dxa"/>
            <w:vAlign w:val="bottom"/>
          </w:tcPr>
          <w:p>
            <w:pPr>
              <w:spacing w:after="0"/>
              <w:rPr>
                <w:sz w:val="24"/>
                <w:szCs w:val="24"/>
                <w:color w:val="auto"/>
              </w:rPr>
            </w:pPr>
          </w:p>
        </w:tc>
      </w:tr>
      <w:tr>
        <w:trPr>
          <w:trHeight w:val="225"/>
        </w:trPr>
        <w:tc>
          <w:tcPr>
            <w:tcW w:w="6100" w:type="dxa"/>
            <w:vAlign w:val="bottom"/>
          </w:tcPr>
          <w:p>
            <w:pPr>
              <w:jc w:val="center"/>
              <w:ind w:right="3479"/>
              <w:spacing w:after="0"/>
              <w:rPr>
                <w:sz w:val="20"/>
                <w:szCs w:val="20"/>
                <w:color w:val="auto"/>
              </w:rPr>
            </w:pPr>
            <w:r>
              <w:rPr>
                <w:rFonts w:ascii="Arial" w:cs="Arial" w:eastAsia="Arial" w:hAnsi="Arial"/>
                <w:sz w:val="18"/>
                <w:szCs w:val="18"/>
                <w:b w:val="1"/>
                <w:bCs w:val="1"/>
                <w:color w:val="auto"/>
                <w:w w:val="86"/>
              </w:rPr>
              <w:t>Nashville, Tennessee</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86"/>
        </w:trPr>
        <w:tc>
          <w:tcPr>
            <w:tcW w:w="6100" w:type="dxa"/>
            <w:vAlign w:val="bottom"/>
          </w:tcPr>
          <w:p>
            <w:pPr>
              <w:jc w:val="center"/>
              <w:ind w:right="3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00" w:type="dxa"/>
            <w:vAlign w:val="bottom"/>
          </w:tcPr>
          <w:p>
            <w:pPr>
              <w:jc w:val="right"/>
              <w:ind w:right="1359"/>
              <w:spacing w:after="0"/>
              <w:rPr>
                <w:sz w:val="20"/>
                <w:szCs w:val="20"/>
                <w:color w:val="auto"/>
              </w:rPr>
            </w:pPr>
            <w:r>
              <w:rPr>
                <w:rFonts w:ascii="Arial" w:cs="Arial" w:eastAsia="Arial" w:hAnsi="Arial"/>
                <w:sz w:val="18"/>
                <w:szCs w:val="18"/>
                <w:b w:val="1"/>
                <w:bCs w:val="1"/>
                <w:color w:val="auto"/>
              </w:rPr>
              <w:t>(615) 301-3100</w:t>
            </w:r>
          </w:p>
        </w:tc>
        <w:tc>
          <w:tcPr>
            <w:tcW w:w="1500" w:type="dxa"/>
            <w:vAlign w:val="bottom"/>
          </w:tcPr>
          <w:p>
            <w:pPr>
              <w:spacing w:after="0"/>
              <w:rPr>
                <w:sz w:val="24"/>
                <w:szCs w:val="24"/>
                <w:color w:val="auto"/>
              </w:rPr>
            </w:pPr>
          </w:p>
        </w:tc>
      </w:tr>
      <w:tr>
        <w:trPr>
          <w:trHeight w:val="186"/>
        </w:trPr>
        <w:tc>
          <w:tcPr>
            <w:tcW w:w="6100" w:type="dxa"/>
            <w:vAlign w:val="bottom"/>
          </w:tcPr>
          <w:p>
            <w:pPr>
              <w:jc w:val="center"/>
              <w:ind w:left="1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48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rPr>
              <w:t>As of July 28, 2014, there were 27,570,462 shares of the registrant’s common stock outstanding.</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48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171"/>
        </w:trPr>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r>
      <w:tr>
        <w:trPr>
          <w:trHeight w:val="264"/>
        </w:trPr>
        <w:tc>
          <w:tcPr>
            <w:tcW w:w="780" w:type="dxa"/>
            <w:vAlign w:val="bottom"/>
          </w:tcPr>
          <w:p>
            <w:pPr>
              <w:spacing w:after="0"/>
              <w:rPr>
                <w:sz w:val="20"/>
                <w:szCs w:val="20"/>
                <w:color w:val="auto"/>
              </w:rPr>
            </w:pPr>
            <w:r>
              <w:rPr>
                <w:rFonts w:ascii="Arial" w:cs="Arial" w:eastAsia="Arial" w:hAnsi="Arial"/>
                <w:sz w:val="18"/>
                <w:szCs w:val="18"/>
                <w:color w:val="auto"/>
              </w:rPr>
              <w:t>Part I.</w:t>
            </w:r>
          </w:p>
        </w:tc>
        <w:tc>
          <w:tcPr>
            <w:tcW w:w="15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460" w:type="dxa"/>
            <w:vAlign w:val="bottom"/>
            <w:gridSpan w:val="10"/>
          </w:tcPr>
          <w:p>
            <w:pPr>
              <w:spacing w:after="0"/>
              <w:rPr>
                <w:sz w:val="22"/>
                <w:szCs w:val="22"/>
                <w:color w:val="auto"/>
              </w:rPr>
            </w:pPr>
          </w:p>
        </w:tc>
        <w:tc>
          <w:tcPr>
            <w:tcW w:w="500" w:type="dxa"/>
            <w:vAlign w:val="bottom"/>
          </w:tcPr>
          <w:p>
            <w:pPr>
              <w:spacing w:after="0"/>
              <w:rPr>
                <w:sz w:val="22"/>
                <w:szCs w:val="22"/>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0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780" w:type="dxa"/>
            <w:vAlign w:val="bottom"/>
          </w:tcPr>
          <w:p>
            <w:pPr>
              <w:spacing w:after="0"/>
              <w:rPr>
                <w:sz w:val="24"/>
                <w:szCs w:val="24"/>
                <w:color w:val="auto"/>
              </w:rPr>
            </w:pPr>
          </w:p>
        </w:tc>
        <w:tc>
          <w:tcPr>
            <w:tcW w:w="68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June 30, 2014 (Unaudited) and December 31, 2013</w:t>
              </w:r>
            </w:hyperlink>
          </w:p>
        </w:tc>
        <w:tc>
          <w:tcPr>
            <w:tcW w:w="324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780" w:type="dxa"/>
            <w:vAlign w:val="bottom"/>
          </w:tcPr>
          <w:p>
            <w:pPr>
              <w:spacing w:after="0"/>
              <w:rPr>
                <w:sz w:val="24"/>
                <w:szCs w:val="24"/>
                <w:color w:val="auto"/>
              </w:rPr>
            </w:pPr>
          </w:p>
        </w:tc>
        <w:tc>
          <w:tcPr>
            <w:tcW w:w="83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 - Three and Six Months ended June 30, 2014 and 2013</w:t>
              </w:r>
            </w:hyperlink>
          </w:p>
        </w:tc>
        <w:tc>
          <w:tcPr>
            <w:tcW w:w="172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78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Statements of Comprehensive Income (Unaudited) - Three and Six Months ended June 30, 2014 and 2013</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80" w:type="dxa"/>
            <w:vAlign w:val="bottom"/>
          </w:tcPr>
          <w:p>
            <w:pPr>
              <w:spacing w:after="0"/>
              <w:rPr>
                <w:sz w:val="24"/>
                <w:szCs w:val="24"/>
                <w:color w:val="auto"/>
              </w:rPr>
            </w:pPr>
          </w:p>
        </w:tc>
        <w:tc>
          <w:tcPr>
            <w:tcW w:w="9480" w:type="dxa"/>
            <w:vAlign w:val="bottom"/>
            <w:tcBorders>
              <w:top w:val="single" w:sz="8" w:color="0000EE"/>
            </w:tcBorders>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(Unaudited) - Six Months ended June 30, 2014</w:t>
              </w:r>
            </w:hyperlink>
          </w:p>
        </w:tc>
        <w:tc>
          <w:tcPr>
            <w:tcW w:w="5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78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 - Six Months ended June 30, 2014 and 2013</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80" w:type="dxa"/>
            <w:vAlign w:val="bottom"/>
          </w:tcPr>
          <w:p>
            <w:pPr>
              <w:spacing w:after="0"/>
              <w:rPr>
                <w:sz w:val="24"/>
                <w:szCs w:val="24"/>
                <w:color w:val="auto"/>
              </w:rPr>
            </w:pPr>
          </w:p>
        </w:tc>
        <w:tc>
          <w:tcPr>
            <w:tcW w:w="784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20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Management’s Discussion and Analysis of Financial Condition and Results of Operations</w:t>
              </w:r>
            </w:hyperlink>
          </w:p>
        </w:tc>
        <w:tc>
          <w:tcPr>
            <w:tcW w:w="358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Quantitative and Qualitative Disclosures About Market Risk</w:t>
              </w:r>
            </w:hyperlink>
          </w:p>
        </w:tc>
        <w:tc>
          <w:tcPr>
            <w:tcW w:w="568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4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Part II.</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0">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28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Exhibits</w:t>
              </w:r>
            </w:hyperlink>
          </w:p>
        </w:tc>
        <w:tc>
          <w:tcPr>
            <w:tcW w:w="944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780" w:type="dxa"/>
            <w:vAlign w:val="bottom"/>
          </w:tcPr>
          <w:p>
            <w:pPr>
              <w:spacing w:after="0"/>
              <w:rPr>
                <w:sz w:val="24"/>
                <w:szCs w:val="24"/>
                <w:color w:val="auto"/>
              </w:rPr>
            </w:pPr>
          </w:p>
        </w:tc>
        <w:tc>
          <w:tcPr>
            <w:tcW w:w="1004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1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60,862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59,537</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50,901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48,659</w:t>
            </w: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$262 and $211 at June 30, 2014 and December 31,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2013, 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29,785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receivable - unbilled</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royalties, net of amortization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12,698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Other prepaid expenses and other current assets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160,381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147,124</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21,631</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5,521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33,426</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(21,968)</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9,468</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Capitalized software development, net of accumulated amortization of $15,838 and $13,910 at June 30, 2014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2013, 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12,014</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11,077</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43,233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35,746</w:t>
            </w:r>
          </w:p>
        </w:tc>
        <w:tc>
          <w:tcPr>
            <w:tcW w:w="0" w:type="dxa"/>
            <w:vAlign w:val="bottom"/>
          </w:tcPr>
          <w:p>
            <w:pPr>
              <w:spacing w:after="0"/>
              <w:rPr>
                <w:sz w:val="1"/>
                <w:szCs w:val="1"/>
                <w:color w:val="auto"/>
              </w:rPr>
            </w:pPr>
          </w:p>
        </w:tc>
      </w:tr>
      <w:tr>
        <w:trPr>
          <w:trHeight w:val="202"/>
        </w:trPr>
        <w:tc>
          <w:tcPr>
            <w:tcW w:w="9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Intangible assets, net of accumulated amortization of $12,517 and $11,389 at June 30, 2014 and December 31, 2013,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15,342</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241,399</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1,319</w:t>
            </w:r>
          </w:p>
        </w:tc>
        <w:tc>
          <w:tcPr>
            <w:tcW w:w="4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royalties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Deferred tax liabilities, current</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51,595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38,168</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75,046</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8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no par value, 75,000 shares authorized; 27,570 and 27,327 shares issued and outstanding at June 30,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80" w:type="dxa"/>
            <w:vAlign w:val="bottom"/>
          </w:tcPr>
          <w:p>
            <w:pPr>
              <w:ind w:left="540"/>
              <w:spacing w:after="0"/>
              <w:rPr>
                <w:sz w:val="20"/>
                <w:szCs w:val="20"/>
                <w:color w:val="auto"/>
              </w:rPr>
            </w:pPr>
            <w:r>
              <w:rPr>
                <w:rFonts w:ascii="Arial" w:cs="Arial" w:eastAsia="Arial" w:hAnsi="Arial"/>
                <w:sz w:val="18"/>
                <w:szCs w:val="18"/>
                <w:color w:val="auto"/>
              </w:rPr>
              <w:t>2014 and December 31, 2013, respectively</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170,279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166,888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(17,424)</w:t>
            </w:r>
          </w:p>
        </w:tc>
        <w:tc>
          <w:tcPr>
            <w:tcW w:w="0" w:type="dxa"/>
            <w:vAlign w:val="bottom"/>
          </w:tcPr>
          <w:p>
            <w:pPr>
              <w:spacing w:after="0"/>
              <w:rPr>
                <w:sz w:val="1"/>
                <w:szCs w:val="1"/>
                <w:color w:val="auto"/>
              </w:rPr>
            </w:pPr>
          </w:p>
        </w:tc>
      </w:tr>
      <w:tr>
        <w:trPr>
          <w:trHeight w:val="223"/>
        </w:trPr>
        <w:tc>
          <w:tcPr>
            <w:tcW w:w="92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157,157</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241,399</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4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June 30,</w:t>
            </w: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42,476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80,825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18,738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12,871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35,663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4,294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7,840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14,199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5,361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10,592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1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38,366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27,813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73,417</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54,287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3,165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Basic</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27,567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26,722</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27,510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28,043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27,649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27,975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4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4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64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$2,364</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$ 4,311</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9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14</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22</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2,378</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2,379</w:t>
            </w:r>
          </w:p>
        </w:tc>
        <w:tc>
          <w:tcPr>
            <w:tcW w:w="96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4,333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92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2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92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27,327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$166,888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(17,424)</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4,311</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Issuance of common stock in acquisition</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82</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2,247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color w:val="auto"/>
              </w:rPr>
              <w:t>Common stock issued under stock plans, net of shares withheld for</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employee taxes</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27,570</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170,279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(13,113)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4,311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5,123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based compensation expense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3,165</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700"/>
              <w:spacing w:after="0"/>
              <w:rPr>
                <w:sz w:val="20"/>
                <w:szCs w:val="20"/>
                <w:color w:val="auto"/>
              </w:rPr>
            </w:pPr>
            <w:r>
              <w:rPr>
                <w:rFonts w:ascii="Arial" w:cs="Arial" w:eastAsia="Arial" w:hAnsi="Arial"/>
                <w:sz w:val="18"/>
                <w:szCs w:val="18"/>
                <w:color w:val="auto"/>
              </w:rPr>
              <w:t>Loss on non-marketable equity investments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and unbilled receivables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060"/>
              <w:spacing w:after="0"/>
              <w:rPr>
                <w:sz w:val="20"/>
                <w:szCs w:val="20"/>
                <w:color w:val="auto"/>
              </w:rPr>
            </w:pPr>
            <w:r>
              <w:rPr>
                <w:rFonts w:ascii="Arial" w:cs="Arial" w:eastAsia="Arial" w:hAnsi="Arial"/>
                <w:sz w:val="18"/>
                <w:szCs w:val="18"/>
                <w:color w:val="auto"/>
              </w:rPr>
              <w:t>Prepaid royalties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(3,841)</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prepaid expenses and other current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060"/>
              <w:spacing w:after="0"/>
              <w:rPr>
                <w:sz w:val="20"/>
                <w:szCs w:val="20"/>
                <w:color w:val="auto"/>
              </w:rPr>
            </w:pPr>
            <w:r>
              <w:rPr>
                <w:rFonts w:ascii="Arial" w:cs="Arial" w:eastAsia="Arial" w:hAnsi="Arial"/>
                <w:sz w:val="18"/>
                <w:szCs w:val="18"/>
                <w:color w:val="auto"/>
              </w:rPr>
              <w:t>Accrued royalties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2,721</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9"/>
              </w:rPr>
              <w:t>Accrued liabilities and accrued compensation and related expenses and other long-term liabilities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14,689</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22,102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(12,501)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29,098</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in marketable securities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(32,046)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in non-marketable equity investments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(2,423)</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provided by investing activities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(20,826)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Payment of earn-outs related to acquisitions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ind w:left="142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59,537</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60,862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54,651</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in connection with acquisition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six months ended June 30, 2014 are not necessarily indicative of the results that may be expected for the year ending December 31, 2014.</w:t>
      </w:r>
    </w:p>
    <w:p>
      <w:pPr>
        <w:spacing w:after="0" w:line="17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balance sheet at December 31, 2013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2013 (included in the Company’s Annual Report on Form 10-K, filed with the Securities and Exchange Commission on March 4,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which supersedes the revenue recognition requirements in Topic 605,</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and most industry-specific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2016, and early adoption is not permitted. The Company is currently reviewing this standard to assess the impact on its future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During the six months ended June 30, 2014 and 2013, the Company recorded a provision for income taxes of approximately $3.2 million and $3.0 million respectively. The Company’s effective tax rate for the six months ended June 30, 2014 and 2013 was 42.3% and 40.7%, respectively. The Company’s effective tax rate primarily reflects the statutory corporate income tax rate, the net effect of state taxes, and the effect of various permanent tax differences.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maintains two stock incentive plans. The Company accounts for its stock based compensation plans using the fair-value based method for costs related to share-based payments, including stock options and restricted share units (RSUs). During the six months ended June 30, 2014, the Company issued 70,080 RSUs with a weighted average grant date fair value of $28.71 per share, measured based on the closing fair market value of the Company’s stock on the date of grant. During the six months ended June 30, 2013, the Company issued 77,750 RSUs with a weighted average grant date fair value of $21.70 per share, measured based on the closing fair market value of the Company’s stock on the date of grant.</w:t>
      </w:r>
    </w:p>
    <w:p>
      <w:pPr>
        <w:spacing w:after="0" w:line="17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Total stock based compensation expense recorded for the three and six months ended June 30, 2014 and 2013, which is recorded in the condensed consolidated statements of income,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jc w:val="right"/>
              <w:ind w:right="200"/>
              <w:spacing w:after="0"/>
              <w:rPr>
                <w:sz w:val="20"/>
                <w:szCs w:val="20"/>
                <w:color w:val="auto"/>
              </w:rPr>
            </w:pPr>
            <w:r>
              <w:rPr>
                <w:rFonts w:ascii="Arial" w:cs="Arial" w:eastAsia="Arial" w:hAnsi="Arial"/>
                <w:sz w:val="14"/>
                <w:szCs w:val="14"/>
                <w:color w:val="auto"/>
                <w:w w:val="93"/>
              </w:rPr>
              <w:t>Six Months Ended</w:t>
            </w:r>
          </w:p>
        </w:tc>
        <w:tc>
          <w:tcPr>
            <w:tcW w:w="0" w:type="dxa"/>
            <w:vAlign w:val="bottom"/>
          </w:tcPr>
          <w:p>
            <w:pPr>
              <w:spacing w:after="0"/>
              <w:rPr>
                <w:sz w:val="1"/>
                <w:szCs w:val="1"/>
                <w:color w:val="auto"/>
              </w:rPr>
            </w:pPr>
          </w:p>
        </w:tc>
      </w:tr>
      <w:tr>
        <w:trPr>
          <w:trHeight w:val="167"/>
        </w:trPr>
        <w:tc>
          <w:tcPr>
            <w:tcW w:w="49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96"/>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color w:val="auto"/>
              </w:rPr>
              <w:t>June 30,</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2014</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2014</w:t>
            </w:r>
          </w:p>
        </w:tc>
        <w:tc>
          <w:tcPr>
            <w:tcW w:w="4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103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3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594</w:t>
            </w:r>
          </w:p>
        </w:tc>
        <w:tc>
          <w:tcPr>
            <w:tcW w:w="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513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834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710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260" w:type="dxa"/>
            <w:vAlign w:val="bottom"/>
            <w:vMerge w:val="restart"/>
          </w:tcPr>
          <w:p>
            <w:pPr>
              <w:jc w:val="right"/>
              <w:ind w:right="2390"/>
              <w:spacing w:after="0"/>
              <w:rPr>
                <w:sz w:val="20"/>
                <w:szCs w:val="20"/>
                <w:color w:val="auto"/>
              </w:rPr>
            </w:pPr>
            <w:r>
              <w:rPr>
                <w:rFonts w:ascii="Arial" w:cs="Arial" w:eastAsia="Arial" w:hAnsi="Arial"/>
                <w:sz w:val="18"/>
                <w:szCs w:val="18"/>
                <w:color w:val="auto"/>
              </w:rPr>
              <w:t>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earnings per share is computed by dividing the net income available to common shareholders for the period by the weighted-average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was approximately 70,000 and 135,000 for the three months ended June 30, 2014 and 2013, respectively, and approximately 119,000 and 135,000 for the six months ended June 30, 2014 and 2013, respectively.</w:t>
      </w:r>
    </w:p>
    <w:p>
      <w:pPr>
        <w:spacing w:after="0" w:line="19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six months ended June 30, 2014 and 2013 (in thousands, except per share data):</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6"/>
          </w:tcPr>
          <w:p>
            <w:pPr>
              <w:ind w:left="1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2,364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2,422</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4,311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720"/>
              <w:spacing w:after="0"/>
              <w:rPr>
                <w:sz w:val="20"/>
                <w:szCs w:val="20"/>
                <w:color w:val="auto"/>
              </w:rPr>
            </w:pPr>
            <w:r>
              <w:rPr>
                <w:rFonts w:ascii="Arial" w:cs="Arial" w:eastAsia="Arial" w:hAnsi="Arial"/>
                <w:sz w:val="18"/>
                <w:szCs w:val="18"/>
                <w:color w:val="auto"/>
              </w:rPr>
              <w:t>Weighted-average shares outstanding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27,567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26,722</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27,510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26,531</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3"/>
        </w:trPr>
        <w:tc>
          <w:tcPr>
            <w:tcW w:w="662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28,043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27,649</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27,975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June 30, 2014 and December 31, 2013, the fair value of marketable securities, which were all classified as available for sale, included the following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color w:val="auto"/>
              </w:rPr>
              <w:t>June 30, 2014</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4"/>
          </w:tcPr>
          <w:p>
            <w:pPr>
              <w:jc w:val="right"/>
              <w:ind w:right="560"/>
              <w:spacing w:after="0" w:line="123" w:lineRule="exact"/>
              <w:rPr>
                <w:sz w:val="20"/>
                <w:szCs w:val="20"/>
                <w:color w:val="auto"/>
              </w:rPr>
            </w:pPr>
            <w:r>
              <w:rPr>
                <w:rFonts w:ascii="Arial" w:cs="Arial" w:eastAsia="Arial" w:hAnsi="Arial"/>
                <w:sz w:val="14"/>
                <w:szCs w:val="14"/>
                <w:color w:val="auto"/>
                <w:w w:val="99"/>
              </w:rPr>
              <w:t>Adjusted</w:t>
            </w:r>
          </w:p>
        </w:tc>
        <w:tc>
          <w:tcPr>
            <w:tcW w:w="1180" w:type="dxa"/>
            <w:vAlign w:val="bottom"/>
            <w:gridSpan w:val="5"/>
          </w:tcPr>
          <w:p>
            <w:pPr>
              <w:jc w:val="right"/>
              <w:ind w:right="540"/>
              <w:spacing w:after="0" w:line="123" w:lineRule="exact"/>
              <w:rPr>
                <w:sz w:val="20"/>
                <w:szCs w:val="20"/>
                <w:color w:val="auto"/>
              </w:rPr>
            </w:pPr>
            <w:r>
              <w:rPr>
                <w:rFonts w:ascii="Arial" w:cs="Arial" w:eastAsia="Arial" w:hAnsi="Arial"/>
                <w:sz w:val="14"/>
                <w:szCs w:val="14"/>
                <w:color w:val="auto"/>
                <w:w w:val="92"/>
              </w:rPr>
              <w:t>Unrealized</w:t>
            </w:r>
          </w:p>
        </w:tc>
        <w:tc>
          <w:tcPr>
            <w:tcW w:w="960" w:type="dxa"/>
            <w:vAlign w:val="bottom"/>
            <w:gridSpan w:val="5"/>
          </w:tcPr>
          <w:p>
            <w:pPr>
              <w:spacing w:after="0" w:line="123"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700"/>
              <w:spacing w:after="0"/>
              <w:rPr>
                <w:sz w:val="20"/>
                <w:szCs w:val="20"/>
                <w:color w:val="auto"/>
              </w:rPr>
            </w:pPr>
            <w:r>
              <w:rPr>
                <w:rFonts w:ascii="Arial" w:cs="Arial" w:eastAsia="Arial" w:hAnsi="Arial"/>
                <w:sz w:val="14"/>
                <w:szCs w:val="14"/>
                <w:color w:val="auto"/>
              </w:rPr>
              <w:t>Cost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Gains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Losses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1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6,265</w:t>
            </w:r>
          </w:p>
        </w:tc>
        <w:tc>
          <w:tcPr>
            <w:tcW w:w="5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6,265</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44,645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44,636</w:t>
            </w:r>
          </w:p>
        </w:tc>
      </w:tr>
      <w:tr>
        <w:trPr>
          <w:trHeight w:val="230"/>
        </w:trPr>
        <w:tc>
          <w:tcPr>
            <w:tcW w:w="20" w:type="dxa"/>
            <w:vAlign w:val="bottom"/>
          </w:tcPr>
          <w:p>
            <w:pPr>
              <w:spacing w:after="0"/>
              <w:rPr>
                <w:sz w:val="20"/>
                <w:szCs w:val="20"/>
                <w:color w:val="auto"/>
              </w:rPr>
            </w:pPr>
          </w:p>
        </w:tc>
        <w:tc>
          <w:tcPr>
            <w:tcW w:w="4120" w:type="dxa"/>
            <w:vAlign w:val="bottom"/>
          </w:tcPr>
          <w:p>
            <w:pPr>
              <w:ind w:left="700"/>
              <w:spacing w:after="0"/>
              <w:rPr>
                <w:sz w:val="20"/>
                <w:szCs w:val="20"/>
                <w:color w:val="auto"/>
              </w:rPr>
            </w:pPr>
            <w:r>
              <w:rPr>
                <w:rFonts w:ascii="Arial" w:cs="Arial" w:eastAsia="Arial" w:hAnsi="Arial"/>
                <w:sz w:val="18"/>
                <w:szCs w:val="18"/>
                <w:color w:val="auto"/>
              </w:rPr>
              <w:t>Subtotal</w:t>
            </w: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50,910</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7"/>
                <w:szCs w:val="17"/>
                <w:color w:val="auto"/>
                <w:w w:val="72"/>
              </w:rPr>
              <w:t>(16)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50,901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50,910</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50,901</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color w:val="auto"/>
              </w:rPr>
              <w:t>December 31, 2013</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4"/>
          </w:tcPr>
          <w:p>
            <w:pPr>
              <w:spacing w:after="0" w:line="123" w:lineRule="exact"/>
              <w:rPr>
                <w:sz w:val="20"/>
                <w:szCs w:val="20"/>
                <w:color w:val="auto"/>
              </w:rPr>
            </w:pPr>
            <w:r>
              <w:rPr>
                <w:rFonts w:ascii="Arial" w:cs="Arial" w:eastAsia="Arial" w:hAnsi="Arial"/>
                <w:sz w:val="14"/>
                <w:szCs w:val="14"/>
                <w:color w:val="auto"/>
              </w:rPr>
              <w:t>Unrealized</w:t>
            </w:r>
          </w:p>
        </w:tc>
        <w:tc>
          <w:tcPr>
            <w:tcW w:w="20" w:type="dxa"/>
            <w:vAlign w:val="bottom"/>
          </w:tcPr>
          <w:p>
            <w:pPr>
              <w:spacing w:after="0"/>
              <w:rPr>
                <w:sz w:val="10"/>
                <w:szCs w:val="10"/>
                <w:color w:val="auto"/>
              </w:rPr>
            </w:pPr>
          </w:p>
        </w:tc>
        <w:tc>
          <w:tcPr>
            <w:tcW w:w="940" w:type="dxa"/>
            <w:vAlign w:val="bottom"/>
            <w:gridSpan w:val="4"/>
          </w:tcPr>
          <w:p>
            <w:pPr>
              <w:spacing w:after="0" w:line="123"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20" w:type="dxa"/>
            <w:vAlign w:val="bottom"/>
            <w:gridSpan w:val="5"/>
          </w:tcPr>
          <w:p>
            <w:pPr>
              <w:spacing w:after="0"/>
              <w:rPr>
                <w:sz w:val="20"/>
                <w:szCs w:val="20"/>
                <w:color w:val="auto"/>
              </w:rPr>
            </w:pPr>
            <w:r>
              <w:rPr>
                <w:rFonts w:ascii="Arial" w:cs="Arial" w:eastAsia="Arial" w:hAnsi="Arial"/>
                <w:sz w:val="14"/>
                <w:szCs w:val="14"/>
                <w:color w:val="auto"/>
              </w:rPr>
              <w:t>Adjusted Cost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color w:val="auto"/>
              </w:rPr>
              <w:t>Gains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Losses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Value</w:t>
            </w: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1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218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2,260</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4"/>
              </w:rPr>
              <w:t>46,430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46,399</w:t>
            </w:r>
          </w:p>
        </w:tc>
      </w:tr>
      <w:tr>
        <w:trPr>
          <w:trHeight w:val="230"/>
        </w:trPr>
        <w:tc>
          <w:tcPr>
            <w:tcW w:w="20" w:type="dxa"/>
            <w:vAlign w:val="bottom"/>
          </w:tcPr>
          <w:p>
            <w:pPr>
              <w:spacing w:after="0"/>
              <w:rPr>
                <w:sz w:val="20"/>
                <w:szCs w:val="20"/>
                <w:color w:val="auto"/>
              </w:rPr>
            </w:pPr>
          </w:p>
        </w:tc>
        <w:tc>
          <w:tcPr>
            <w:tcW w:w="4120" w:type="dxa"/>
            <w:vAlign w:val="bottom"/>
          </w:tcPr>
          <w:p>
            <w:pPr>
              <w:ind w:left="700"/>
              <w:spacing w:after="0"/>
              <w:rPr>
                <w:sz w:val="20"/>
                <w:szCs w:val="20"/>
                <w:color w:val="auto"/>
              </w:rPr>
            </w:pPr>
            <w:r>
              <w:rPr>
                <w:rFonts w:ascii="Arial" w:cs="Arial" w:eastAsia="Arial" w:hAnsi="Arial"/>
                <w:sz w:val="18"/>
                <w:szCs w:val="18"/>
                <w:color w:val="auto"/>
              </w:rPr>
              <w:t>Subtotal</w:t>
            </w:r>
          </w:p>
        </w:tc>
        <w:tc>
          <w:tcPr>
            <w:tcW w:w="1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48,690</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7"/>
                <w:szCs w:val="17"/>
                <w:color w:val="auto"/>
                <w:w w:val="72"/>
              </w:rPr>
              <w:t>(31)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48,659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4"/>
              </w:rPr>
              <w:t>48,690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48,659</w:t>
            </w: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June 30, 2014, the Company does not consider any of its marketable securities to be other than temporarily impaired. During the six months ended June 30, 2014 and 2013, the Company did not reclassify any items out of accumulated other comprehensive income to net income. All investments in marketable securities are classified as a current asset on the balance sheet because the underlying securities mature within one year from the balance sheet date.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COMBINATION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$13.0 million in cash and 81,614 shares of our common stock. The Company may make additional payments of up to $750,000, contingent upon the achievement of certain performance milestones within one year post-closing. The Company incurred approximately $500,000 in transaction costs associated with the acquisition, of which $350,000 were incurred during the six months ended June 30, 2014 and $150,000 were incurred during the year ended December 31, 2013. The transaction costs were recorded in other general and administrative expenses in the condensed consolidated statement of income. In allocating the purchase price, the Company has preliminarily recorded approximately $7.5 million of goodwill, $7.6 million of identifiable intangible assets, $2.4 million of tangible assets, and $1.5 million of liabilities. The goodwill balance is primarily attributed to assembled workforce, additional market opportunities of HCCS’s compliance solutions, and expected synergies from integrating HCCS’s products into our platform. The goodwill balance is deductible for U.S. income tax purposes. The allocation of purchase price is preliminary and may be subject to change within the measurement period of one year from the acquisition date. The primary areas of the preliminary purchase price allocation that are not finalized include the composition and valuation of intangible assets, goodwill, deferred revenue, contingent consideration, and final working capital adjustments. The results of operations for HCCS have been included in the Company’s condensed consolidated financial statements from the date of acquisition, and are also included in the HealthStream Workforce Development Solutions segment.</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second quarter of 2014, the Company determined the presentation of contingent consideration payments, or earn-outs, in connection with business combinations should be classified as a financing activity within the statement of cash flows. The Company previously classified such payments as an operating activity within the statement of cash flows. The Company has adjusted the statement of cash flows for the six-month period ended June 30, 2013 and will adjust the statement of cash flows for the nine-month period ended September 30, 2013 and the year ended December 31, 2013 when those financial statements are presented comparatively for the corresponding periods in 2014. The Company considers the adjustments to all aforementioned periods to be immaterial corrections of errors.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immaterial adjustments on the consolidated statement of cash flows for the respective periods listed below is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w w:val="92"/>
              </w:rPr>
              <w:t>Previously</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3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color w:val="auto"/>
                <w:w w:val="97"/>
              </w:rPr>
              <w:t>Reported</w:t>
            </w:r>
          </w:p>
        </w:tc>
        <w:tc>
          <w:tcPr>
            <w:tcW w:w="126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Adjusted</w:t>
            </w: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three months ended March 31, 2013</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3,855</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cash provided by financing activities, three months ended March 31, 2013</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six months ended June 30, 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11,359</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cash provided by financing activities, six months ended June 30, 2013</w:t>
            </w:r>
          </w:p>
        </w:tc>
        <w:tc>
          <w:tcPr>
            <w:tcW w:w="620" w:type="dxa"/>
            <w:vAlign w:val="bottom"/>
          </w:tcPr>
          <w:p>
            <w:pPr>
              <w:jc w:val="right"/>
              <w:spacing w:after="0"/>
              <w:rPr>
                <w:sz w:val="20"/>
                <w:szCs w:val="20"/>
                <w:color w:val="auto"/>
              </w:rPr>
            </w:pPr>
            <w:r>
              <w:rPr>
                <w:rFonts w:ascii="Arial" w:cs="Arial" w:eastAsia="Arial" w:hAnsi="Arial"/>
                <w:sz w:val="18"/>
                <w:szCs w:val="18"/>
                <w:color w:val="auto"/>
              </w:rPr>
              <w:t>1,524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(318)</w:t>
            </w:r>
          </w:p>
        </w:tc>
        <w:tc>
          <w:tcPr>
            <w:tcW w:w="58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nine months ended September 30, 2013</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22,854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cash provided by financing activities, nine months ended September 30, 2013</w:t>
            </w:r>
          </w:p>
        </w:tc>
        <w:tc>
          <w:tcPr>
            <w:tcW w:w="620" w:type="dxa"/>
            <w:vAlign w:val="bottom"/>
          </w:tcPr>
          <w:p>
            <w:pPr>
              <w:jc w:val="right"/>
              <w:spacing w:after="0"/>
              <w:rPr>
                <w:sz w:val="20"/>
                <w:szCs w:val="20"/>
                <w:color w:val="auto"/>
              </w:rPr>
            </w:pPr>
            <w:r>
              <w:rPr>
                <w:rFonts w:ascii="Arial" w:cs="Arial" w:eastAsia="Arial" w:hAnsi="Arial"/>
                <w:sz w:val="18"/>
                <w:szCs w:val="18"/>
                <w:color w:val="auto"/>
              </w:rPr>
              <w:t>2,827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(357)</w:t>
            </w:r>
          </w:p>
        </w:tc>
        <w:tc>
          <w:tcPr>
            <w:tcW w:w="580" w:type="dxa"/>
            <w:vAlign w:val="bottom"/>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year ended December 31, 2013</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26,283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27,054</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cash provided by financing activities, year ended December 31, 2013</w:t>
            </w:r>
          </w:p>
        </w:tc>
        <w:tc>
          <w:tcPr>
            <w:tcW w:w="620" w:type="dxa"/>
            <w:vAlign w:val="bottom"/>
          </w:tcPr>
          <w:p>
            <w:pPr>
              <w:jc w:val="right"/>
              <w:spacing w:after="0"/>
              <w:rPr>
                <w:sz w:val="20"/>
                <w:szCs w:val="20"/>
                <w:color w:val="auto"/>
              </w:rPr>
            </w:pPr>
            <w:r>
              <w:rPr>
                <w:rFonts w:ascii="Arial" w:cs="Arial" w:eastAsia="Arial" w:hAnsi="Arial"/>
                <w:sz w:val="18"/>
                <w:szCs w:val="18"/>
                <w:color w:val="auto"/>
              </w:rPr>
              <w:t>6,876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(771)</w:t>
            </w:r>
          </w:p>
        </w:tc>
        <w:tc>
          <w:tcPr>
            <w:tcW w:w="580" w:type="dxa"/>
            <w:vAlign w:val="bottom"/>
          </w:tcPr>
          <w:p>
            <w:pPr>
              <w:jc w:val="right"/>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three months ended March 31, 2014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100" w:type="dxa"/>
            <w:vAlign w:val="bottom"/>
            <w:shd w:val="clear" w:color="auto" w:fill="CCEEFF"/>
          </w:tcPr>
          <w:p>
            <w:pPr>
              <w:spacing w:after="0"/>
              <w:rPr>
                <w:sz w:val="18"/>
                <w:szCs w:val="18"/>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Net cash provided by financing activities, three months ended March 31, 2014</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350"/>
        </w:trPr>
        <w:tc>
          <w:tcPr>
            <w:tcW w:w="8360" w:type="dxa"/>
            <w:vAlign w:val="bottom"/>
          </w:tcPr>
          <w:p>
            <w:pPr>
              <w:ind w:left="566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primarily provides services to healthcare organizations and other members within the healthcare industry. The Company’s services are primarily focused on the delivery of workforce development products and services (HealthStream Workforce Development Solutions), as well as survey and research services (HealthStream Research/Patient Experience Solutions). The accounting policies of the segments are the same as those described in the summary of significant accounting policies in the Company’s Annual Report on Form 10-K for the year ended December 31, 2013.</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three and six months ended June 30, 2014 and 2013 (in thousands).</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10"/>
          </w:tcPr>
          <w:p>
            <w:pPr>
              <w:jc w:val="center"/>
              <w:ind w:right="180"/>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7"/>
          </w:tcPr>
          <w:p>
            <w:pPr>
              <w:jc w:val="right"/>
              <w:ind w:right="340"/>
              <w:spacing w:after="0"/>
              <w:rPr>
                <w:sz w:val="20"/>
                <w:szCs w:val="20"/>
                <w:color w:val="auto"/>
              </w:rPr>
            </w:pPr>
            <w:r>
              <w:rPr>
                <w:rFonts w:ascii="Arial" w:cs="Arial" w:eastAsia="Arial" w:hAnsi="Arial"/>
                <w:sz w:val="14"/>
                <w:szCs w:val="14"/>
                <w:color w:val="auto"/>
              </w:rPr>
              <w:t>Six Months Ended</w:t>
            </w:r>
          </w:p>
        </w:tc>
      </w:tr>
      <w:tr>
        <w:trPr>
          <w:trHeight w:val="167"/>
        </w:trPr>
        <w:tc>
          <w:tcPr>
            <w:tcW w:w="4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9"/>
          </w:tcPr>
          <w:p>
            <w:pPr>
              <w:jc w:val="center"/>
              <w:ind w:right="520"/>
              <w:spacing w:after="0"/>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w w:val="96"/>
              </w:rPr>
              <w:t>June 30,</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color w:val="auto"/>
              </w:rPr>
              <w:t>2014</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color w:val="auto"/>
              </w:rPr>
              <w:t>2013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2013</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Workforce Development</w:t>
            </w:r>
          </w:p>
        </w:tc>
        <w:tc>
          <w:tcPr>
            <w:tcW w:w="2720" w:type="dxa"/>
            <w:vAlign w:val="bottom"/>
            <w:gridSpan w:val="5"/>
          </w:tcPr>
          <w:p>
            <w:pPr>
              <w:jc w:val="right"/>
              <w:ind w:right="20"/>
              <w:spacing w:after="0"/>
              <w:rPr>
                <w:sz w:val="20"/>
                <w:szCs w:val="20"/>
                <w:color w:val="auto"/>
              </w:rPr>
            </w:pPr>
            <w:r>
              <w:rPr>
                <w:rFonts w:ascii="Arial" w:cs="Arial" w:eastAsia="Arial" w:hAnsi="Arial"/>
                <w:sz w:val="18"/>
                <w:szCs w:val="18"/>
                <w:color w:val="auto"/>
              </w:rPr>
              <w:t>$34,386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$25,126</w:t>
            </w:r>
          </w:p>
        </w:tc>
        <w:tc>
          <w:tcPr>
            <w:tcW w:w="100" w:type="dxa"/>
            <w:vAlign w:val="bottom"/>
          </w:tcPr>
          <w:p>
            <w:pPr>
              <w:spacing w:after="0"/>
              <w:rPr>
                <w:sz w:val="18"/>
                <w:szCs w:val="18"/>
                <w:color w:val="auto"/>
              </w:rPr>
            </w:pPr>
          </w:p>
        </w:tc>
        <w:tc>
          <w:tcPr>
            <w:tcW w:w="1200" w:type="dxa"/>
            <w:vAlign w:val="bottom"/>
            <w:gridSpan w:val="5"/>
          </w:tcPr>
          <w:p>
            <w:pPr>
              <w:jc w:val="right"/>
              <w:ind w:right="400"/>
              <w:spacing w:after="0"/>
              <w:rPr>
                <w:sz w:val="20"/>
                <w:szCs w:val="20"/>
                <w:color w:val="auto"/>
              </w:rPr>
            </w:pPr>
            <w:r>
              <w:rPr>
                <w:rFonts w:ascii="Arial" w:cs="Arial" w:eastAsia="Arial" w:hAnsi="Arial"/>
                <w:sz w:val="18"/>
                <w:szCs w:val="18"/>
                <w:color w:val="auto"/>
              </w:rPr>
              <w:t>$65,343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48,267</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Research/Patient Experience</w:t>
            </w:r>
          </w:p>
        </w:tc>
        <w:tc>
          <w:tcPr>
            <w:tcW w:w="2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8,090</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6,793</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15,482</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13,298</w:t>
            </w:r>
          </w:p>
        </w:tc>
      </w:tr>
      <w:tr>
        <w:trPr>
          <w:trHeight w:val="223"/>
        </w:trPr>
        <w:tc>
          <w:tcPr>
            <w:tcW w:w="4740" w:type="dxa"/>
            <w:vAlign w:val="bottom"/>
          </w:tcPr>
          <w:p>
            <w:pPr>
              <w:ind w:left="720"/>
              <w:spacing w:after="0"/>
              <w:rPr>
                <w:sz w:val="20"/>
                <w:szCs w:val="20"/>
                <w:color w:val="auto"/>
              </w:rPr>
            </w:pPr>
            <w:r>
              <w:rPr>
                <w:rFonts w:ascii="Arial" w:cs="Arial" w:eastAsia="Arial" w:hAnsi="Arial"/>
                <w:sz w:val="18"/>
                <w:szCs w:val="18"/>
                <w:color w:val="auto"/>
              </w:rPr>
              <w:t>Total net revenue</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42,476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31,919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80,825</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61,565</w:t>
            </w: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7"/>
        </w:trPr>
        <w:tc>
          <w:tcPr>
            <w:tcW w:w="4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0" w:type="dxa"/>
            <w:vAlign w:val="bottom"/>
            <w:gridSpan w:val="11"/>
          </w:tcPr>
          <w:p>
            <w:pPr>
              <w:jc w:val="center"/>
              <w:ind w:right="400"/>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7"/>
          </w:tcPr>
          <w:p>
            <w:pPr>
              <w:jc w:val="right"/>
              <w:ind w:right="400"/>
              <w:spacing w:after="0"/>
              <w:rPr>
                <w:sz w:val="20"/>
                <w:szCs w:val="20"/>
                <w:color w:val="auto"/>
              </w:rPr>
            </w:pPr>
            <w:r>
              <w:rPr>
                <w:rFonts w:ascii="Arial" w:cs="Arial" w:eastAsia="Arial" w:hAnsi="Arial"/>
                <w:sz w:val="14"/>
                <w:szCs w:val="14"/>
                <w:color w:val="auto"/>
              </w:rPr>
              <w:t>Six Months Ended</w:t>
            </w:r>
          </w:p>
        </w:tc>
      </w:tr>
      <w:tr>
        <w:trPr>
          <w:trHeight w:val="167"/>
        </w:trPr>
        <w:tc>
          <w:tcPr>
            <w:tcW w:w="47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89"/>
              </w:rPr>
              <w:t>June 30,</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85"/>
              </w:rPr>
              <w:t>June 30,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ind w:right="84"/>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from operations</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Workforce Development</w:t>
            </w:r>
          </w:p>
        </w:tc>
        <w:tc>
          <w:tcPr>
            <w:tcW w:w="2700" w:type="dxa"/>
            <w:vAlign w:val="bottom"/>
            <w:gridSpan w:val="4"/>
          </w:tcPr>
          <w:p>
            <w:pPr>
              <w:jc w:val="right"/>
              <w:ind w:right="188"/>
              <w:spacing w:after="0"/>
              <w:rPr>
                <w:sz w:val="20"/>
                <w:szCs w:val="20"/>
                <w:color w:val="auto"/>
              </w:rPr>
            </w:pPr>
            <w:r>
              <w:rPr>
                <w:rFonts w:ascii="Arial" w:cs="Arial" w:eastAsia="Arial" w:hAnsi="Arial"/>
                <w:sz w:val="18"/>
                <w:szCs w:val="18"/>
                <w:color w:val="auto"/>
              </w:rPr>
              <w:t>$ 8,864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4"/>
          </w:tcPr>
          <w:p>
            <w:pPr>
              <w:jc w:val="right"/>
              <w:ind w:right="200"/>
              <w:spacing w:after="0"/>
              <w:rPr>
                <w:sz w:val="20"/>
                <w:szCs w:val="20"/>
                <w:color w:val="auto"/>
              </w:rPr>
            </w:pPr>
            <w:r>
              <w:rPr>
                <w:rFonts w:ascii="Arial" w:cs="Arial" w:eastAsia="Arial" w:hAnsi="Arial"/>
                <w:sz w:val="18"/>
                <w:szCs w:val="18"/>
                <w:color w:val="auto"/>
                <w:w w:val="86"/>
              </w:rPr>
              <w:t>$ 7,514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8"/>
              <w:spacing w:after="0"/>
              <w:rPr>
                <w:sz w:val="20"/>
                <w:szCs w:val="20"/>
                <w:color w:val="auto"/>
              </w:rPr>
            </w:pPr>
            <w:r>
              <w:rPr>
                <w:rFonts w:ascii="Arial" w:cs="Arial" w:eastAsia="Arial" w:hAnsi="Arial"/>
                <w:sz w:val="18"/>
                <w:szCs w:val="18"/>
                <w:color w:val="auto"/>
              </w:rPr>
              <w:t>$16,744</w:t>
            </w:r>
          </w:p>
        </w:tc>
        <w:tc>
          <w:tcPr>
            <w:tcW w:w="40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$14,330</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Research/Patient Experience</w:t>
            </w:r>
          </w:p>
        </w:tc>
        <w:tc>
          <w:tcPr>
            <w:tcW w:w="270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325</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Unallocated</w:t>
            </w:r>
          </w:p>
        </w:tc>
        <w:tc>
          <w:tcPr>
            <w:tcW w:w="1880" w:type="dxa"/>
            <w:vAlign w:val="bottom"/>
          </w:tcPr>
          <w:p>
            <w:pPr>
              <w:spacing w:after="0"/>
              <w:rPr>
                <w:sz w:val="18"/>
                <w:szCs w:val="18"/>
                <w:color w:val="auto"/>
              </w:rPr>
            </w:pPr>
          </w:p>
        </w:tc>
        <w:tc>
          <w:tcPr>
            <w:tcW w:w="820" w:type="dxa"/>
            <w:vAlign w:val="bottom"/>
            <w:gridSpan w:val="3"/>
          </w:tcPr>
          <w:p>
            <w:pPr>
              <w:jc w:val="right"/>
              <w:ind w:right="128"/>
              <w:spacing w:after="0"/>
              <w:rPr>
                <w:sz w:val="20"/>
                <w:szCs w:val="20"/>
                <w:color w:val="auto"/>
              </w:rPr>
            </w:pPr>
            <w:r>
              <w:rPr>
                <w:rFonts w:ascii="Arial" w:cs="Arial" w:eastAsia="Arial" w:hAnsi="Arial"/>
                <w:sz w:val="18"/>
                <w:szCs w:val="18"/>
                <w:color w:val="auto"/>
              </w:rPr>
              <w:t>(4,901)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rPr>
              <w:t>(4,317)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(9,661)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(8,261)</w:t>
            </w:r>
          </w:p>
        </w:tc>
      </w:tr>
      <w:tr>
        <w:trPr>
          <w:trHeight w:val="27"/>
        </w:trPr>
        <w:tc>
          <w:tcPr>
            <w:tcW w:w="4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income from operations</w:t>
            </w:r>
          </w:p>
        </w:tc>
        <w:tc>
          <w:tcPr>
            <w:tcW w:w="270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$ 4,110</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6"/>
              </w:rPr>
              <w:t>$ 4,106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color w:val="auto"/>
              </w:rPr>
              <w:t>$ 7,408</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7,278</w:t>
            </w:r>
          </w:p>
        </w:tc>
        <w:tc>
          <w:tcPr>
            <w:tcW w:w="8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86"/>
        </w:trPr>
        <w:tc>
          <w:tcPr>
            <w:tcW w:w="4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6"/>
          </w:tcPr>
          <w:p>
            <w:pPr>
              <w:spacing w:after="0"/>
              <w:rPr>
                <w:sz w:val="20"/>
                <w:szCs w:val="20"/>
                <w:color w:val="auto"/>
              </w:rPr>
            </w:pPr>
            <w:r>
              <w:rPr>
                <w:rFonts w:ascii="Arial" w:cs="Arial" w:eastAsia="Arial" w:hAnsi="Arial"/>
                <w:sz w:val="14"/>
                <w:szCs w:val="14"/>
                <w:color w:val="auto"/>
              </w:rPr>
              <w:t>June 30, 2014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6"/>
          </w:tcPr>
          <w:p>
            <w:pPr>
              <w:jc w:val="right"/>
              <w:ind w:right="100"/>
              <w:spacing w:after="0"/>
              <w:rPr>
                <w:sz w:val="20"/>
                <w:szCs w:val="20"/>
                <w:color w:val="auto"/>
              </w:rPr>
            </w:pPr>
            <w:r>
              <w:rPr>
                <w:rFonts w:ascii="Arial" w:cs="Arial" w:eastAsia="Arial" w:hAnsi="Arial"/>
                <w:sz w:val="14"/>
                <w:szCs w:val="14"/>
                <w:color w:val="auto"/>
                <w:w w:val="86"/>
              </w:rPr>
              <w:t>December 31, 2013</w:t>
            </w: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1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Workforce Development</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86,257</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60,013</w:t>
            </w: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Research/Patient Experience</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33,318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34,727</w:t>
            </w:r>
          </w:p>
        </w:tc>
      </w:tr>
      <w:tr>
        <w:trPr>
          <w:trHeight w:val="223"/>
        </w:trPr>
        <w:tc>
          <w:tcPr>
            <w:tcW w:w="4740" w:type="dxa"/>
            <w:vAlign w:val="bottom"/>
          </w:tcPr>
          <w:p>
            <w:pPr>
              <w:ind w:left="360"/>
              <w:spacing w:after="0"/>
              <w:rPr>
                <w:sz w:val="20"/>
                <w:szCs w:val="20"/>
                <w:color w:val="auto"/>
              </w:rPr>
            </w:pPr>
            <w:r>
              <w:rPr>
                <w:rFonts w:ascii="Arial" w:cs="Arial" w:eastAsia="Arial" w:hAnsi="Arial"/>
                <w:sz w:val="18"/>
                <w:szCs w:val="18"/>
                <w:color w:val="auto"/>
              </w:rPr>
              <w:t>Unallocated</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121,824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6"/>
              </w:rPr>
              <w:t>117,854</w:t>
            </w:r>
          </w:p>
        </w:tc>
        <w:tc>
          <w:tcPr>
            <w:tcW w:w="80" w:type="dxa"/>
            <w:vAlign w:val="bottom"/>
          </w:tcPr>
          <w:p>
            <w:pPr>
              <w:spacing w:after="0"/>
              <w:rPr>
                <w:sz w:val="19"/>
                <w:szCs w:val="19"/>
                <w:color w:val="auto"/>
              </w:rPr>
            </w:pPr>
          </w:p>
        </w:tc>
      </w:tr>
      <w:tr>
        <w:trPr>
          <w:trHeight w:val="216"/>
        </w:trPr>
        <w:tc>
          <w:tcPr>
            <w:tcW w:w="4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241,399</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212,594</w:t>
            </w:r>
          </w:p>
        </w:tc>
      </w:tr>
      <w:tr>
        <w:trPr>
          <w:trHeight w:val="20"/>
        </w:trPr>
        <w:tc>
          <w:tcPr>
            <w:tcW w:w="4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86"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COLLABORATIVE ARRANGEMENT</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participates in a collaborative arrangement, SimVentures</w:t>
      </w:r>
      <w:r>
        <w:rPr>
          <w:rFonts w:ascii="Arial" w:cs="Arial" w:eastAsia="Arial" w:hAnsi="Arial"/>
          <w:sz w:val="15"/>
          <w:szCs w:val="15"/>
          <w:color w:val="auto"/>
        </w:rPr>
        <w:t>TM</w:t>
      </w:r>
      <w:r>
        <w:rPr>
          <w:rFonts w:ascii="Arial" w:cs="Arial" w:eastAsia="Arial" w:hAnsi="Arial"/>
          <w:sz w:val="18"/>
          <w:szCs w:val="18"/>
          <w:color w:val="auto"/>
        </w:rPr>
        <w:t>, with Laerdal Medical A/S (Laerdal Medical). The Company receives 50 percent of the profits or losses generated from this collaborative arrangement. For the six months ended June 30, 2014, the Company has recorded approximately $0.8 million of revenues and $0.9 million of expenses related to the collaborative arrangement. For the six months ended June 30, 2013, the Company recorded approximately $1.2 million of revenues and $1.0 million of expenses related to the collaborative arrangement. The Company has also recorded approximately $0.4 million of capitalized software development for SimVentures during 2014.</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12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2013, appearing in our Annual Report on Form 10-K that was filed with the Securities and Exchange Commission (“SEC”) on March 4, 2014, (the “2013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2013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HealthStream provides workforce development and research/patient experience solutions for healthcare organizations—all designed to assess and develop the people that deliver patient care which, in turn, supports the improvement of business and clinical outcomes. Our workforce development products are used by healthcare organizations to meet a broad range of their training, certification, competency assessment, performance appraisal, and development needs, while our research/patient experience products provide our customers information about patients’ experiences and how to improve them, workforce engagement, physician relations, and community perceptions of their services. HealthStream’s customers include healthcare organizations, pharmaceutical and medical device companies, and other participants in the healthcare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second quarter of 2014 include:</w:t>
      </w:r>
    </w:p>
    <w:p>
      <w:pPr>
        <w:spacing w:after="0" w:line="131"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of $42.5 million in the second quarter of 2014, up 33% from $31.9 million in the second quarter of 2013</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of $4.1 million in both the second quarter of 2014 and the second quarter of 2013</w:t>
      </w:r>
    </w:p>
    <w:p>
      <w:pPr>
        <w:spacing w:after="0" w:line="130" w:lineRule="exact"/>
        <w:rPr>
          <w:rFonts w:ascii="Arial" w:cs="Arial" w:eastAsia="Arial" w:hAnsi="Arial"/>
          <w:sz w:val="18"/>
          <w:szCs w:val="18"/>
          <w:color w:val="auto"/>
        </w:rPr>
      </w:pPr>
    </w:p>
    <w:p>
      <w:pPr>
        <w:ind w:left="440" w:right="20" w:hanging="324"/>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$2.4 million in both the second quarter of 2014 and the second quarter of 2013, and earnings per share (EPS) of $0.08 per share (diluted) in the second quarter of 2014 and EPS of $0.09 per share (diluted) in the second quarter of 2013</w:t>
      </w:r>
    </w:p>
    <w:p>
      <w:pPr>
        <w:spacing w:after="0" w:line="75"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$7.3 million in the second quarter of 2014, up 14% from $6.4 million in the second quarter of 2013</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Annualized revenue per implemented subscriber</w:t>
      </w:r>
      <w:r>
        <w:rPr>
          <w:rFonts w:ascii="Arial" w:cs="Arial" w:eastAsia="Arial" w:hAnsi="Arial"/>
          <w:sz w:val="14"/>
          <w:szCs w:val="14"/>
          <w:color w:val="auto"/>
        </w:rPr>
        <w:t>(2)</w:t>
      </w:r>
      <w:r>
        <w:rPr>
          <w:rFonts w:ascii="Arial" w:cs="Arial" w:eastAsia="Arial" w:hAnsi="Arial"/>
          <w:sz w:val="17"/>
          <w:szCs w:val="17"/>
          <w:color w:val="auto"/>
        </w:rPr>
        <w:t xml:space="preserve"> of $35.39 in the second quarter of 2014, up 20% from $29.40 in the second quarter of 2013</w:t>
      </w:r>
    </w:p>
    <w:p>
      <w:pPr>
        <w:spacing w:after="0" w:line="26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is a non-GAAP financial measure. A reconciliation of adjusted EBITDA to net income is included in this report.</w:t>
      </w:r>
    </w:p>
    <w:p>
      <w:pPr>
        <w:spacing w:after="0" w:line="23"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Annualized revenue per implemented subscriber represents the quarter’s revenue for internet-based subscription products, annualized, then divided by the quarter’s average total implemented subscribers.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$13.0 million in cash and 81,614 shares of our common stock. The Company may make additional payments of up to $750,000, contingent upon the achievement of certain performance milestones within one year post-closing. The Company incurred approximately $500,000 in transaction costs associated with the acquisition, of which $350,000 were incurred during the six months ended June 30, 2014 and $150,000 were incurred during the year ended December 31, 2013. The transaction costs were recorded in other general and administrative expenses in the condensed consolidated statement of income. In allocating the purchase price, the Company has preliminarily recorded approximately $7.5 million of goodwill, $7.6 million of identifiable intangible assets, $2.4 million of tangible assets, and $1.5 million of liabilities. The goodwill balance is primarily attributed to assembled workforce, additional market opportunities of HCCS’s compliance solutions, and expected synergies from integrating HCCS’s products into our platform. The goodwill balance is deductible for U.S. income tax purposes. The allocation of purchase price is preliminary and may be subject to change within the measurement period of one year from the acquisition date. The primary areas of the preliminary purchase price allocation that are not finalized include the composition and valuation of intangible assets, goodwill, deferred revenue, contingent consideration, and final working capital adjustments. The results of operations for HCCS have been included in the Company’s condensed consolidated financial statements from the date of acquisition, and are also included in the HealthStream Workforce Development Solutions segment.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2013 Form 10-K, which contains additional information regarding our accounting policies and other disclosures required by US GAAP. There have been no changes in our critical accounting policies and estimates from those reported in our 2013 Form 10-K.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2014 Compared to Three Months Ended June 30, 2013</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$10.6 million, or 33.1%, to $42.5 million for the three months ended June 30, 2014 from $31.9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2013. Revenues for the 2014 period consisted of $34.4 million, or 81% of total revenue, for HealthStream Workforce Development Solutions and $8.1 million, or 19% of total revenue, for HealthStream Research/Patient Experience Solutions. In the 2013 period, revenues consisted of $25.1 million, or 79% of total revenue, for HealthStream Workforce Development Solutions and $6.8 million, or 21% of total revenue, for HealthStream Research/Patient Experience Solutions.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Revenues for HealthStream Workforce Development Solutions increased approximately $9.3 million, or 36.9%, over the second quarter of 2013. Revenues from our subscription-based workforce development products increased approximately $9.6 million, or 42.3%, over the prior year second quarter due to a higher number of subscribers and more courseware consumption by subscribers. Annualized revenue per implemented subscriber increased by 20.3% to $35.39 per subscriber for the second quarter of 2014 compared to $29.40 per subscriber for the second quarter of 2013. Our implemented subscriber base increased by 18.4% over the prior year second quarter to 3.69 million implemented subscribers at June 30, 2014 compared to 3.12 million implemented subscribers at June 30, 2013. Additionally, we had a 22.0% increase in total subscribers over the prior year second quarter, with 3.98 million total subscribers at June 30, 2014 compared</w:t>
      </w:r>
    </w:p>
    <w:p>
      <w:pPr>
        <w:sectPr>
          <w:pgSz w:w="11900" w:h="16838" w:orient="portrait"/>
          <w:cols w:equalWidth="0" w:num="1">
            <w:col w:w="11420"/>
          </w:cols>
          <w:pgMar w:left="240" w:top="459"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to 3.26 million total subscribers at June 30, 2013. Total subscribers include those already implemented and those in the process of implementation. Revenues in the second quarter of 2014 were positively influenced by courseware subscriptions associated with, among other products, ICD-10 training. Revenues from ICD-10 training were approximately $7.2 million for the second quarter of 2014, compared to $2.9 million for the second quarter of 2013. Revenues from the HCCS acquisition, consummated on March 3, 2014, were $1.1 million during the second quarter of 2014.</w:t>
      </w:r>
    </w:p>
    <w:p>
      <w:pPr>
        <w:spacing w:after="0" w:line="17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Revenues for HealthStream Research/Patient Experience Solutions increased approximately $1.3 million, or 19.1%, over the second quarter of 2013. Revenues from Patient Insights™ surveys, our survey research product that generates recurring revenues, increased by $627,000, or 11.8%, over the prior year second quarter. Revenues from other surveys, which are conducted on annual or bi-annual cycles, were comparable to the prior year second quarter. Revenues from the Baptist Leadership Group (BLG) acquisition, consummated on September 9, 2013, were $681,000 during the second quarter of 2014.</w:t>
      </w:r>
    </w:p>
    <w:p>
      <w:pPr>
        <w:spacing w:after="0" w:line="15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$5.9 million, or 45.6%, to $18.7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2014 from $12.9 million for the three months ended June 30, 2013. Cost of revenues as a percentage of revenues was 44.1% of revenues for the three months ended June 30, 2014 compared to 40.3% of revenues for the three months ended June 30, 2013. Cost of revenues for HealthStream Workforce Development Solutions increased approximately $4.4 million to $13.7 million and approximated 39.7% and 36.9% of revenues for HealthStream Workforce Development Solutions for the three months ended June 30, 2014 and 2013, respectively. The increase in both amount and as a percentage of revenue is primarily associated with increased royalties paid by us resulting from growth in courseware subscription revenues and increased personnel costs. Cost of revenues for HealthStream Research/Patient Experience Solutions increased approximately $1.5 million to $5.1 million and approximated 62.7% and 52.9% of revenues for HealthStream Research/Patient Experience Solutions for the three months ended June 30, 2014 and 2013, respectively. The increase in both amount and as a percentage of revenue is primarily the result of increased personnel costs from the BLG acquisition as well as additional costs associated with the growth in patient survey volume over the prior year second quarter.</w:t>
      </w:r>
    </w:p>
    <w:p>
      <w:pPr>
        <w:spacing w:after="0" w:line="16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$1.5 million, or 54.6%, to $4.3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2014 from $2.8 million for the three months ended June 30, 2013. Product development expenses as a percentage of revenues were 10.1% and 8.7% of revenues for the three months ended June 30, 2014 and 2013, respectively.</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Product development expenses for HealthStream Workforce Development Solutions increased approximately $1.5 million and approximated 11.5% and 9.7% of revenues for HealthStream Workforce Development Solutions for the three months ended June 30, 2014 and 2013, respectively. The increase in both amount and as a percentage of revenue is due to additional personnel expenses associated with new product development initiatives for our subscription-based products. Product development expenses for HealthStream Research/Patient Experience Solutions decreased approximately $8,000 and approximated 4.3% and 5.2% of revenues for HealthStream Research/Patient Experience Solutions for the three months ended June 30, 2014 and 2013, respectively.</w:t>
      </w:r>
    </w:p>
    <w:p>
      <w:pPr>
        <w:spacing w:after="0" w:line="15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$1.8 million, or 33.0%, to $7.3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2014 from $5.5 million for the three months ended June 30, 2013. Sales and marketing expenses were 17.1% of revenues for both the three months ended June 30, 2014 and 2013.</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Sales and marketing expenses for HealthStream Workforce Development Solutions increased approximately $1.4 million and approximated 15.8% of revenues for HealthStream Workforce Development Solutions for both the three months ended June 30, 2014 and 2013. The increase is primarily due to additional personnel and related expenses, increased commissions associated with higher sales performance over the prior year second quarter, and increased marketing spending. Sales and marketing expenses for HealthStream Research/Patient Experience Solutions increased approximately $297,000, and approximated 20.9% and 20.5% of revenues for HealthStream Research/Patient Experience Solutions for the three months ended June 30, 2014 and 2013, respectively. The increase was a result of additional personnel associated with the BLG acquisition and increased commissions associated with higher sales performance over the prior year second quarter.</w:t>
      </w:r>
    </w:p>
    <w:p>
      <w:pPr>
        <w:spacing w:after="0" w:line="17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$543,000, or 11.3%, to $5.4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2014 from $4.8 million for the three months ended June 30, 2013. Other general and administrative expenses as a percentage of revenues were 12.6% and 15.1% of revenues for the three months ended June 30, 2014 and 2013, respectively.</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general and administrative expenses for HealthStream Workforce Development Solutions increased approximately $89,000 over the prior year second quarter primarily due to the HCCS acquisition, while other general and administrative expenses for HealthStream Research/Patient Experience Solutions increased approximately $186,000 compared to the prior year second quarter primarily due to the BLG acquisition. The unallocated corporate portion of other general and administrative expenses increased approximately $269,000 over the prior year second quarter, primarily associated with additional personnel, professional fees, recruiting fees, rent, and other general expenses.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$825,000, or 43.5%, to $2.7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from $1.9 million for the three months ended June 30, 2013. The increase primarily resulted from amortization of capitalized software development, amortization of intangible assets, and depreciation expense associated with capital expenditures, including leasehold improvements to our Nashville, Tennessee office space.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$23,000 for the three months ended June 30, 2014 compared to $28,000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2013.</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$1.8 million for the three months ended June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$1.7 million for the three months ended June 30, 2013. The Company’s effective tax rate was 42.8% for the three months ended June 30, 2014 compared to 41.4% for the three months ended June 30, 2013. The increase in the effective tax rate resulted from fewer tax benefits associated with stock option exercises compared to the prior year second quarter.</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approximated $2.4 million for both the three months ended June 30, 2014 and 2013. Earnings per diluted share was $0.08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June 30, 2014 compared to $0.09 per diluted share for the three months ended June 30, 2013.</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by 13.8% to approximately $7.3 million for the three months ended June 30, 2014 compared to $6.4 million for the three months ended June 30, 2013. This improvement is consistent with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Compared to Six Months Ended June 30, 2013</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$19.2 million, or 31.3%, to $80.8 million for the six months ended June 30, 2014 from $61.6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2013. Revenues for the 2014 period consisted of $65.3 million, or 81% of total revenue, for HealthStream Workforce Development Solutions and $15.5 million, or 19% of total revenue, for HealthStream Research/Patient Experience Solutions. In the 2013 period, revenues consisted of $48.3 million, or 78% of total revenue, for HealthStream Workforce Development Solutions and $13.3 million, or 22% of total revenue, for HealthStream Research/Patient Experience Solutions.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Revenues for HealthStream Workforce Development Solutions increased approximately $17.1 million, or 35.4%, over the first six months of 2013. Revenues from our subscription-based workforce development products increased approximately $17.3 million, or 39.6%, over the prior year period due to a higher number of subscribers and more courseware consumption by subscribers. Revenues in the 2014 period were positively influenced by courseware subscriptions associated with, among other products, ICD-10 training. Revenues from ICD-10 training were approximately $13.8 million during the first six months of 2014, compared to $4.9 million during the first six months of 2013. Revenues from the HCCS acquisition were $1.2 million during the first six months of 2014.</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Revenues for HealthStream Research/Patient Experience Solutions increased approximately $2.2 million, or 16.4%, over the first six months of 2013. Revenues from Patient Insights™ surveys, our survey research product that generates recurring revenues, increased by $991,000, or 9.2%, over the prior year period. Revenues from other surveys, which are conducted on annual or bi-annual cycles, decreased $172,000 compared to the prior year period. Revenues from the BLG acquisition were $1.4 million during the first six months of 2014.</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$10.3 million, or 40.5%, to $35.7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2014 from $25.4 million for the six months ended June 30, 2013. Cost of revenues as a percentage of revenues was 44.1% of revenues for the six months ended June 30, 2014 compared to 41.2% of revenues for the six months ended June 30, 2013. Cost of revenues for HealthStream Workforce Development Solutions increased approximately $8.1 million to $25.9 million and approximated 39.6% and 36.9% of revenues for HealthStream Workforce Development Solutions for the six months ended June 30, 2014 and 2013, respectively. The increase in both amount and as a percentage of revenue is primarily associated with increased royalties paid by us resulting from growth in courseware subscription revenues and increased personnel costs. Cost of revenues for HealthStream Research/Patient Experience Solutions increased approximately $2.2 million to $9.8 million and approximated 63.3% and 57.0% of revenues for HealthStream Research/Patient Experience Solutions for the six months ended June 30, 2014 and 2013, respectively. The increase in both amount and as a percentage of revenue is primarily the result of increased personnel costs from the BLG acquisition as well as additional costs associated with the growth in patient survey volume over the prior year period.</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$2.4 million, or 45.6%, to $7.8 million for the six months ended June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from $5.4 million for the six months ended June 30, 2013. Product development expenses as a percentage of revenues were 9.7% and 8.7% of revenues for the six months ended June 30, 2014 and 2013, respectively.</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Product development expenses for HealthStream Workforce Development Solutions increased approximately $2.4 million and approximated 10.9% and 9.7% of revenues for HealthStream Workforce Development Solutions for the six months ended June 30, 2014 and 2013, respectively. The increase in both amount and as a percentage of revenue is due to additional personnel expenses associated</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new product development initiatives for our subscription-based products. Product development expenses for HealthStream Research/Patient Experience Solutions increased approximately $47,000 and approximated 4.8% and 5.2% of revenues for HealthStream Research/Patient Experience Solutions for the six months ended June 30, 2014 and 2013, respectively.</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$3.5 million, or 33.3%, to $14.2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2014 from $10.6 million for the six months ended June 30, 2013. Sales and marketing expenses were 17.6% and 17.3% of revenues for the six months ended June 30, 2014 and 2013, respectively.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Sales and marketing expenses for HealthStream Workforce Development Solutions increased approximately $3.1 million and approximated 16.8% and 16.2% of revenues for HealthStream Workforce Development Solutions for the six months ended June 30, 2014 and 2013, respectively. The increase in both amount and as a percentage of revenue is primarily due to additional personnel and related expenses, increased commissions associated with higher sales performance over the prior year, and increased marketing spending. Sales and marketing expenses for HealthStream Research/Patient Experience Solutions increased approximately $362,000, and approximated 19.5% and 20.0% of revenues for HealthStream Research/Patient Experience Solutions for the six months ended June 30, 2014 and 2013, respectively. The increase in amount was a result of additional personnel associated with the BLG acquisition and increased commissions.</w:t>
      </w:r>
    </w:p>
    <w:p>
      <w:pPr>
        <w:spacing w:after="0" w:line="18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$1.5 million, or 16.5%, to $10.6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2014 from $9.1 million for the six months ended June 30, 2013. Other general and administrative expenses as a percentage of revenues were 13.1% and 14.8% of revenues for the six months ended June 30, 2014 and 2013, respectively.</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Other general and administrative expenses for HealthStream Workforce Development Solutions increased approximately $295,000 over the prior year period primarily due to additional personnel and other support costs, while other general and administrative expenses for HealthStream Research/Patient Experience Solutions increased approximately $300,000 compared to the prior year period primarily due to the BLG acquisition. The unallocated corporate portion of other general and administrative expenses increased approximately $908,000 over the prior year period, primarily associated with additional personnel, professional fees, rent, recruiting fees, and other general expenses, as well as approximately $350,000 of one-time expenses associated with the acquisition of HCCS.</w:t>
      </w:r>
    </w:p>
    <w:p>
      <w:pPr>
        <w:spacing w:after="0" w:line="19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$1.3 million, or 35.8%, to $5.1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2014 from $3.8 million for the six months ended June 30, 2013. The increase primarily resulted from amortization of capitalized software development, amortization of intangible assets, and depreciation expense associated with capital expenditures, including leasehold improvements to our Nashville, Tennessee office space.</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$68,000 for the six months ended June 30, 2014 compared to $75,000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2013.</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$3.2 million for the six months ended June 30, 2014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$3.0 million for the six months ended June 30, 2013. The Company’s effective tax rate was 42.3% for the first six months of 2014 compared to 40.7% for the first six months of 2013. The increase in the effective tax rate resulted from fewer tax benefits associated with stock option exercises compared to the prior year.</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approximated $4.3 million for the six months ended June 30, 2014 and $4.4 million for the six months ended June 30, 2013.</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diluted share was $0.15 per diluted share for the six months ended June 30, 2014 and $0.16 per diluted share for the six months ended June 30, 2013.</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 based compensation, and depreciation and amortization) increased by 13.6% to approximately $13.3 million for the six months ended June 30, 2014 compared to $11.7 million for the six months ended June 30, 2013. This improvement is consistent with the factors mentioned above. See Reconciliation of Non-GAAP Financial Measures below for our reconciliation of this calculation to measures under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non-GAAP revenue and adjusted EBITDA, which are used by management in analyzing our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and other available deductions in 2013 and 2014,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6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completed the acquisitions of Decision Critical, Inc. (DCI) during June 2012, Sy.Med Development, Inc. (Sy.Med) in October 2012, BLG in September 2013, and HCCS in March 2014. In accordance with US GAAP reporting requirements for fair value, we recorded a deferred revenue write-down of $192,000 for DCI, $916,000 for Sy.Med, $254,000 for BLG, and a preliminary estimated write-down of approximately $2.0 million for HCCS. These write-downs result in lower revenues than would have otherwise been recognized for such services.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so our US GAAP revenues for the one year period after the acquisition will not reflect the full amount of revenues that would have been reported if the acquired deferred revenue was not written down to fair value.</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14"/>
                <w:szCs w:val="14"/>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2013</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rPr>
              <w:t>2014</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 provision</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7,259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13,341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11,741</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GAAP revenues</w:t>
            </w: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42,476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31,919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80,825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Non-GAAP revenues</w:t>
            </w:r>
          </w:p>
        </w:tc>
        <w:tc>
          <w:tcPr>
            <w:tcW w:w="20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43,179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32,087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81,897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62,065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GAAP net income</w:t>
            </w: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2,364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2,422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4,311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20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60" w:type="dxa"/>
            <w:vAlign w:val="bottom"/>
            <w:vMerge w:val="restart"/>
          </w:tcPr>
          <w:p>
            <w:pPr>
              <w:jc w:val="right"/>
              <w:ind w:right="1390"/>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Net cash provided by operating activities increased approximately 94.5% and approximated $22.1 million and $11.4 million during the six months ended June 30, 2014 and 2013, respectively. This improvement primarily resulted from increased cash receipts from the sales of our products and services. The number of days sales outstanding (DSO) was 66 days for the second quarter of 2014 compared to 63 days for the second quarter of 2013. The Company calculates DSO by dividing the average accounts receivable balance for the quarter, excluding unbilled and other receivables,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cash used in investing activities was approximately $20.8 million for the six months ended June 30, 2014, while $721,000 was provided by investing activities for the six months ended June 30, 2013. During the six months ended June 30, 2014, the Company purchased $32.0 million of marketable securities, utilized $12.5 million (net of cash acquired) for acquisitions, spent $2.7 million for capitalized software development, purchased $2.4 million of property and equipment, and made $265,000 in non-marketable equity investments. These uses of cash were partially offset by maturities of marketable securities of $29.1 million. During the six months ended June 30, 2013, the Company purchased $51.5 million of marketable securities, spent $2.0 million for capitalized software development, purchased $1.2 million of property and equipment, made $250,000 in non-marketable equity investments, and utilized $181,000 for acquisitions. These uses of cash were partially offset by maturities of marketable securities of $55.9 million.</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provided by financing activities was approximately $49,000 and $1.2 million for the six months ended June 30, 2014 and 2013, respectively. The primary source of cash from financing activities for 2014 and 2013 resulted from proceeds (net of payroll taxes paid) from the exercise of employee stock options and issuance of shares associated with the vesting of RSUs. The primary use of cash for the six months ended June 30, 2014 and 2013 resulted from earn-out payments associated with the acquisitions of DCI and Sy.Med.</w:t>
      </w:r>
    </w:p>
    <w:p>
      <w:pPr>
        <w:spacing w:after="0" w:line="18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Our balance sheet reflects positive working capital of $85.3 million at June 30, 2014 compared to $90.9 million at December 31, 2013. The decrease in working capital was primarily due to the use of cash for the HCCS acquisition, but was partially offset by cash generated from operations. The Company’s primary source of liquidity is $111.8 million of cash and cash equivalents and marketable securities. As of June 30, 2014, the Company maintained full availability under a $20.0 million revolving credit facility. The revolving credit facility expires on August 21, 2014, and the Company intends to renew the facility on terms equal to or better than the previous agreement.</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nine years, we have utilized our federal and state net operating loss carryforwards to offset taxable income, therefore reducing our tax liabilities. We anticipate our remaining net operating loss carryforwards will become fully utilized within the next 12 to 24 months. Our actual tax payments are expected to increase significantly once the net operating loss carryforwards are fully utilized. As part of our growth strategy, we have recently completed several acquisitions and we continue to review possible acquisitions that complement our products and services. We anticipate that future acquisitions, if any, would be effected through a combination of stock and cash consideration.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As of June 30, 2014, we were in compliance with all covenants. The credit and capital markets have been experiencing extreme volatility and disruption.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exposed to market risk from changes in interest rates. We do not have any foreign currency exchange rate risk or commodity price risk. As of June 30, 2014,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$111.8 million at June 30, 2014. Assuming a hypothetical 10% decrease in interest rates, interest income from cash and investments would decrease on an annualized basis by approximately $55,000.</w:t>
      </w:r>
    </w:p>
    <w:p>
      <w:pPr>
        <w:spacing w:after="0" w:line="193"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35"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39"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Certification of the Chief Executive Officer Pursuant to Section 302 of the Sarbanes-Oxley Act of 2002</w:t>
      </w:r>
    </w:p>
    <w:p>
      <w:pPr>
        <w:spacing w:after="0" w:line="117"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Certification of the Principal Financial Officer Pursuant to Section 302 of the Sarbanes-Oxley Act of 2002</w:t>
      </w:r>
    </w:p>
    <w:p>
      <w:pPr>
        <w:spacing w:after="0" w:line="117"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 Certification Pursuant to 18 U.S.C. Section 1350, as Adopted Pursuant to Section 906 of the Sarbanes-Oxley Act of 2002</w:t>
      </w:r>
    </w:p>
    <w:p>
      <w:pPr>
        <w:spacing w:after="0" w:line="117" w:lineRule="exact"/>
        <w:rPr>
          <w:sz w:val="20"/>
          <w:szCs w:val="20"/>
          <w:color w:val="auto"/>
        </w:rPr>
      </w:pPr>
    </w:p>
    <w:p>
      <w:pPr>
        <w:ind w:left="560"/>
        <w:spacing w:after="0"/>
        <w:tabs>
          <w:tab w:leader="none" w:pos="13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 Certification Pursuant to 18 U.S.C. Section 1350, as Adopted Pursuant to Section 906 of the Sarbanes-Oxley Act of 2002</w:t>
      </w:r>
    </w:p>
    <w:p>
      <w:pPr>
        <w:spacing w:after="0" w:line="11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101.1 INS</w:t>
      </w:r>
      <w:r>
        <w:rPr>
          <w:sz w:val="20"/>
          <w:szCs w:val="20"/>
          <w:color w:val="auto"/>
        </w:rPr>
        <w:tab/>
      </w:r>
      <w:r>
        <w:rPr>
          <w:rFonts w:ascii="Arial" w:cs="Arial" w:eastAsia="Arial" w:hAnsi="Arial"/>
          <w:sz w:val="17"/>
          <w:szCs w:val="17"/>
          <w:color w:val="auto"/>
        </w:rPr>
        <w:t>– XBRL Instance Document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SCH – XBRL Taxonomy Extension Schema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CAL – XBRL Taxonomy Extension Calculation Linkbase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DEF – XBRL Taxonomy Extension Definition Linkbase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LAB – XBRL Taxonomy Extension Label Linkbase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 PRE – XBRL Taxonomy Extension Presentation Linkbase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80"/>
          </w:cols>
          <w:pgMar w:left="240" w:top="459" w:right="1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8120" w:type="dxa"/>
            <w:vAlign w:val="bottom"/>
            <w:gridSpan w:val="2"/>
          </w:tcPr>
          <w:p>
            <w:pPr>
              <w:ind w:left="2600"/>
              <w:spacing w:after="0"/>
              <w:rPr>
                <w:sz w:val="20"/>
                <w:szCs w:val="20"/>
                <w:color w:val="auto"/>
              </w:rPr>
            </w:pPr>
            <w:r>
              <w:rPr>
                <w:rFonts w:ascii="Arial" w:cs="Arial" w:eastAsia="Arial" w:hAnsi="Arial"/>
                <w:sz w:val="18"/>
                <w:szCs w:val="18"/>
                <w:color w:val="auto"/>
              </w:rPr>
              <w:t>HEALTHSTREAM,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July 31, 2014</w:t>
            </w:r>
          </w:p>
        </w:tc>
        <w:tc>
          <w:tcPr>
            <w:tcW w:w="8120" w:type="dxa"/>
            <w:vAlign w:val="bottom"/>
            <w:gridSpan w:val="2"/>
          </w:tcPr>
          <w:p>
            <w:pPr>
              <w:ind w:left="2600"/>
              <w:spacing w:after="0"/>
              <w:rPr>
                <w:sz w:val="20"/>
                <w:szCs w:val="20"/>
                <w:color w:val="auto"/>
              </w:rPr>
            </w:pPr>
            <w:r>
              <w:rPr>
                <w:rFonts w:ascii="Arial" w:cs="Arial" w:eastAsia="Arial" w:hAnsi="Arial"/>
                <w:sz w:val="18"/>
                <w:szCs w:val="18"/>
                <w:color w:val="auto"/>
              </w:rPr>
              <w:t>By: /s/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3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3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300" w:type="dxa"/>
            <w:vAlign w:val="bottom"/>
          </w:tcPr>
          <w:p>
            <w:pPr>
              <w:spacing w:after="0"/>
              <w:rPr>
                <w:sz w:val="24"/>
                <w:szCs w:val="24"/>
                <w:color w:val="auto"/>
              </w:rPr>
            </w:pPr>
          </w:p>
        </w:tc>
        <w:tc>
          <w:tcPr>
            <w:tcW w:w="2880" w:type="dxa"/>
            <w:vAlign w:val="bottom"/>
          </w:tcPr>
          <w:p>
            <w:pPr>
              <w:jc w:val="right"/>
              <w:ind w:right="290"/>
              <w:spacing w:after="0"/>
              <w:rPr>
                <w:sz w:val="20"/>
                <w:szCs w:val="20"/>
                <w:color w:val="auto"/>
              </w:rPr>
            </w:pPr>
            <w:r>
              <w:rPr>
                <w:rFonts w:ascii="Arial" w:cs="Arial" w:eastAsia="Arial" w:hAnsi="Arial"/>
                <w:sz w:val="18"/>
                <w:szCs w:val="18"/>
                <w:color w:val="auto"/>
              </w:rPr>
              <w:t>19</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87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ind w:left="3340"/>
              <w:spacing w:after="0"/>
              <w:rPr>
                <w:sz w:val="20"/>
                <w:szCs w:val="20"/>
                <w:color w:val="auto"/>
              </w:rPr>
            </w:pPr>
            <w:r>
              <w:rPr>
                <w:rFonts w:ascii="Arial" w:cs="Arial" w:eastAsia="Arial" w:hAnsi="Arial"/>
                <w:sz w:val="18"/>
                <w:szCs w:val="18"/>
                <w:b w:val="1"/>
                <w:bCs w:val="1"/>
                <w:color w:val="auto"/>
              </w:rPr>
              <w:t>HEALTHSTREAM, INC.</w:t>
            </w:r>
          </w:p>
        </w:tc>
      </w:tr>
      <w:tr>
        <w:trPr>
          <w:trHeight w:val="432"/>
        </w:trPr>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567"/>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1360" w:type="dxa"/>
            <w:vAlign w:val="bottom"/>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8740" w:type="dxa"/>
            <w:vAlign w:val="bottom"/>
          </w:tcPr>
          <w:p>
            <w:pPr>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INS</w:t>
            </w:r>
          </w:p>
        </w:tc>
        <w:tc>
          <w:tcPr>
            <w:tcW w:w="87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CAL</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DEF</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101.1 PRE</w:t>
            </w:r>
          </w:p>
        </w:tc>
        <w:tc>
          <w:tcPr>
            <w:tcW w:w="874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r>
    </w:tbl>
    <w:p>
      <w:pPr>
        <w:sectPr>
          <w:pgSz w:w="11900" w:h="16838" w:orient="portrait"/>
          <w:cols w:equalWidth="0" w:num="1">
            <w:col w:w="10219"/>
          </w:cols>
          <w:pgMar w:left="240" w:top="446" w:right="1440"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31, 2014</w:t>
      </w:r>
      <w:r>
        <w:rPr>
          <w:sz w:val="20"/>
          <w:szCs w:val="20"/>
          <w:color w:val="auto"/>
        </w:rPr>
        <w:tab/>
      </w:r>
      <w:r>
        <w:rPr>
          <w:rFonts w:ascii="Arial" w:cs="Arial" w:eastAsia="Arial" w:hAnsi="Arial"/>
          <w:sz w:val="16"/>
          <w:szCs w:val="16"/>
          <w:color w:val="auto"/>
        </w:rPr>
        <w:t xml:space="preserve">/s/ </w:t>
      </w:r>
      <w:r>
        <w:rPr>
          <w:rFonts w:ascii="Arial" w:cs="Arial" w:eastAsia="Arial" w:hAnsi="Arial"/>
          <w:sz w:val="13"/>
          <w:szCs w:val="13"/>
          <w:color w:val="auto"/>
        </w:rPr>
        <w:t>ROBERT A</w:t>
      </w:r>
      <w:r>
        <w:rPr>
          <w:rFonts w:ascii="Arial" w:cs="Arial" w:eastAsia="Arial" w:hAnsi="Arial"/>
          <w:sz w:val="16"/>
          <w:szCs w:val="16"/>
          <w:color w:val="auto"/>
        </w:rPr>
        <w:t xml:space="preserve">. </w:t>
      </w:r>
      <w:r>
        <w:rPr>
          <w:rFonts w:ascii="Arial" w:cs="Arial" w:eastAsia="Arial" w:hAnsi="Arial"/>
          <w:sz w:val="13"/>
          <w:szCs w:val="13"/>
          <w:color w:val="auto"/>
        </w:rPr>
        <w:t>FRIST</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60" w:firstLine="4"/>
        <w:spacing w:after="0" w:line="277" w:lineRule="auto"/>
        <w:tabs>
          <w:tab w:leader="none" w:pos="64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July 31, 2014</w:t>
      </w:r>
      <w:r>
        <w:rPr>
          <w:sz w:val="20"/>
          <w:szCs w:val="20"/>
          <w:color w:val="auto"/>
        </w:rPr>
        <w:tab/>
      </w:r>
      <w:r>
        <w:rPr>
          <w:rFonts w:ascii="Arial" w:cs="Arial" w:eastAsia="Arial" w:hAnsi="Arial"/>
          <w:sz w:val="17"/>
          <w:szCs w:val="17"/>
          <w:color w:val="auto"/>
        </w:rPr>
        <w:t>/s/ G</w:t>
      </w:r>
      <w:r>
        <w:rPr>
          <w:rFonts w:ascii="Arial" w:cs="Arial" w:eastAsia="Arial" w:hAnsi="Arial"/>
          <w:sz w:val="14"/>
          <w:szCs w:val="14"/>
          <w:color w:val="auto"/>
        </w:rPr>
        <w:t>ERARD</w:t>
      </w:r>
      <w:r>
        <w:rPr>
          <w:rFonts w:ascii="Arial" w:cs="Arial" w:eastAsia="Arial" w:hAnsi="Arial"/>
          <w:sz w:val="17"/>
          <w:szCs w:val="17"/>
          <w:color w:val="auto"/>
        </w:rPr>
        <w:t xml:space="preserve"> M. H</w:t>
      </w:r>
      <w:r>
        <w:rPr>
          <w:rFonts w:ascii="Arial" w:cs="Arial" w:eastAsia="Arial" w:hAnsi="Arial"/>
          <w:sz w:val="14"/>
          <w:szCs w:val="14"/>
          <w:color w:val="auto"/>
        </w:rPr>
        <w:t>AYDEN</w:t>
      </w:r>
      <w:r>
        <w:rPr>
          <w:rFonts w:ascii="Arial" w:cs="Arial" w:eastAsia="Arial" w:hAnsi="Arial"/>
          <w:sz w:val="17"/>
          <w:szCs w:val="17"/>
          <w:color w:val="auto"/>
        </w:rPr>
        <w:t>, J</w:t>
      </w:r>
      <w:r>
        <w:rPr>
          <w:rFonts w:ascii="Arial" w:cs="Arial" w:eastAsia="Arial" w:hAnsi="Arial"/>
          <w:sz w:val="14"/>
          <w:szCs w:val="14"/>
          <w:color w:val="auto"/>
        </w:rPr>
        <w:t>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2014,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5"/>
          <w:szCs w:val="15"/>
          <w:color w:val="auto"/>
        </w:rPr>
        <w:t>ROBERT A</w:t>
      </w:r>
      <w:r>
        <w:rPr>
          <w:rFonts w:ascii="Arial" w:cs="Arial" w:eastAsia="Arial" w:hAnsi="Arial"/>
          <w:sz w:val="18"/>
          <w:szCs w:val="18"/>
          <w:color w:val="auto"/>
        </w:rPr>
        <w:t xml:space="preserve">. </w:t>
      </w:r>
      <w:r>
        <w:rPr>
          <w:rFonts w:ascii="Arial" w:cs="Arial" w:eastAsia="Arial" w:hAnsi="Arial"/>
          <w:sz w:val="15"/>
          <w:szCs w:val="15"/>
          <w:color w:val="auto"/>
        </w:rPr>
        <w:t>FRIST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2014</w:t>
      </w:r>
    </w:p>
    <w:p>
      <w:pPr>
        <w:sectPr>
          <w:pgSz w:w="11900" w:h="16838" w:orient="portrait"/>
          <w:cols w:equalWidth="0" w:num="1">
            <w:col w:w="11380"/>
          </w:cols>
          <w:pgMar w:left="240" w:top="125" w:right="27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u w:val="single" w:color="auto"/>
          <w:color w:val="auto"/>
        </w:rPr>
        <w:t>Exhibit 32.2</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2014,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2014</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2019-12-06T22:48:40Z</dcterms:created>
  <dcterms:modified xsi:type="dcterms:W3CDTF">2019-12-06T22:48:40Z</dcterms:modified>
</cp:coreProperties>
</file>