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4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001-8833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195"/>
        </w:trPr>
        <w:tc>
          <w:tcPr>
            <w:tcW w:w="5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6"/>
                <w:szCs w:val="16"/>
                <w:color w:val="auto"/>
              </w:rPr>
            </w:pPr>
          </w:p>
        </w:tc>
        <w:tc>
          <w:tcPr>
            <w:tcW w:w="5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8890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9, 2005, 21,574,904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0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8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00" w:type="dxa"/>
            <w:vAlign w:val="bottom"/>
            <w:gridSpan w:val="4"/>
            <w:vMerge w:val="continue"/>
          </w:tcPr>
          <w:p>
            <w:pPr>
              <w:spacing w:after="0"/>
              <w:rPr>
                <w:sz w:val="14"/>
                <w:szCs w:val="14"/>
                <w:color w:val="auto"/>
              </w:rPr>
            </w:pPr>
          </w:p>
        </w:tc>
        <w:tc>
          <w:tcPr>
            <w:tcW w:w="9180" w:type="dxa"/>
            <w:vAlign w:val="bottom"/>
            <w:gridSpan w:val="14"/>
            <w:vMerge w:val="continue"/>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500" w:type="dxa"/>
            <w:vAlign w:val="bottom"/>
            <w:gridSpan w:val="2"/>
          </w:tcPr>
          <w:p>
            <w:pPr>
              <w:spacing w:after="0"/>
              <w:rPr>
                <w:sz w:val="24"/>
                <w:szCs w:val="24"/>
                <w:color w:val="auto"/>
              </w:rPr>
            </w:pPr>
          </w:p>
        </w:tc>
        <w:tc>
          <w:tcPr>
            <w:tcW w:w="1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Financial Statements</w:t>
              </w:r>
            </w:hyperlink>
          </w:p>
        </w:tc>
        <w:tc>
          <w:tcPr>
            <w:tcW w:w="760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September 30, 2005 (Unaudited) and December 31, 2004</w:t>
              </w:r>
            </w:hyperlink>
          </w:p>
        </w:tc>
        <w:tc>
          <w:tcPr>
            <w:tcW w:w="1840" w:type="dxa"/>
            <w:vAlign w:val="bottom"/>
            <w:gridSpan w:val="5"/>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(Unaudited) — Three Months ended September 30, 2005 and 2004</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(Unaudited) — Nine Months ended September 30, 2005 and 2004</w:t>
              </w:r>
            </w:hyperlink>
          </w:p>
        </w:tc>
        <w:tc>
          <w:tcPr>
            <w:tcW w:w="60" w:type="dxa"/>
            <w:vAlign w:val="bottom"/>
            <w:tcBorders>
              <w:top w:val="single" w:sz="8" w:color="0000EE"/>
            </w:tcBorders>
            <w:gridSpan w:val="2"/>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 of Shareholders’ Equity (Unaudited) — Nine Months ended September 30, 2005</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Condensed Consolidated Statements of Cash Flows (Unaudited) — Nine Months ended September 30, 2005 and 2004</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20" w:type="dxa"/>
            <w:vAlign w:val="bottom"/>
            <w:tcBorders>
              <w:top w:val="single" w:sz="8" w:color="0000EE"/>
            </w:tcBorders>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660" w:type="dxa"/>
            <w:vAlign w:val="bottom"/>
            <w:gridSpan w:val="2"/>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Item 2.</w:t>
              </w:r>
            </w:hyperlink>
          </w:p>
        </w:tc>
        <w:tc>
          <w:tcPr>
            <w:tcW w:w="46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460" w:type="dxa"/>
            <w:vAlign w:val="bottom"/>
          </w:tcPr>
          <w:p>
            <w:pPr>
              <w:spacing w:after="0"/>
              <w:rPr>
                <w:sz w:val="24"/>
                <w:szCs w:val="24"/>
                <w:color w:val="auto"/>
              </w:rPr>
            </w:pPr>
          </w:p>
        </w:tc>
        <w:tc>
          <w:tcPr>
            <w:tcW w:w="6460" w:type="dxa"/>
            <w:vAlign w:val="bottom"/>
            <w:tcBorders>
              <w:top w:val="single" w:sz="8" w:color="0000EE"/>
            </w:tcBorders>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720" w:type="dxa"/>
            <w:vAlign w:val="bottom"/>
            <w:gridSpan w:val="6"/>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4.</w:t>
              </w:r>
            </w:hyperlink>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4820" w:type="dxa"/>
            <w:vAlign w:val="bottom"/>
            <w:gridSpan w:val="7"/>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0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918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6.</w:t>
              </w:r>
            </w:hyperlink>
          </w:p>
        </w:tc>
        <w:tc>
          <w:tcPr>
            <w:tcW w:w="500" w:type="dxa"/>
            <w:vAlign w:val="bottom"/>
            <w:gridSpan w:val="2"/>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Signature</w:t>
              </w:r>
            </w:hyperlink>
          </w:p>
        </w:tc>
        <w:tc>
          <w:tcPr>
            <w:tcW w:w="8480" w:type="dxa"/>
            <w:vAlign w:val="bottom"/>
            <w:gridSpan w:val="12"/>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CEO CERTIFICATION</w:t>
      </w:r>
    </w:p>
    <w:p>
      <w:pPr>
        <w:sectPr>
          <w:pgSz w:w="11900" w:h="16880" w:orient="portrait"/>
          <w:cols w:equalWidth="0" w:num="1">
            <w:col w:w="11420"/>
          </w:cols>
          <w:pgMar w:left="240" w:top="122" w:right="239" w:bottom="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EX-31.2 SECTION 302 CFO CERTIFICATION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EX-32.1 SECTION 906 CEO CERTIFICATION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EX-32.2 SECTION 906 CFO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405765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5,778,278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Investments in short term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3,900,000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168,242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23,584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$184,617 at September 30, 2005 and $234,167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December 31, 2004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4,277,668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1,108,711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546,507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960,682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16,763,672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22,473,131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1,011,877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7,275,376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1,281,460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9,568,713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8,600,594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(7,300,766)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(6,281,311)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2,267,947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10,306,557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3,306,688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$7,134,946 at September 30, 2005 and $6,695,922 at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December 31, 2004</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3,377,196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33,035,175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28,557,101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1,008,086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1,311,835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349,949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161,170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915,531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4,367,532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3,987,697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130,594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8,244,697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6,798,009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21,568,529 and 20,667,515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outstanding at September 30, 2005 and December 31, 2004,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93,791,326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91,642,383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(69,191,598)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(69,912,719)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24,599,728</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21,729,664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33,035,175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28,557,101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6,830,640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2,392,075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719,930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1,340,084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373,697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and feature enhancements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278,496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1,244,556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6,348,838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5,274,803</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481,802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(242,570)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81,914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71,956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553,758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(177,272)</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21,212,310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20,655,825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22,356,561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20,655,825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19,319,462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14,631,438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6,887,196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5,417,062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2,099,549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4,131,547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3,462,475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1,183,808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feature enhancements, and prepaid compensation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846,674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3,687,579</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3,568,000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18,836,353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15,916,333</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483,109</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(1,284,895)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259,854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(21,842)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238,012</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721,121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(1,125,215)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20,984,144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20,561,141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21,962,594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20,561,141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Accumulated Deficit</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20,667,515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$91,642,383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(69,912,719)</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21,729,664</w:t>
            </w: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721,121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721,121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83,742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159,445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159,445</w:t>
            </w: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Issuance of common stock in acquisition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479,234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1,343,149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1,343,149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646,349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646,349</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00" w:type="dxa"/>
            <w:vAlign w:val="bottom"/>
            <w:gridSpan w:val="2"/>
          </w:tcPr>
          <w:p>
            <w:pPr>
              <w:spacing w:after="0"/>
              <w:rPr>
                <w:sz w:val="20"/>
                <w:szCs w:val="20"/>
                <w:color w:val="auto"/>
              </w:rPr>
            </w:pPr>
            <w:r>
              <w:rPr>
                <w:rFonts w:ascii="Arial" w:cs="Arial" w:eastAsia="Arial" w:hAnsi="Arial"/>
                <w:sz w:val="18"/>
                <w:szCs w:val="18"/>
                <w:color w:val="auto"/>
              </w:rPr>
              <w:t>Balance at September 30, 2005</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21,568,529</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93,791,326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(69,191,598)</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24,599,728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500" w:type="dxa"/>
            <w:vAlign w:val="bottom"/>
            <w:gridSpan w:val="8"/>
          </w:tcPr>
          <w:p>
            <w:pPr>
              <w:jc w:val="right"/>
              <w:ind w:right="160"/>
              <w:spacing w:after="0"/>
              <w:rPr>
                <w:sz w:val="20"/>
                <w:szCs w:val="20"/>
                <w:color w:val="auto"/>
              </w:rPr>
            </w:pPr>
            <w:r>
              <w:rPr>
                <w:rFonts w:ascii="Arial" w:cs="Arial" w:eastAsia="Arial" w:hAnsi="Arial"/>
                <w:sz w:val="18"/>
                <w:szCs w:val="18"/>
                <w:color w:val="auto"/>
              </w:rPr>
              <w:t>See accompanying notes to condensed consolidated financial statements .</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20" w:type="dxa"/>
            <w:vAlign w:val="bottom"/>
          </w:tcPr>
          <w:p>
            <w:pPr>
              <w:jc w:val="right"/>
              <w:ind w:right="3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721,121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1,183,808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 content fees, feature enhancements and prepaid compensation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846,674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&amp; equipment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15,799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(323,055)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(99,635)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(28,024)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142,346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Accrued liabilities and compensation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(152,060)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Registration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536,638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170,904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2,657,380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(9,351,360)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15,875,000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15,945,525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 of investments in marketable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(5,750,000)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(15,452,045)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 receivable — related party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(656,894)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(1,398,140)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116,746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(671,657)</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646,349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Issuance of stock to Employee Stock Purchase Plan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159,445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746,780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3,520,906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2,257,372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3,219,807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5,778,278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2,771,319</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incurred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326,817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62,804</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 of company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1,343,149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Effects of acquisition:</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tangible assets acquired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718,357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Estimated fair value of liabilities assumed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(655,907)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price in excess of net tangible assets acquired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10,649,870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Stock issued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(1,343,149)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9,369,171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Less cash acquired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(17,811)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paid for acquisition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9,351,360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2005 are not necessarily indicative of the results that may be expected for the year ending December 31, 2005.</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2004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2004 (included in the Company’s Annual Report on Form 10-K, filed with the Securities and Exchange Commission).</w:t>
      </w:r>
    </w:p>
    <w:p>
      <w:pPr>
        <w:spacing w:after="0" w:line="79"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The statement of cash flows for the nine months ended September 30, 2004 has been revised to reflect the reclassification of investments in marketable securities for auction rate securities held by the Company on September 30, 2004. We previously classified investments in auction rate securities as cash equivalents due to the short-term nature of their relative auction dates. We modified the statement of cash flows for the nine months ended September 30, 2004 to include additional gross sales of $10.5 million and purchases of $12.9 million related to our investments in marketable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2004, the Financial Accounting Standards Board (FASB) issued Statement of Financial Accounting Standards No. 123(R), “Share-Based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Statement 123(R) supersedes Accounting Principles Board (APB) Opinion No. 25, “Accounting for Stock Issued to Employees,” and will require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companies to recognize compensation expense, using a fair-value based method, for costs related to share-based payments, including stock options.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2005, the Securities and Exchange Commission amended the effective date of the Statement to begin with the first interim or annual reporting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fiscal year beginning on or after December 15, 2005. The Company intends to adopt Statement 123(R) in the first quarter of 2006, and to implement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 on a prospective basis. We are currently assessing the impact the Statement will have on our consolidated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March 28, 2005, the Company acquired all of the stock of Data Management &amp; Research, Inc. (DMR) for approximately $10.7 million, consisting of</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$9.1 million in cash and 479,234 shares of our common stock. Of the common stock portion, 319,489 shares are being held in an escrow account for eighteen months from the acquisition date, subject to any claims for indemnification pursuant to the stock purchase agreement. The Company also incurred direct, incremental expenses associated with the acquisition of approximately $0.4 million. DMR provides healthcare organizations a wide range of quality and satisfaction surveys, data analyses of survey results, and other research-based measurement tools. The allocation of purchase price is preliminary and may be subject to change as a result of changes in estimates related to the acquired business. The preliminary purchase price allocation is disclosed on the statement of cash flows. During the three months ended September 30, 2005, we allocated an additional $1.0 million of the purchase price to customer-related intangible assets and extended the life of the related intangible assets to eight years. This adjustment is based on a valuation analysis performed during the three months ended September 30, 2005. Amounts recorded for goodwill and intangible assets at September 30, 2005 are subject to change.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DMR have been included in the Company’s statement of operations, effective March 29,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(continued)</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unaudited pro forma results of operations give effect to the operations of DMR as if the acquisition had occurred as of January 1, 2005 and 2004. These unaudited pro forma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September 30,</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September 30,</w:t>
            </w: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September 30,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2004</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6,830,640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6,320,355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20,729,665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18,105,012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553,758</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106,028</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1,194,482</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Basic</w:t>
            </w:r>
          </w:p>
        </w:tc>
        <w:tc>
          <w:tcPr>
            <w:tcW w:w="2040" w:type="dxa"/>
            <w:vAlign w:val="bottom"/>
            <w:gridSpan w:val="2"/>
          </w:tcPr>
          <w:p>
            <w:pPr>
              <w:ind w:left="19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currently account for our stock-based compensation plans under the intrinsic value-based method of accounting prescribed by Accounting Principles Board Opinion No. 25 “Accounting for Stock Issued to Employees” (APB 25) and related interpretations. APB 25 does not utilize the fair value method, as prescribed by SFAS No. 123, “Accounting for Stock-Based Compensation” (SFAS No. 123) . However, we have disclosed the fair value recognition requirements of SFAS No. 123 and the additional disclosure requirements as specified in SFAS No. 148, “Accounting for Stock-Based Compensation-Transition and Disclosure,” which amended SFAS No. 123.</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the alternative method of accounting for stock incentive plans prescribed by SFAS No. 123 had been followed, our net income (loss) and net income (loss) per share would have been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4"/>
          </w:tcPr>
          <w:p>
            <w:pPr>
              <w:jc w:val="center"/>
              <w:ind w:left="412"/>
              <w:spacing w:after="0"/>
              <w:rPr>
                <w:sz w:val="20"/>
                <w:szCs w:val="20"/>
                <w:color w:val="auto"/>
              </w:rPr>
            </w:pPr>
            <w:r>
              <w:rPr>
                <w:rFonts w:ascii="Arial" w:cs="Arial" w:eastAsia="Arial" w:hAnsi="Arial"/>
                <w:sz w:val="14"/>
                <w:szCs w:val="14"/>
                <w:color w:val="auto"/>
                <w:w w:val="93"/>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color w:val="auto"/>
              </w:rPr>
              <w:t>September 30, 2005</w:t>
            </w: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553,758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 reported net income (loss), net of related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employee compensation expense determined under fair value based method for all</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3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(111,339)</w:t>
            </w: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(93,608)</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442,419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 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 pro forma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 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 pro forma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4"/>
          </w:tcPr>
          <w:p>
            <w:pPr>
              <w:jc w:val="center"/>
              <w:ind w:left="432"/>
              <w:spacing w:after="0"/>
              <w:rPr>
                <w:sz w:val="20"/>
                <w:szCs w:val="20"/>
                <w:color w:val="auto"/>
              </w:rPr>
            </w:pPr>
            <w:r>
              <w:rPr>
                <w:rFonts w:ascii="Arial" w:cs="Arial" w:eastAsia="Arial" w:hAnsi="Arial"/>
                <w:sz w:val="14"/>
                <w:szCs w:val="14"/>
                <w:color w:val="auto"/>
                <w:w w:val="94"/>
              </w:rPr>
              <w:t>Nine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color w:val="auto"/>
              </w:rPr>
              <w:t>September 30, 2005</w:t>
            </w: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721,121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(1,125,215)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 reported net income (loss), net of related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employee compensation expense determined under fair value based method for all</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3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(475,897)</w:t>
            </w: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(458,543)</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245,224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(1,583,758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 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 pro forma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 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 pro forma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Basic net income (loss) per share is computed by dividing the net income (loss) available to common shareholders for the period by the weighted-average number of common shares outstanding during the period. Diluted net income (loss) per share is computed by dividing the net income (loss) for the period by the weighted average number of common and common equivalent shares outstanding during the period. Common equivalent shares, composed of incremental common shares issuable upon the exercise of stock options and warrants, and escrowed or restricted shares, are included in diluted net income (loss) per share only to the extent these shares have a dilutive effect. Common equivalent shares are dilutive when the average market price during the period exceeds the exercise price of the underlying shares. The total number of common equivalent shares excluded from the calculations of diluted net income (loss) per share, due to their anti-dilutive effect, was approximately 1,100,000 and 3,000,000 for the three months ended September 30, 2005 and 2004, respectively, and approximately 1,300,000 and 3,200,000 for the nine months ended September 30, 2005 and 2004,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(loss) per share for three and nine months ended September 30, 2005 and 2004: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3"/>
              </w:rPr>
              <w:t>September 30,</w:t>
            </w:r>
          </w:p>
        </w:tc>
        <w:tc>
          <w:tcPr>
            <w:tcW w:w="580" w:type="dxa"/>
            <w:vAlign w:val="bottom"/>
          </w:tcPr>
          <w:p>
            <w:pPr>
              <w:spacing w:after="0"/>
              <w:rPr>
                <w:sz w:val="12"/>
                <w:szCs w:val="12"/>
                <w:color w:val="auto"/>
              </w:rPr>
            </w:pPr>
          </w:p>
        </w:tc>
        <w:tc>
          <w:tcPr>
            <w:tcW w:w="154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w w:val="93"/>
              </w:rPr>
              <w:t>September 30,</w:t>
            </w: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September 30,</w:t>
            </w: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2004</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553,758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(177,272)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721,121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(1,125,215)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21,212,310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20,655,825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20,984,144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20,561,141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1,144,250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978,450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22,356,561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20,655,825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21,962,594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20,561,141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is included in our HCO business segment. The accounting policies of the segments are the same as those described in the summary of significant accounting policies in our Annual Report on Form 10-K for the year ended December 31, 2004. We believe the accounting policies related to DMR are consistent with our accounting policies. We manage and operate our business segments based on the markets they serve and the products and services provided to those markets.</w:t>
      </w:r>
    </w:p>
    <w:p>
      <w:pPr>
        <w:spacing w:after="0" w:line="5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following is our business segment information as of and for the three and nine months ended September 30, 2005 and 2004. We measure segment performance based on operating income (loss) before income taxes and prior to the allocation of corporate overhead expenses, interest income, interest expense, and depreciation.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5"/>
          </w:tcPr>
          <w:p>
            <w:pPr>
              <w:jc w:val="right"/>
              <w:ind w:right="12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2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w w:val="93"/>
              </w:rPr>
              <w:t>September 30,</w:t>
            </w:r>
          </w:p>
        </w:tc>
        <w:tc>
          <w:tcPr>
            <w:tcW w:w="15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w w:val="91"/>
              </w:rPr>
              <w:t>September 30,</w:t>
            </w:r>
          </w:p>
        </w:tc>
        <w:tc>
          <w:tcPr>
            <w:tcW w:w="15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w w:val="91"/>
              </w:rPr>
              <w:t>September 30,</w:t>
            </w: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2004</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HCO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5,553,391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3,650,153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14,793,345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10,097,854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1,277,249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1,382,080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4,526,117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4,533,584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6,830,640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5,032,233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19,319,462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14,631,438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HCO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2,286,189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1,370,927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5,636,286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3,583,337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7,222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68,122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325,930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(1,811,609)</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(1,681,619)</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(5,479,107)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(5,049,040)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(loss) from operations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481,802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(242,570)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483,109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(1,284,895)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0" w:type="dxa"/>
            <w:vAlign w:val="bottom"/>
            <w:gridSpan w:val="5"/>
          </w:tcPr>
          <w:p>
            <w:pPr>
              <w:ind w:left="680"/>
              <w:spacing w:after="0"/>
              <w:rPr>
                <w:sz w:val="20"/>
                <w:szCs w:val="20"/>
                <w:color w:val="auto"/>
              </w:rPr>
            </w:pPr>
            <w:r>
              <w:rPr>
                <w:rFonts w:ascii="Arial" w:cs="Arial" w:eastAsia="Arial" w:hAnsi="Arial"/>
                <w:sz w:val="14"/>
                <w:szCs w:val="14"/>
                <w:color w:val="auto"/>
              </w:rPr>
              <w:t>Nine months ended</w:t>
            </w:r>
          </w:p>
        </w:tc>
      </w:tr>
      <w:tr>
        <w:trPr>
          <w:trHeight w:val="149"/>
        </w:trPr>
        <w:tc>
          <w:tcPr>
            <w:tcW w:w="5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September 30,</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5020" w:type="dxa"/>
            <w:vAlign w:val="bottom"/>
          </w:tcPr>
          <w:p>
            <w:pPr>
              <w:spacing w:after="0"/>
              <w:rPr>
                <w:sz w:val="14"/>
                <w:szCs w:val="14"/>
                <w:color w:val="auto"/>
              </w:rPr>
            </w:pPr>
          </w:p>
        </w:tc>
        <w:tc>
          <w:tcPr>
            <w:tcW w:w="4720" w:type="dxa"/>
            <w:vAlign w:val="bottom"/>
            <w:gridSpan w:val="2"/>
          </w:tcPr>
          <w:p>
            <w:pPr>
              <w:jc w:val="right"/>
              <w:ind w:right="242"/>
              <w:spacing w:after="0"/>
              <w:rPr>
                <w:sz w:val="20"/>
                <w:szCs w:val="20"/>
                <w:color w:val="auto"/>
              </w:rPr>
            </w:pPr>
            <w:r>
              <w:rPr>
                <w:rFonts w:ascii="Arial" w:cs="Arial" w:eastAsia="Arial" w:hAnsi="Arial"/>
                <w:sz w:val="14"/>
                <w:szCs w:val="14"/>
                <w:color w:val="auto"/>
              </w:rPr>
              <w:t>2005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8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HCO *</w:t>
            </w:r>
          </w:p>
        </w:tc>
        <w:tc>
          <w:tcPr>
            <w:tcW w:w="5380" w:type="dxa"/>
            <w:vAlign w:val="bottom"/>
            <w:gridSpan w:val="3"/>
          </w:tcPr>
          <w:p>
            <w:pPr>
              <w:jc w:val="right"/>
              <w:ind w:right="660"/>
              <w:spacing w:after="0"/>
              <w:rPr>
                <w:sz w:val="20"/>
                <w:szCs w:val="20"/>
                <w:color w:val="auto"/>
              </w:rPr>
            </w:pPr>
            <w:r>
              <w:rPr>
                <w:rFonts w:ascii="Arial" w:cs="Arial" w:eastAsia="Arial" w:hAnsi="Arial"/>
                <w:sz w:val="18"/>
                <w:szCs w:val="18"/>
                <w:color w:val="auto"/>
              </w:rPr>
              <w:t>$17,719,923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6,026,379</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PMD *</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4,408,647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4,195,566</w:t>
            </w: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Unallocated</w:t>
            </w:r>
          </w:p>
        </w:tc>
        <w:tc>
          <w:tcPr>
            <w:tcW w:w="3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10,906,605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17,711,068</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33,035,175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27,933,013</w:t>
            </w:r>
          </w:p>
        </w:tc>
      </w:tr>
      <w:tr>
        <w:trPr>
          <w:trHeight w:val="20"/>
        </w:trPr>
        <w:tc>
          <w:tcPr>
            <w:tcW w:w="50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32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certain prepaid and other current assets, other assets, certain property and equipment, and intangible assets. Cash and cash equivalents, investments in marketable securities and related interest receivable are not allocated to individual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account for business combinations using the purchase method in accordance with SFAS No. 141, “Business Combinatons.” We account for goodwill under the provisions of SFAS No. 142, “Goodwill and Other Intangible Assets.”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March 28, 2005, we acquired DMR. We continue to evaluate the purchase price allocation and related valuation of indefinite and finite lived intangible assets, thus the amount of goodwill recorded at September 30, 2005 related to the acquisition of DMR is subject to change. During the three months ended September 30, 2005, we allocated an additional $1.0 million of the DMR purchase price to customer-related intangibles, which reduced goodwill. There were no changes in the carrying amount of goodwill during the nine months ended September 30, 2004.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HCO</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PMD</w:t>
            </w:r>
          </w:p>
        </w:tc>
        <w:tc>
          <w:tcPr>
            <w:tcW w:w="6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$ 1,982,961</w:t>
            </w: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$ 1,323,727</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6,999,869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6,999,869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2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$ 8,982,830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$ 1,323,727</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10,306,557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HCO</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PMD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380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$ 1,982,961</w:t>
            </w:r>
          </w:p>
        </w:tc>
        <w:tc>
          <w:tcPr>
            <w:tcW w:w="15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w w:val="94"/>
              </w:rPr>
              <w:t>$ 1,323,727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2400" w:type="dxa"/>
            <w:vAlign w:val="bottom"/>
            <w:gridSpan w:val="2"/>
            <w:shd w:val="clear" w:color="auto" w:fill="CCEEFF"/>
          </w:tcPr>
          <w:p>
            <w:pPr>
              <w:spacing w:after="0"/>
              <w:rPr>
                <w:sz w:val="18"/>
                <w:szCs w:val="18"/>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86"/>
              </w:rPr>
              <w:t>$ 1,982,961</w:t>
            </w:r>
          </w:p>
        </w:tc>
        <w:tc>
          <w:tcPr>
            <w:tcW w:w="15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w w:val="94"/>
              </w:rPr>
              <w:t>$ 1,323,727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$ 3,306,688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identifiable intangible assets have been evaluated in accordance with SFAS No. 142 and are considered to have finite useful lives. We continue to evaluate the purchase price allocation and related valuation of indefinite and finite lived intangible assets associated with the acquisition of DMR, thus the balances recorded at September 30, 2005 are subject to change. Intangible assets with finite lives are being amortized over their estimated useful lives, ranging from one to eight years. Amortization of intangible assets was $127,083 and $439,024 for the three and nine months ended September 30, 2005, respectively, and $83,239 and $260,824 for the three and nine months ended September 30, 2004, respectively. During the three months ended September 30, 2005, we allocated an additional $1.0 million of the DMR purchase price to customer-related intangibles and extended the life of such definite lived intangibles from five years to eight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As of September 30, 2005</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9"/>
              </w:rPr>
              <w:t>As of December 31, 2004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gridSpan w:val="2"/>
          </w:tcPr>
          <w:p>
            <w:pPr>
              <w:jc w:val="right"/>
              <w:ind w:right="580"/>
              <w:spacing w:after="0" w:line="123"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24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5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Gross 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Content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3,500,000</w:t>
            </w:r>
          </w:p>
        </w:tc>
        <w:tc>
          <w:tcPr>
            <w:tcW w:w="2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$ 3,500,000</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(3,350,000)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Customer-related</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6,340,000</w:t>
            </w:r>
          </w:p>
        </w:tc>
        <w:tc>
          <w:tcPr>
            <w:tcW w:w="2060" w:type="dxa"/>
            <w:vAlign w:val="bottom"/>
            <w:gridSpan w:val="3"/>
          </w:tcPr>
          <w:p>
            <w:pPr>
              <w:jc w:val="right"/>
              <w:ind w:right="460"/>
              <w:spacing w:after="0"/>
              <w:rPr>
                <w:sz w:val="20"/>
                <w:szCs w:val="20"/>
                <w:color w:val="auto"/>
              </w:rPr>
            </w:pPr>
            <w:r>
              <w:rPr>
                <w:rFonts w:ascii="Arial" w:cs="Arial" w:eastAsia="Arial" w:hAnsi="Arial"/>
                <w:sz w:val="18"/>
                <w:szCs w:val="18"/>
                <w:color w:val="auto"/>
              </w:rPr>
              <w:t>(3,170,195)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3,169,805</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2,940,000</w:t>
            </w:r>
          </w:p>
        </w:tc>
        <w:tc>
          <w:tcPr>
            <w:tcW w:w="120" w:type="dxa"/>
            <w:vAlign w:val="bottom"/>
          </w:tcPr>
          <w:p>
            <w:pPr>
              <w:spacing w:after="0"/>
              <w:rPr>
                <w:sz w:val="18"/>
                <w:szCs w:val="18"/>
                <w:color w:val="auto"/>
              </w:rPr>
            </w:pPr>
          </w:p>
        </w:tc>
        <w:tc>
          <w:tcPr>
            <w:tcW w:w="1780" w:type="dxa"/>
            <w:vAlign w:val="bottom"/>
            <w:gridSpan w:val="3"/>
          </w:tcPr>
          <w:p>
            <w:pPr>
              <w:jc w:val="right"/>
              <w:ind w:right="260"/>
              <w:spacing w:after="0"/>
              <w:rPr>
                <w:sz w:val="20"/>
                <w:szCs w:val="20"/>
                <w:color w:val="auto"/>
              </w:rPr>
            </w:pPr>
            <w:r>
              <w:rPr>
                <w:rFonts w:ascii="Arial" w:cs="Arial" w:eastAsia="Arial" w:hAnsi="Arial"/>
                <w:sz w:val="18"/>
                <w:szCs w:val="18"/>
                <w:color w:val="auto"/>
              </w:rPr>
              <w:t>(2,940,000)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672,142</w:t>
            </w:r>
          </w:p>
        </w:tc>
        <w:tc>
          <w:tcPr>
            <w:tcW w:w="2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(464,751)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207,391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422,142</w:t>
            </w:r>
          </w:p>
        </w:tc>
        <w:tc>
          <w:tcPr>
            <w:tcW w:w="1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(405,922)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16,220</w:t>
            </w:r>
          </w:p>
        </w:tc>
      </w:tr>
      <w:tr>
        <w:trPr>
          <w:trHeight w:val="223"/>
        </w:trPr>
        <w:tc>
          <w:tcPr>
            <w:tcW w:w="324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(7,134,946</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3,377,196</w:t>
            </w: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$ 6,862,142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(6,695,922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$ 166,220</w:t>
            </w:r>
          </w:p>
        </w:tc>
        <w:tc>
          <w:tcPr>
            <w:tcW w:w="1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04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b w:val="1"/>
                <w:bCs w:val="1"/>
                <w:color w:val="auto"/>
              </w:rPr>
              <w:t>HEALTHSTREAM, INC.</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NOTES TO CONDENSED CONSOLIDATED FINANCIAL STATEMENTS (Continued)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gridSpan w:val="3"/>
          </w:tcPr>
          <w:p>
            <w:pPr>
              <w:spacing w:after="0"/>
              <w:rPr>
                <w:sz w:val="20"/>
                <w:szCs w:val="20"/>
                <w:color w:val="auto"/>
              </w:rPr>
            </w:pPr>
            <w:r>
              <w:rPr>
                <w:rFonts w:ascii="Arial" w:cs="Arial" w:eastAsia="Arial" w:hAnsi="Arial"/>
                <w:sz w:val="18"/>
                <w:szCs w:val="18"/>
                <w:b w:val="1"/>
                <w:bCs w:val="1"/>
                <w:color w:val="auto"/>
              </w:rPr>
              <w:t>8. INTANGIBLE ASSETS (continued)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80" w:type="dxa"/>
            <w:vAlign w:val="bottom"/>
            <w:gridSpan w:val="3"/>
          </w:tcPr>
          <w:p>
            <w:pPr>
              <w:spacing w:after="0"/>
              <w:rPr>
                <w:sz w:val="20"/>
                <w:szCs w:val="20"/>
                <w:color w:val="auto"/>
              </w:rPr>
            </w:pPr>
            <w:r>
              <w:rPr>
                <w:rFonts w:ascii="Arial" w:cs="Arial" w:eastAsia="Arial" w:hAnsi="Arial"/>
                <w:sz w:val="18"/>
                <w:szCs w:val="18"/>
                <w:color w:val="auto"/>
              </w:rPr>
              <w:t>Estimated amortization expense for the periods and years ending December 31, is as follows: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2005 through 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2006</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2008</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2010 and thereafter</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1,377,758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3,377,196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income for financial reporting purposes differs from our taxable income as a result of depreciation, tax treatment associated with business combinations, and other items. We expect that our taxable income for the year will also be reduced by available net operating loss carryforwards, although we may be subject to the alternative minimum tax. We recorded a provision for federal income taxes of $15,000 during the nine months ended September 30,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COMMERCIAL SUPPORT GRANTS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Commercial support liabilities represent grant funds received from entities supporting educational activities, such as live events, in which we are the accredited provider of the continuing educational activity. The funds are unrestricted, and are primarily used to pay for expenses associated with conducting the educational activities. The grants will be used to pay for live event expenses during 2005 and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In the opinion of management, the ultimate liability with respect to those proceedings and claims will not materially affect our financial position or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28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important factors, in addition to those discussed elsewhere in this Quarterly Report, could affect our future financial results and could cause actual results to differ materially from those expressed in forward-looking statements contained in this document:</w:t>
      </w:r>
    </w:p>
    <w:p>
      <w:pPr>
        <w:spacing w:after="0" w:line="62" w:lineRule="exact"/>
        <w:rPr>
          <w:sz w:val="20"/>
          <w:szCs w:val="20"/>
          <w:color w:val="auto"/>
        </w:rPr>
      </w:pPr>
    </w:p>
    <w:p>
      <w:pPr>
        <w:ind w:left="560" w:right="840" w:hanging="214"/>
        <w:spacing w:after="0" w:line="277"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effectively implement our growth strategy, as well as manage growth of our operations and infrastructure, including effective identification and integration of acquisitions;</w:t>
      </w:r>
    </w:p>
    <w:p>
      <w:pPr>
        <w:spacing w:after="0" w:line="75"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accurately forecast results of operations due to certain revenue components being subject to significant fluctuations;</w:t>
      </w:r>
    </w:p>
    <w:p>
      <w:pPr>
        <w:spacing w:after="0" w:line="130" w:lineRule="exact"/>
        <w:rPr>
          <w:rFonts w:ascii="Arial" w:cs="Arial" w:eastAsia="Arial" w:hAnsi="Arial"/>
          <w:sz w:val="18"/>
          <w:szCs w:val="18"/>
          <w:b w:val="1"/>
          <w:bCs w:val="1"/>
          <w:color w:val="auto"/>
        </w:rPr>
      </w:pPr>
    </w:p>
    <w:p>
      <w:pPr>
        <w:ind w:left="560" w:hanging="214"/>
        <w:spacing w:after="0" w:line="271" w:lineRule="auto"/>
        <w:tabs>
          <w:tab w:leader="none" w:pos="5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an increase in the percentage of our business subject to renewal. We are in discussions regarding a revised long-term agreement with HCA, Inc. (HCA). On October 1, 2005 our agreement with HCA automatically renewed for one year in accordance with the terms of our agreement, but may be terminated by either party upon forty-five days notice to the other party. Our agreement with Tenet Healthcare Corporation (Tenet), which expires at the end of the fourth quarter of 2005, includes a provision to extend the contract through a series of four annual renewable periods. Our agreement automatically renews if Tenet does not provide sixty days notice of their intent not to renew. Tenet did not provide notice of intent to terminate the agreement, therefore the first annual renewal period will commence January 1, 2006. Our agreement with HCA represented approximately 11% of our revenues in the nine months ended September 30, 2005. No assurance can be given that these contracts will be renewed for extended terms, and if renewed, that the terms will be the same as those in the existing agreements;</w:t>
      </w:r>
    </w:p>
    <w:p>
      <w:pPr>
        <w:spacing w:after="0" w:line="84" w:lineRule="exact"/>
        <w:rPr>
          <w:rFonts w:ascii="Arial" w:cs="Arial" w:eastAsia="Arial" w:hAnsi="Arial"/>
          <w:sz w:val="17"/>
          <w:szCs w:val="17"/>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address our customers’ needs in products and services;</w:t>
      </w:r>
    </w:p>
    <w:p>
      <w:pPr>
        <w:spacing w:after="0" w:line="130" w:lineRule="exact"/>
        <w:rPr>
          <w:rFonts w:ascii="Arial" w:cs="Arial" w:eastAsia="Arial" w:hAnsi="Arial"/>
          <w:sz w:val="18"/>
          <w:szCs w:val="18"/>
          <w:b w:val="1"/>
          <w:bCs w:val="1"/>
          <w:color w:val="auto"/>
        </w:rPr>
      </w:pPr>
    </w:p>
    <w:p>
      <w:pPr>
        <w:ind w:left="560" w:right="340" w:hanging="214"/>
        <w:spacing w:after="0" w:line="277"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pressure on healthcare organizations and pharmaceutical/medical device companies to reduce costs to their customers could result in financial pressures on our customers to cut back on our services;</w:t>
      </w:r>
    </w:p>
    <w:p>
      <w:pPr>
        <w:spacing w:after="0" w:line="75"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maintain our competitive position against current and potential competitors;</w:t>
      </w:r>
    </w:p>
    <w:p>
      <w:pPr>
        <w:spacing w:after="0" w:line="130" w:lineRule="exact"/>
        <w:rPr>
          <w:rFonts w:ascii="Arial" w:cs="Arial" w:eastAsia="Arial" w:hAnsi="Arial"/>
          <w:sz w:val="18"/>
          <w:szCs w:val="18"/>
          <w:b w:val="1"/>
          <w:bCs w:val="1"/>
          <w:color w:val="auto"/>
        </w:rPr>
      </w:pPr>
    </w:p>
    <w:p>
      <w:pPr>
        <w:ind w:left="560" w:right="560" w:hanging="214"/>
        <w:spacing w:after="0" w:line="277"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develop enhancements to our existing products and services, achieve widespread acceptance of new features, and keep pace with technological developments;</w:t>
      </w:r>
    </w:p>
    <w:p>
      <w:pPr>
        <w:spacing w:after="0" w:line="75"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achieve profitability on a consistent basis;</w:t>
      </w:r>
    </w:p>
    <w:p>
      <w:pPr>
        <w:spacing w:after="0" w:line="130" w:lineRule="exact"/>
        <w:rPr>
          <w:rFonts w:ascii="Arial" w:cs="Arial" w:eastAsia="Arial" w:hAnsi="Arial"/>
          <w:sz w:val="18"/>
          <w:szCs w:val="18"/>
          <w:b w:val="1"/>
          <w:bCs w:val="1"/>
          <w:color w:val="auto"/>
        </w:rPr>
      </w:pPr>
    </w:p>
    <w:p>
      <w:pPr>
        <w:ind w:left="560" w:right="140" w:hanging="214"/>
        <w:spacing w:after="0" w:line="277"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fluctuations in quarterly operating results caused by a variety of factors including the timing of sales, subscription revenue recognition and customer subscription renewals;</w:t>
      </w:r>
    </w:p>
    <w:p>
      <w:pPr>
        <w:spacing w:after="0" w:line="75"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develop and maintain our network infrastructure, computer systems, software and related security;</w:t>
      </w:r>
    </w:p>
    <w:p>
      <w:pPr>
        <w:spacing w:after="0" w:line="130" w:lineRule="exact"/>
        <w:rPr>
          <w:rFonts w:ascii="Arial" w:cs="Arial" w:eastAsia="Arial" w:hAnsi="Arial"/>
          <w:sz w:val="18"/>
          <w:szCs w:val="18"/>
          <w:b w:val="1"/>
          <w:bCs w:val="1"/>
          <w:color w:val="auto"/>
        </w:rPr>
      </w:pPr>
    </w:p>
    <w:p>
      <w:pPr>
        <w:ind w:left="560" w:right="460" w:hanging="214"/>
        <w:spacing w:after="0" w:line="277"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b w:val="1"/>
          <w:bCs w:val="1"/>
          <w:color w:val="auto"/>
        </w:rPr>
      </w:pPr>
    </w:p>
    <w:p>
      <w:pPr>
        <w:ind w:left="560" w:hanging="21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risk factors detailed in our Annual Report on Form 10-K and other filings with the Securities and Exchange Commission.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Critical Accounting Policies and Estimates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HealthStream was incorporated in 1990 and began marketing its Internet-based solutions in March 1999. The Company focuses on being a provider of training solutions for entities in the healthcare industry. Revenues from our healthcare organizations business unit (HCO) are derived from the following categories: provision of services through our Internet-based learning products, courseware subscriptions, workforce development tools and services, maintenance and support of installed learning management products and a variety of other online products. On March 28, 2005, we acquired Data Management &amp; Research, Inc. (DMR), which provides healthcare organizations a wide range of quality and satisfaction surveys, analyses of survey results, and other research-based services. Accordingly, DMR is included in our HCO business segment. Revenues from our pharmaceutical and medical device company business unit (PMD) are derived from live event development, content development, Web cast events, and other educational and training services, including HospitalDirect</w:t>
      </w:r>
      <w:r>
        <w:rPr>
          <w:rFonts w:ascii="Arial" w:cs="Arial" w:eastAsia="Arial" w:hAnsi="Arial"/>
          <w:sz w:val="15"/>
          <w:szCs w:val="15"/>
          <w:color w:val="auto"/>
        </w:rPr>
        <w:t>R</w:t>
      </w:r>
      <w:r>
        <w:rPr>
          <w:rFonts w:ascii="Arial" w:cs="Arial" w:eastAsia="Arial" w:hAnsi="Arial"/>
          <w:sz w:val="18"/>
          <w:szCs w:val="18"/>
          <w:color w:val="auto"/>
        </w:rPr>
        <w:t>.</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(GAAP). These accounting principles require us to make certain estimates, judgments and assumptions during the preparation of our financial statements. We believe that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560" w:hanging="21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560" w:hanging="21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color w:val="auto"/>
        </w:rPr>
      </w:pPr>
    </w:p>
    <w:p>
      <w:pPr>
        <w:ind w:left="560" w:hanging="21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560" w:hanging="21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many cases, the accounting treatment of a particular transaction is specifically dictated by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2004 filed with the Securities and Exchange Commission, which contains additional information regarding our accounting policies and other disclosures required by GAAP. There have been no changes in our critical accounting policies and estimates from those reported in our Annual Report on Form 10-K for the year ended December 31,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March 28, 2005, the Company acquired all of the stock of DMR for approximately $10.7 million, consisting of $9.1 million in cash and 479,234 shares of our common stock. Of the common stock portion, 319,489 shares were deposited in an escrow account to be held for eighteen months from the acquisition date, subject to any claims for indemnification pursuant to the stock purchase agreement. DMR provides healthcare organizations a wide range of quality and satisfaction surveys, data analyses of survey results, and other research-based measurement tools.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our HCO business unit currently consist of the provision of services through our Internet-based HealthStream Learning Center</w:t>
      </w:r>
      <w:r>
        <w:rPr>
          <w:rFonts w:ascii="Arial" w:cs="Arial" w:eastAsia="Arial" w:hAnsi="Arial"/>
          <w:sz w:val="13"/>
          <w:szCs w:val="13"/>
          <w:color w:val="auto"/>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(HLC), authoring tools, maintenance and support services for our installed learning management products, maintenance of content, competency tools, courseware subscriptions (add-on courseware), as well as revenues from survey-related services. Revenues for our PMD business unit consist of live event development, online training and content development, online sales training courses, HospitalDirect</w:t>
      </w:r>
      <w:r>
        <w:rPr>
          <w:rFonts w:ascii="Arial" w:cs="Arial" w:eastAsia="Arial" w:hAnsi="Arial"/>
          <w:sz w:val="13"/>
          <w:szCs w:val="13"/>
          <w:color w:val="auto"/>
        </w:rPr>
        <w:t>R</w:t>
      </w:r>
      <w:r>
        <w:rPr>
          <w:rFonts w:ascii="Arial" w:cs="Arial" w:eastAsia="Arial" w:hAnsi="Arial"/>
          <w:sz w:val="16"/>
          <w:szCs w:val="16"/>
          <w:color w:val="auto"/>
        </w:rPr>
        <w:t>, live educational activities for nurses and technicians conducted within healthcare organizations, and continuing education activities at association meetings.</w:t>
      </w:r>
    </w:p>
    <w:p>
      <w:pPr>
        <w:spacing w:after="0" w:line="5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consists primarily of salaries and employee benefits, employee travel and lodging, materials, contract labor, hosting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direct expenses associated with revenues as well as royalties paid by us to content providers based on a percentage of revenues. Personnel costs within cost of revenues are associated with individuals that provide services, handle customer support calls or inquiries, manage our web sites, content delivery and survey services, coordinate content maintenance services, and provide training or implementation services.</w:t>
      </w:r>
    </w:p>
    <w:p>
      <w:pPr>
        <w:spacing w:after="0" w:line="4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content acquisition costs before technological</w:t>
      </w:r>
      <w:r>
        <w:rPr>
          <w:rFonts w:ascii="Arial" w:cs="Arial" w:eastAsia="Arial" w:hAnsi="Arial"/>
          <w:sz w:val="17"/>
          <w:szCs w:val="17"/>
          <w:i w:val="1"/>
          <w:iCs w:val="1"/>
          <w:color w:val="auto"/>
        </w:rPr>
        <w:t xml:space="preserve"> </w:t>
      </w:r>
      <w:r>
        <w:rPr>
          <w:rFonts w:ascii="Arial" w:cs="Arial" w:eastAsia="Arial" w:hAnsi="Arial"/>
          <w:sz w:val="17"/>
          <w:szCs w:val="17"/>
          <w:color w:val="auto"/>
        </w:rPr>
        <w:t>feasibility is achieved, costs associated with the development of content and expenditures associated with maintaining,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developing and operating our training delivery and administration platforms. In addition, product development expenses are associated with the development of feature enhancements and new products to the extent that such enhancements don’t expand the anticipated revenues associated with the base product or further extend the life of such product. In accordance with our policy, we capitalize the cost of features and content developed by third parties where the life expectancy is greater than one year and the anticipated cash flows from such content are expected to exceed their respective costs. Personnel costs within product development include our systems team, product managers, and other personnel associated with content and product development.</w:t>
      </w:r>
    </w:p>
    <w:p>
      <w:pPr>
        <w:spacing w:after="0" w:line="5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salaries, commissions and employee benefits, employee travel and lodging,</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promotions, and related marketing costs. Annually, we host a national users’ group in Nashville known as The Summit. Personnel costs within sales and marketing include our sales and marketing team as well as our account management group. Our account management personnel are involved with the contract renewal process for existing hospital customers, as well as working to ensure our products and services are fully utilized by our customers.</w:t>
      </w:r>
    </w:p>
    <w:p>
      <w:pPr>
        <w:spacing w:after="0" w:line="4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or license fees, software feature enhancements, and prepaid compensation.</w:t>
      </w:r>
    </w:p>
    <w:p>
      <w:pPr>
        <w:spacing w:after="0" w:line="6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employee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and lodging, facility costs, office expenses, fees for professional services, and other operational expenses. Personnel costs within general and administrative expenses include individuals associated with normal corporate functions (accounting, legal, human resources, administrative and executive management) as well as accreditation professionals.</w:t>
      </w:r>
    </w:p>
    <w:p>
      <w:pPr>
        <w:spacing w:after="0" w:line="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cash equivalents and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securities. The primary component of other expense is interest expense related to capital leases and other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2005, revenues increased $1.8 million, or 35.7%, to $6.8 million from $5.0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2004. Revenue increases of $1.3 million resulted from the acquisition of DMR, while revenues from our flagship product, the HealthStream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Learning Center</w:t>
      </w:r>
      <w:r>
        <w:rPr>
          <w:rFonts w:ascii="Arial" w:cs="Arial" w:eastAsia="Arial" w:hAnsi="Arial"/>
          <w:sz w:val="13"/>
          <w:szCs w:val="13"/>
          <w:color w:val="auto"/>
        </w:rPr>
        <w:t>TM</w:t>
      </w:r>
      <w:r>
        <w:rPr>
          <w:rFonts w:ascii="Arial" w:cs="Arial" w:eastAsia="Arial" w:hAnsi="Arial"/>
          <w:sz w:val="16"/>
          <w:szCs w:val="16"/>
          <w:color w:val="auto"/>
        </w:rPr>
        <w:t>, increased $410,000, or 15% over the prior year quarter. Growth in add-on courseware revenues also contributed $250,000 of the increase.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fully implemented subscriber base was approximately 1,130,000 at September 30, 2005. Revenues from our PMD unit declined by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from the prior year quarter, while the mix of revenues changed. Revenues from live events increased approximately $200,000, but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declines in project-based content development services of $300,000.</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margins (which we define as revenues less cost of revenues divided by revenues) for the third quarter 2005 were 65.0%, up slightly from 64.7% for the third quarter of 2004. Our net income was approximately $554,000 for the third quarter of 2005, compared to a net loss of $177,000 for the third quarter of 2004. This improvement is primarily related to the increase in revenues and related gross margins. We experienced increases in product development, sales, depreciation, amortization, and other general and administrative expenses primarily as a result of the DMR acquisition. Net income per share improved to $0.03 (basic) and $0.02 (diluted) for the three months ended September 30, 2005 from a loss per share of $(0.01) (basic and diluted) for the three months ended September 30, 2004.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2005 Compared to Three Months Ended September 30, 2004</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approximately $1.8 million, or 35.7%, to $6.8 million for the three months ended September 30, 2005 from $5.0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2004. Revenues for the third quarter of 2005 consisted of $5.5 million for HCO and $1.3 million for PMD. In the third quarter of 2004, revenues consisted of $3.6 million for HCO and $1.4 million for PMD. The increase in HCO revenues related primarily to revenues from the acquisition of DMR of $1.3 million, $410,000 from our Internet-based HLC subscriber base, and $250,000 from growth in add-on courseware revenues. Our subscriber base increased approximately 14%, to approximately 1,130,000 fully implemented subscribers at September 30, 2005 up from approximately 987,000 fully implemented subscribers at September 30, 2004. Revenues from our Internet-based subscription products represented approximately 60% of revenues for the three months ended September 30, 2005 compared to 68% of revenues for the three months ended September 30, 2004. This percentage decrease resulted from the addition of DMR’s revenues, which are not included within our Internet-based product offering. PMD revenues declined approximately $100,000 compared to the prior year quarter. Live event revenues increased approximately $200,000, but were offset by a $300,000 decline in our project-based content development services. The decline in content development services is a result of transitioning our sales efforts to subscription based products and other online delivery methodologies.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expect continued revenue growth during the fourth quarter for HCO, compared to both the fourth quarter 2004 and third quarter 2005, primarily associated with DMR survey revenues, our Internet-based subscription products, and content maintenance services. Revenues associated with DMR are seasonal, with the fourth and first quarters being the strongest. During the fourth quarter, we expect the percentage of total revenues from our Internet-based subscription products to remain comparable to the third quarter. We expect fourth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quarter revenues for PMD to experience modest increases from the levels experienced in the third quarter, and we expect the mix of revenues for PMD to remain comparable to the third quarter.</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approximately $616,000, or 34.7%, to $2.4 million for the three months ended September 30, 2005 from</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for the three months ended September 30, 2004. Cost of revenues as a percentage of revenues decreased to 35.0% of revenues for the three months ended September 30, 2005 from 35.3% of revenues for the three months ended September 30, 2004. The overall increase in cost of revenues resulted primarily from additional costs associated with DMR, increases in personnel travel and increased royalties paid by us associated with the increase in add-on courseware revenues.</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Cost of revenues for HCO increased approximately $720,000 to $1.5 million for the three months ended September 30, 2005 from $745,000 for the three months ended September 30, 2004. Cost of revenues for HCO approximated 26.3% and 20.4% of HCO revenues for the three months ended September 30, 2005 and 2004, respectively. Cost of revenues for HCO increased due to additional costs associated with DMR, increases in personnel expenses and related travel, increased contract labor associated with content maintenance services, as well as an increase in the royalties paid by us to content partners. Cost of revenues for PMD declined approximately $100,000 as compared to the prior year quarter and approximated 60.9% and 63.7% of PMD revenues for the three months ended September 30, 2005 and 2004, respectively. Cost of revenues for PMD decreased as a result of lower personnel expenses and lower direct costs associated with the declines in project-based content development revenues. We expect quarter-to-quarter fluctuations in cost of revenues for PMD due to the seasonality in live event and association activities and the variability related to our project-based content development services.</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(which we define as revenues less cost of revenues divided by revenues) was 65.0%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2005 compared to 64.7% for the three months ended September 30, 2004. Gross margins for HCO were 73.7% and 79.6% for the three months ended September 30, 2005 and 2004, respectively. The decline in gross margins for HCO is a result of lower margins associated with DMR. Gross margins for PMD were 39.1% and 36.3% for the three months ended September 30, 2005 and 2004, respectively.</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$61,000, or 9.2%, to $720,000 for the three months ended September 30, 2005</w:t>
      </w:r>
      <w:r>
        <w:rPr>
          <w:rFonts w:ascii="Arial" w:cs="Arial" w:eastAsia="Arial" w:hAnsi="Arial"/>
          <w:sz w:val="17"/>
          <w:szCs w:val="17"/>
          <w:i w:val="1"/>
          <w:iCs w:val="1"/>
          <w:color w:val="auto"/>
        </w:rPr>
        <w:t xml:space="preserve"> </w:t>
      </w:r>
      <w:r>
        <w:rPr>
          <w:rFonts w:ascii="Arial" w:cs="Arial" w:eastAsia="Arial" w:hAnsi="Arial"/>
          <w:sz w:val="17"/>
          <w:szCs w:val="17"/>
          <w:color w:val="auto"/>
        </w:rPr>
        <w:t>from $659,000 for the three months ended September 30, 2004. This increase resulted from personnel expenses associated with DMR. Product development expenses as a percentage of revenues decreased to 10.5% of revenues for the three months ended September 30, 2005 from 13.1% for the three months ended September 30, 2004. The decrease in the percentage of revenues is a result of the increases in revenues.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 development expenses for HCO increased modestly over the prior year quarter and approximated 10.2% and 14.6% of HCO revenues for the three months ended September 30, 2005 and 2004, respectively. Product development expenses for PMD were comparable to the prior year period and approximated 6.8% and 6.6% of PMD revenues for the three months ended September 30, 2005 and 2004, respectively. The unallocated corporate portion of our product development expenses increased modestly over the prior year period.</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$239,000, or 21.7%, to $1.3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2005 up from $1.1 million for the three months ended September 30, 2004. Sales and marketing expenses approximated 19.6% and 21.8% of revenues for the three months ended September 30, 2005 and 2004, respectively. Sales and marketing expenses for HCO increased approximately $75,000 and approximated 16.6% and 23.2% of HCO revenues for the three months ended September 30, 2005 and 2004, respectively. HCO experienced increases in marketing expenses and expenses associated with DMR, which were partially offset by lower commissions. Sales and marketing expenses for PMD increased approximately $167,000, and approximated 29.2% and 14.9% of PMD revenues for the three months ended September 30, 2005 and 2004, respectively. The increase for PMD is associated with increased sales personnel and commissions. The increase in commissions for PMD resulted from increases in sales order value during the current quarter compared to the prior year quarter.</w:t>
      </w:r>
    </w:p>
    <w:p>
      <w:pPr>
        <w:spacing w:after="0" w:line="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$116,000, or 21.6%, to $652,000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2005 from $537,000 for the three months ended September 30, 2004. The increase is associated with amortization of DMR intangible assets, depreciation of property and equipment, and amortization of capitalized content and feature enhancements.</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increased approximately $42,000, or 3.5%, and approximated $1.2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both the three months ended September 30, 2005 and 2004, respectively. The increase is associated with DMR personnel and office expenses. Other general and administrative expenses as a percentage of revenues decreased to 18.2% for the three months ended September 30, 2005 from 23.9% for the three months ended September 30, 2004. The decrease in the percentage of revenues is a result of the increases in revenues.</w:t>
      </w:r>
    </w:p>
    <w:p>
      <w:pPr>
        <w:spacing w:after="0" w:line="46"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i w:val="1"/>
          <w:iCs w:val="1"/>
          <w:color w:val="auto"/>
        </w:rPr>
        <w:t xml:space="preserve">Other Income/Expense. </w:t>
      </w:r>
      <w:r>
        <w:rPr>
          <w:rFonts w:ascii="Arial" w:cs="Arial" w:eastAsia="Arial" w:hAnsi="Arial"/>
          <w:sz w:val="16"/>
          <w:szCs w:val="16"/>
          <w:color w:val="auto"/>
        </w:rPr>
        <w:t>Other income/expense increased approximately $7,000, or 10.2%, to $72,000 for the three months ended September 30, 2005 from</w:t>
      </w:r>
      <w:r>
        <w:rPr>
          <w:rFonts w:ascii="Arial" w:cs="Arial" w:eastAsia="Arial" w:hAnsi="Arial"/>
          <w:sz w:val="16"/>
          <w:szCs w:val="16"/>
          <w:i w:val="1"/>
          <w:iCs w:val="1"/>
          <w:color w:val="auto"/>
        </w:rPr>
        <w:t xml:space="preserve"> </w:t>
      </w:r>
      <w:r>
        <w:rPr>
          <w:rFonts w:ascii="Arial" w:cs="Arial" w:eastAsia="Arial" w:hAnsi="Arial"/>
          <w:sz w:val="16"/>
          <w:szCs w:val="16"/>
          <w:color w:val="auto"/>
        </w:rPr>
        <w:t>$65,000 for the three months ended September 30, 2004. The increase resulted from an increase in interest income on investments in marketable securities.</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was $554,000 for the three months ended September 30, 2005 compared to a net loss of $177,000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2004. This improvement is a result of the factors mentioned above.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2005 Compared to Nine Months Ended September 30, 2004</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$4.7 million, or 32.0%, to $19.3 million for the nine months ended September 30, 2005 from $14.6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2004. Revenues for the first nine months of 2005 consisted of $14.8 million for HCO and $4.5 million for PMD.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nine months of 2004, revenues consisted of $10.1 million for HCO and $4.5 million for PMD. The increase in HCO revenues related primarily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DMR acquisition of $2.6 million, growth in revenues from our Internet-based HLC subscriber base of $1.6 million, $678,000 from growth in add-on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courseware revenues, and $140,000 from content maintenance services. These HCO revenue increases were partially offset by declines in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maintenance and support fees associated with our installed learning management products of $307,000. PMD revenues were comparable to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although we experienced a change in revenue mix. Revenues from live events and online training content increased $287,000 and $240,000,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These revenue increases were offset by a decline in project-based content development services of $450,000 and other educational services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$161,000. These declines are a result of transitioning our sales efforts to subscription based products and other online delivery methodologies. On a pro forma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taking into consideration the effect of the DMR acquisition as if the acquisition occurred on January 1, 2004, pro forma revenues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2005 would have been $20.7 million compared to $18.1 million for the nine months ended September 30, 2004.</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approximately $1.5 million, or 27.1%, to $6.9 million for the nine months ended September 30, 2005 from</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$5.4 million for the nine months ended September 30, 2004. Cost of revenues as a percentage of revenues decreased to 35.6% of revenues for the nine months ended September 30, 2005 from 37.0% of revenues for the nine months ended September 30, 2004. The increase in cost of revenues resulted from the incremental expenses associated with DMR, increases in personnel expenses and royalties paid by us to content partners, and was partially offset by declines in contract labor and materials associated with declines in content development revenues.</w:t>
      </w:r>
    </w:p>
    <w:p>
      <w:pPr>
        <w:spacing w:after="0" w:line="8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Cost of revenues for HCO increased approximately $1.8 million to $3.8 million for the nine months ended September 30, 2005 from $2.0 million for the nine months ended September 30, 2004. Cost of revenues for HCO approximated 26.0% and 20.1% of HCO revenues for the nine months ended September 30, 2005 and 2004, respectively. Cost of revenues increases for HCO resulted from the additional expenses associated with DMR, an increase in royalties paid by us to content partners, as well as increased personnel expenses and contract labor associated with content maintenance. Cost of revenues for PMD declined $358,000 as compared to the prior year period and approximated 57.2% and 65.0% of PMD revenues for the nine months ended September 30, 2005 and 2004, respectively. Cost of revenues for PMD decreased as a result of lower personnel expenses and lower direct costs associated with the declines in project-based content development revenues, and was partially offset by royalties paid by us to content partners. We expect quarter-to-quarter fluctuations in cost of revenues for PMD due to the seasonality in live event and association activities and the variability related to our project-based content development services.</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(which we define as revenues less cost of revenues divided by revenues) improved to approximately 64.4%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2005 from 63.0% for the nine months ended September 30, 2004. The improvement is a result of the change in revenue mix and related cost of revenues discussed above. Gross margins for HCO were 74.0% and 79.9% for the nine months ended September 30, 2005 and 2004, respectively. The decline for HCO is a result of lower margins associated with DMR. Gross margins for PMD were 42.8% and 35.0% for the nine months ended September 30, 2005 and 2004, respectively. The improvement for PMD is a result of lower revenues and related cost of goods sold from content development services, which have lower margins.</w:t>
      </w:r>
    </w:p>
    <w:p>
      <w:pPr>
        <w:spacing w:after="0" w:line="8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$159,000, or 8.2%, to $2.1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2005 from $1.9 million for the nine months ended September 30, 2004. This increase is primarily related to additional personnel expenses associated with the DMR acquisition. Product development expenses as a percentage of revenues decreased to 10.9% of revenues for the nine months ended September 30, 2005 from 13.3% for the nine months ended September 30, 2004. The decrease in the percentage of revenues is a result of the increases in revenues.</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Product development expenses for HCO increased approximately $77,000 as compared to the prior year period and approximated 11.0% and 15.3% of HCO revenues for the nine months ended September 30, 2005 and 2004, respectively. Product development expenses for PMD were comparable between periods and approximated 6.3% and 6.4% of PMD revenues for the nine months ended September 30, 2005 and 2004, respectively. The unallocated corporate portion of our product development expenses increased approximately $87,000.</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$669,000, or 19.3%, to $4.1 million for the nine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2005 from $3.5 million for the nine months ended September 30, 2004. Sales and marketing expenses approximated 21.3%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23.6% of revenues for the nine months ended September 30, 2005 and 2004, respectively. Sales and marketing expenses for HCO increased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$348,000 and approximated 19.8% and 25.5% of HCO revenues for the nine months ended September 30, 2005 and 2004, respectively. HCO increases were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of the DMR acquisition and increased spending associated with The Summit. Sales and marketing expenses for PMD increased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$316,000 and approximated 22.9% and 15.9% of PMD revenues for the nine months ended September 30, 2005 and 2004, respectively. The increase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increased personnel expenses and commissions.</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$502,000, or 32.8%, to $2.0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2005 from $1.5 million for the nine months ended September 30, 2004. The increase is associated 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property and equipment, amortization of DMR intangible assets, and amortization of capitalized content and feature enhancements.</w:t>
      </w:r>
    </w:p>
    <w:p>
      <w:pPr>
        <w:spacing w:after="0" w:line="1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$120,000, or 3.4%, to $3.7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2005 from $3.6 million for the nine months ended September 30, 2004. The increase is primarily associated with DMR personnel and office expenses. Other general and administrative expenses as a percentage of revenues decreased to 19.1% for the nine months ended September 30, 2005 from 24.4% for the nine months ended September 30, 2004. The decrease in the percentage of revenues is a result of the increases in revenues.</w:t>
      </w:r>
    </w:p>
    <w:p>
      <w:pPr>
        <w:spacing w:after="0" w:line="8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Other Income/Expense. </w:t>
      </w:r>
      <w:r>
        <w:rPr>
          <w:rFonts w:ascii="Arial" w:cs="Arial" w:eastAsia="Arial" w:hAnsi="Arial"/>
          <w:sz w:val="16"/>
          <w:szCs w:val="16"/>
          <w:color w:val="auto"/>
        </w:rPr>
        <w:t>Other income/expense increased approximately $78,000, or 49.1%, to $238,000 for the nine months ended September 30, 2005 from</w:t>
      </w:r>
      <w:r>
        <w:rPr>
          <w:rFonts w:ascii="Arial" w:cs="Arial" w:eastAsia="Arial" w:hAnsi="Arial"/>
          <w:sz w:val="16"/>
          <w:szCs w:val="16"/>
          <w:i w:val="1"/>
          <w:iCs w:val="1"/>
          <w:color w:val="auto"/>
        </w:rPr>
        <w:t xml:space="preserve"> </w:t>
      </w:r>
      <w:r>
        <w:rPr>
          <w:rFonts w:ascii="Arial" w:cs="Arial" w:eastAsia="Arial" w:hAnsi="Arial"/>
          <w:sz w:val="16"/>
          <w:szCs w:val="16"/>
          <w:color w:val="auto"/>
        </w:rPr>
        <w:t>$160,000 for the nine months ended September 30, 2004. The increase resulted from an increase in interest income on investments in marketable securities.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was $721,000 for the nine months ended September 30, 2005 compared to a net loss of $1.1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2004. This improvement is a result of the factors mentioned above. On a pro forma basis, as if the DMR acquisition occurred on January 1, 2004, pro forma net income would have been $1.2 million for the nine months ended September 30, 2005 compared to a pro forma net loss of $347,000 for the nine months ended September 30,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Net cash provided by operating activities was approximately $2.7 million during the nine months ended September 30, 2005 compared to $59,000 during the nine months ended September 30, 2004. The increase over the prior year was primarily related to the improvement from a net loss in 2004 of $1.1 million to net income of $721,000 in 2005, in addition to cash receipts from commercial support grants, a decline in accounts receivable (net of acquired balances from DMR), and an increase in accounts payable. These cash increases were partially offset by the expenditures associated with the development of content and other prepaid assets, increases in unbilled receivables, and payments related to accrued liabilities. Days sales outstanding, or the number of days it takes to collect accounts receivable, increased compared to the prior year, approximating 60 days for the nine months ended September 30, 2005 compared to 57 days for the nine months ended September 30, 2004. The increase in days sales outstanding is a result of slower collections during the third quarter of 2005 from certain PMD customers. The Company calculates days sales outstanding by dividing the accounts receivable balance (excluding unbilled and other receivables) by average daily revenues for the period. During the nine months ended September 30, 2004, the primary sources of cash resulted from reduced net loss, cash receipts from commercial support grants and increases in deferred revenue and accrued liabilities. These cash increases were partially offset by an increase in accounts receivable and the purchases of content and other prepaid assets.</w:t>
      </w:r>
    </w:p>
    <w:p>
      <w:pPr>
        <w:spacing w:after="0" w:line="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Net cash provided by investing activities was approximately $117,000 during the nine months ended September 30, 2005 compared to $672,000 used in investing activities during the nine months ended September 30, 2004. The primary uses of cash during the nine months ended September 30, 2005 related to cash paid in connection with the acquisition of DMR of $9.4 million, $5.8 million in purchases of investments in marketable securities and $657,000 of property and equipment acquisitions. These uses of cash were offset by $15.9 million of proceeds from the sale and maturity of investments in marketable securities. Property and equipment acquisitions related to hardware and software to support the growth of our product infrastructure, primarily our Internet-based learning platform. During the nine months ended September 30, 2004, we received proceeds of $15.9 million from the maturity of investments in marketable securities and $233,000 in proceeds from collection of a note receivable — related party, which was offset by $15.5 million in purchases of investments in marketable securities and $1.4 million in property and equipment acquisitions.</w:t>
      </w:r>
    </w:p>
    <w:p>
      <w:pPr>
        <w:spacing w:after="0" w:line="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Cash provided by financing activities was approximately $747,000 for the nine months ended September 30, 2005 compared to $164,000 during the nine months ended September 30, 2004. Cash provided by financing activities during 2005 consisted of proceeds from the exercise of stock options of $646,000 and $159,000 associated with the issuance of common stock pursuant to our Employee Stock Purchase Plan, and was partially offset by payments under capital lease obligations of $59,000. Cash provided by financing activities during the nine months ended September 30, 2004 consisted of proceeds from the exercise of stock options of $128,000 and $77,000 associated with the issuance of common stock pursuant to our Employee Stock Purchase Plan, and was partially offset by payments under capital lease obligations of $41,000.</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2005, our primary source of liquidity was $9.9 million of cash and cash equivalents, restricted cash, investments in marketable securities, and interest receivable. We have no bank credit facility or other indebtedness other than capital lease obligations. As of October 31, 2005, we had cash and cash equivalents, restricted cash, investments in marketable securities, and interest receivable of approximately $10.3 million.</w:t>
      </w:r>
    </w:p>
    <w:p>
      <w:pPr>
        <w:spacing w:after="0" w:line="5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believe that our existing cash and cash equivalents, restricted cash, and related interest receivable will be sufficient to meet anticipated cash needs for working capital, new product development and capital expenditures for at least the next 12 months. Failure to generate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sufficient cash flow from operations or raise additional capital when required during or following that period in sufficient amounts and on terms acceptable to us could harm our business, financial condition and results of operations. Our growth strategy may also include acquiring companies that complement our products and services. We anticipate that these acquisitions, if any, will be effected through a combination of stock and cash consideration. The issuance of stock would have a dilutive effect and could adversely affect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content and capital expenditures will range between $0.5 and $1.0 million for the remainder of 2005.</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strategic alliances have typically provided for payments to content and distribution partners and development partners based on revenues, and we expect to continue similar arrangements in the future. We have capital lease obligations and operating lease commitments for our operating facilities in Nashville, TN, Franklin, TN, and Denver, CO, and a closed facility in Dallas, TX. We entered into capital lease arrangements during the three months ended September 30, 2005 that include future payments of approximately $17,000 over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 from changes in interest rates. We do not have any commodity price risk. As of September 30, 2005, we had no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indebtedness other than approximately $321,000 of capital lease obligations. Accordingly, we are not exposed to significant market risk. We are exposed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risk with respect to the cash and cash equivalents and marketable securities in which we invest. At October 31, 2005, we had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 million of cash and cash equivalents, restricted cash, investments in marketable securities, and accrued interest that was invested in a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short term investments. Current investment rates of return approximate 3-4%. Assuming a 3.5% rate of return on $10.3 million of investments, a hypothetical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decrease in interest rates would decrease interest income and decrease net income on an annualized basis by approximately $36,000.</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manage our investment risk by investing in corporate debt securities, foreign corporate debt and secured corporate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We also require that all securities must mature within 24 months from the original settlement date, the average portfolio shall not exceed 18 months, and the greater of 10% or $5.0 million shall mature within 90 days. Further, our investment policy also limits concentration exposure and other potential risk areas.</w:t>
      </w:r>
    </w:p>
    <w:p>
      <w:pPr>
        <w:spacing w:after="0" w:line="6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effectively and timely provide them with material information relating to HealthStream required to be disclosed in the reports it files or submits under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By: /s/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Arthur E. Newman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November 14, 2005</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19" w:right="1440" w:bottom="1440" w:gutter="0" w:footer="0" w:header="0"/>
        </w:sectPr>
      </w:pPr>
    </w:p>
    <w:bookmarkStart w:id="22" w:name="page23"/>
    <w:bookmarkEnd w:id="22"/>
    <w:p>
      <w:pPr>
        <w:ind w:left="3580"/>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A. Frist, Jr., certify that:</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9" w:lineRule="exact"/>
        <w:rPr>
          <w:sz w:val="20"/>
          <w:szCs w:val="20"/>
          <w:color w:val="auto"/>
        </w:rPr>
      </w:pPr>
    </w:p>
    <w:p>
      <w:pPr>
        <w:ind w:right="1879" w:firstLine="8"/>
        <w:spacing w:after="0" w:line="273"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right="1879" w:firstLine="8"/>
        <w:spacing w:after="0" w:line="273"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8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sz w:val="20"/>
          <w:szCs w:val="20"/>
          <w:color w:val="auto"/>
        </w:rPr>
      </w:pPr>
    </w:p>
    <w:p>
      <w:pPr>
        <w:ind w:right="231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14,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Frist, Jr.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4240" w:space="720"/>
            <w:col w:w="5259"/>
          </w:cols>
          <w:pgMar w:left="240" w:top="541" w:right="1440" w:bottom="1440" w:gutter="0" w:footer="0" w:header="0"/>
          <w:type w:val="continuous"/>
        </w:sectPr>
      </w:pPr>
    </w:p>
    <w:bookmarkStart w:id="23" w:name="page24"/>
    <w:bookmarkEnd w:id="23"/>
    <w:p>
      <w:pPr>
        <w:ind w:left="3580"/>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Arthur E. Newman, certify that:</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9" w:lineRule="exact"/>
        <w:rPr>
          <w:sz w:val="20"/>
          <w:szCs w:val="20"/>
          <w:color w:val="auto"/>
        </w:rPr>
      </w:pPr>
    </w:p>
    <w:p>
      <w:pPr>
        <w:ind w:right="1879" w:firstLine="8"/>
        <w:spacing w:after="0" w:line="273"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right="1879" w:firstLine="8"/>
        <w:spacing w:after="0" w:line="273"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879" w:firstLine="8"/>
        <w:spacing w:after="0" w:line="237"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sz w:val="20"/>
          <w:szCs w:val="20"/>
          <w:color w:val="auto"/>
        </w:rPr>
      </w:pPr>
    </w:p>
    <w:p>
      <w:pPr>
        <w:ind w:right="231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E. Newman</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540" w:space="200"/>
            <w:col w:w="3080" w:space="720"/>
            <w:col w:w="5679"/>
          </w:cols>
          <w:pgMar w:left="240" w:top="541" w:right="1440" w:bottom="1440" w:gutter="0" w:footer="0" w:header="0"/>
          <w:type w:val="continuous"/>
        </w:sectPr>
      </w:pPr>
    </w:p>
    <w:bookmarkStart w:id="24" w:name="page25"/>
    <w:bookmarkEnd w:id="24"/>
    <w:p>
      <w:pPr>
        <w:ind w:left="3580"/>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HealthStream, Inc. (the "Company") on Form 10-Q for the period ending September 30, 2005,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210" w:lineRule="exact"/>
        <w:rPr>
          <w:sz w:val="20"/>
          <w:szCs w:val="20"/>
          <w:color w:val="auto"/>
        </w:rPr>
      </w:pPr>
    </w:p>
    <w:p>
      <w:pPr>
        <w:ind w:left="1280" w:right="18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Robert A. Frist, Jr. Chief Executive Officer November 14, 2005</w:t>
      </w:r>
    </w:p>
    <w:p>
      <w:pPr>
        <w:sectPr>
          <w:pgSz w:w="11900" w:h="16838" w:orient="portrait"/>
          <w:cols w:equalWidth="0" w:num="1">
            <w:col w:w="10219"/>
          </w:cols>
          <w:pgMar w:left="240" w:top="541" w:right="1440" w:bottom="1440" w:gutter="0" w:footer="0" w:header="0"/>
        </w:sectPr>
      </w:pPr>
    </w:p>
    <w:bookmarkStart w:id="25" w:name="page26"/>
    <w:bookmarkEnd w:id="25"/>
    <w:p>
      <w:pPr>
        <w:ind w:left="358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HealthStream, Inc. (the "Company") on Form 10-Q for the period ending September 30, 2005, as filed with the Securities and Exchange Commission on the date hereof (the "Report"), Arthur E. Newman, Chief Financial Officer of the Company certifies, pursuant to 18 U.S.C. Section 1350, as adopted pursuant to Section 906 of the Sarbanes-Oxley Act of 2002, that:</w:t>
      </w:r>
    </w:p>
    <w:p>
      <w:pPr>
        <w:spacing w:after="0" w:line="210" w:lineRule="exact"/>
        <w:rPr>
          <w:sz w:val="20"/>
          <w:szCs w:val="20"/>
          <w:color w:val="auto"/>
        </w:rPr>
      </w:pPr>
    </w:p>
    <w:p>
      <w:pPr>
        <w:ind w:left="1280" w:right="18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Arthur E. Newman</w:t>
      </w:r>
    </w:p>
    <w:p>
      <w:pPr>
        <w:spacing w:after="0" w:line="4" w:lineRule="exact"/>
        <w:rPr>
          <w:rFonts w:ascii="Courier New" w:cs="Courier New" w:eastAsia="Courier New" w:hAnsi="Courier New"/>
          <w:sz w:val="18"/>
          <w:szCs w:val="18"/>
          <w:color w:val="auto"/>
        </w:rPr>
      </w:pPr>
    </w:p>
    <w:p>
      <w:pPr>
        <w:ind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November 14,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2019-12-15T00:50:45Z</dcterms:created>
  <dcterms:modified xsi:type="dcterms:W3CDTF">2019-12-15T00:50:45Z</dcterms:modified>
</cp:coreProperties>
</file>