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4"/>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4640" w:type="dxa"/>
            <w:vAlign w:val="bottom"/>
          </w:tcPr>
          <w:p>
            <w:pPr>
              <w:jc w:val="center"/>
              <w:ind w:left="694"/>
              <w:spacing w:after="0"/>
              <w:rPr>
                <w:sz w:val="20"/>
                <w:szCs w:val="20"/>
                <w:color w:val="auto"/>
              </w:rPr>
            </w:pPr>
            <w:r>
              <w:rPr>
                <w:rFonts w:ascii="Arial" w:cs="Arial" w:eastAsia="Arial" w:hAnsi="Arial"/>
                <w:sz w:val="18"/>
                <w:szCs w:val="18"/>
                <w:b w:val="1"/>
                <w:bCs w:val="1"/>
                <w:color w:val="auto"/>
                <w:w w:val="81"/>
              </w:rPr>
              <w:t>Tennessee</w:t>
            </w:r>
          </w:p>
        </w:tc>
        <w:tc>
          <w:tcPr>
            <w:tcW w:w="678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4640" w:type="dxa"/>
            <w:vAlign w:val="bottom"/>
            <w:tcBorders>
              <w:top w:val="single" w:sz="8" w:color="auto"/>
            </w:tcBorders>
          </w:tcPr>
          <w:p>
            <w:pPr>
              <w:jc w:val="center"/>
              <w:ind w:left="694"/>
              <w:spacing w:after="0"/>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40" w:type="dxa"/>
            <w:vAlign w:val="bottom"/>
          </w:tcPr>
          <w:p>
            <w:pPr>
              <w:jc w:val="center"/>
              <w:ind w:left="694"/>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4640" w:type="dxa"/>
            <w:vAlign w:val="bottom"/>
          </w:tcPr>
          <w:p>
            <w:pPr>
              <w:jc w:val="center"/>
              <w:ind w:left="694"/>
              <w:spacing w:after="0"/>
              <w:rPr>
                <w:sz w:val="20"/>
                <w:szCs w:val="20"/>
                <w:color w:val="auto"/>
              </w:rPr>
            </w:pPr>
            <w:r>
              <w:rPr>
                <w:rFonts w:ascii="Arial" w:cs="Arial" w:eastAsia="Arial" w:hAnsi="Arial"/>
                <w:sz w:val="18"/>
                <w:szCs w:val="18"/>
                <w:b w:val="1"/>
                <w:bCs w:val="1"/>
                <w:color w:val="auto"/>
                <w:w w:val="89"/>
              </w:rPr>
              <w:t>209 10th Avenue South, Suite 450</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4640" w:type="dxa"/>
            <w:vAlign w:val="bottom"/>
          </w:tcPr>
          <w:p>
            <w:pPr>
              <w:jc w:val="center"/>
              <w:ind w:left="694"/>
              <w:spacing w:after="0"/>
              <w:rPr>
                <w:sz w:val="20"/>
                <w:szCs w:val="20"/>
                <w:color w:val="auto"/>
              </w:rPr>
            </w:pPr>
            <w:r>
              <w:rPr>
                <w:rFonts w:ascii="Arial" w:cs="Arial" w:eastAsia="Arial" w:hAnsi="Arial"/>
                <w:sz w:val="18"/>
                <w:szCs w:val="18"/>
                <w:b w:val="1"/>
                <w:bCs w:val="1"/>
                <w:color w:val="auto"/>
                <w:w w:val="85"/>
              </w:rPr>
              <w:t>Nashville, Tennessee</w:t>
            </w:r>
          </w:p>
        </w:tc>
        <w:tc>
          <w:tcPr>
            <w:tcW w:w="6780" w:type="dxa"/>
            <w:vAlign w:val="bottom"/>
            <w:gridSpan w:val="3"/>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4640" w:type="dxa"/>
            <w:vAlign w:val="bottom"/>
            <w:tcBorders>
              <w:top w:val="single" w:sz="8" w:color="auto"/>
            </w:tcBorders>
          </w:tcPr>
          <w:p>
            <w:pPr>
              <w:jc w:val="center"/>
              <w:ind w:left="674"/>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31"/>
        </w:trPr>
        <w:tc>
          <w:tcPr>
            <w:tcW w:w="4640" w:type="dxa"/>
            <w:vAlign w:val="bottom"/>
          </w:tcPr>
          <w:p>
            <w:pPr>
              <w:spacing w:after="0"/>
              <w:rPr>
                <w:sz w:val="24"/>
                <w:szCs w:val="24"/>
                <w:color w:val="auto"/>
              </w:rPr>
            </w:pPr>
          </w:p>
        </w:tc>
        <w:tc>
          <w:tcPr>
            <w:tcW w:w="6780" w:type="dxa"/>
            <w:vAlign w:val="bottom"/>
            <w:gridSpan w:val="3"/>
          </w:tcPr>
          <w:p>
            <w:pPr>
              <w:jc w:val="center"/>
              <w:ind w:right="4530"/>
              <w:spacing w:after="0"/>
              <w:rPr>
                <w:sz w:val="20"/>
                <w:szCs w:val="20"/>
                <w:color w:val="auto"/>
              </w:rPr>
            </w:pPr>
            <w:r>
              <w:rPr>
                <w:rFonts w:ascii="Arial" w:cs="Arial" w:eastAsia="Arial" w:hAnsi="Arial"/>
                <w:sz w:val="18"/>
                <w:szCs w:val="18"/>
                <w:b w:val="1"/>
                <w:bCs w:val="1"/>
                <w:color w:val="auto"/>
                <w:w w:val="90"/>
              </w:rPr>
              <w:t>(615) 301-3100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-7620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97" w:lineRule="exact"/>
        <w:rPr>
          <w:sz w:val="24"/>
          <w:szCs w:val="24"/>
          <w:color w:val="auto"/>
        </w:rPr>
      </w:pPr>
    </w:p>
    <w:p>
      <w:pPr>
        <w:sectPr>
          <w:pgSz w:w="11900" w:h="16838" w:orient="portrait"/>
          <w:cols w:equalWidth="0" w:num="4">
            <w:col w:w="1840" w:space="720"/>
            <w:col w:w="1400" w:space="720"/>
            <w:col w:w="3800" w:space="720"/>
            <w:col w:w="2220"/>
          </w:cols>
          <w:pgMar w:left="240" w:top="522"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2">
            <w:col w:w="8620" w:space="140"/>
            <w:col w:w="2660"/>
          </w:cols>
          <w:pgMar w:left="240" w:top="5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November 5, 2010, 21,805,210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76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10040" w:type="dxa"/>
            <w:vAlign w:val="bottom"/>
            <w:vMerge w:val="restart"/>
          </w:tcPr>
          <w:p>
            <w:pPr>
              <w:ind w:left="120"/>
              <w:spacing w:after="0"/>
              <w:rPr>
                <w:sz w:val="20"/>
                <w:szCs w:val="20"/>
                <w:color w:val="auto"/>
              </w:rPr>
            </w:pPr>
            <w:r>
              <w:rPr>
                <w:rFonts w:ascii="Arial" w:cs="Arial" w:eastAsia="Arial" w:hAnsi="Arial"/>
                <w:sz w:val="18"/>
                <w:szCs w:val="18"/>
                <w:color w:val="auto"/>
              </w:rPr>
              <w:t>Financial Information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95"/>
        </w:trPr>
        <w:tc>
          <w:tcPr>
            <w:tcW w:w="760" w:type="dxa"/>
            <w:vAlign w:val="bottom"/>
            <w:vMerge w:val="continue"/>
          </w:tcPr>
          <w:p>
            <w:pPr>
              <w:spacing w:after="0"/>
              <w:rPr>
                <w:sz w:val="16"/>
                <w:szCs w:val="16"/>
                <w:color w:val="auto"/>
              </w:rPr>
            </w:pPr>
          </w:p>
        </w:tc>
        <w:tc>
          <w:tcPr>
            <w:tcW w:w="100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Condensed Consolidated Balance Sheets — September 30, 2010 (Unaudited) and December 31, 2009</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Condensed Consolidated Statements of Income (Unaudited) — Three Months ended September 30, 2010 and 2009</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Condensed Consolidated Statements of Income (Unaudited) — Nine Months ended September 30, 2010 and 2009</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Condensed Consolidated Statement of Shareholders’ Equity (Unaudited) — Nine Months ended September 30, 2010</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Condensed Consolidated Statements of Cash Flows (Unaudited) — Nine Months ended September 30, 2010 and 2009</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Notes to Condensed Consolidated Financial Statements</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1004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4T.</w:t>
            </w:r>
          </w:p>
        </w:tc>
        <w:tc>
          <w:tcPr>
            <w:tcW w:w="1004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Part II.</w:t>
            </w:r>
          </w:p>
        </w:tc>
        <w:tc>
          <w:tcPr>
            <w:tcW w:w="1004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1004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tcPr>
          <w:p>
            <w:pPr>
              <w:ind w:left="120"/>
              <w:spacing w:after="0"/>
              <w:rPr>
                <w:sz w:val="20"/>
                <w:szCs w:val="20"/>
                <w:color w:val="auto"/>
              </w:rPr>
            </w:pPr>
            <w:r>
              <w:rPr>
                <w:rFonts w:ascii="Arial" w:cs="Arial" w:eastAsia="Arial" w:hAnsi="Arial"/>
                <w:sz w:val="18"/>
                <w:szCs w:val="18"/>
                <w:color w:val="auto"/>
              </w:rPr>
              <w:t>Exhibits</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040" w:type="dxa"/>
            <w:vAlign w:val="bottom"/>
          </w:tcPr>
          <w:p>
            <w:pPr>
              <w:ind w:left="120"/>
              <w:spacing w:after="0"/>
              <w:rPr>
                <w:sz w:val="20"/>
                <w:szCs w:val="20"/>
                <w:color w:val="auto"/>
              </w:rPr>
            </w:pPr>
            <w:r>
              <w:rPr>
                <w:rFonts w:ascii="Arial" w:cs="Arial" w:eastAsia="Arial" w:hAnsi="Arial"/>
                <w:sz w:val="18"/>
                <w:szCs w:val="18"/>
                <w:color w:val="auto"/>
              </w:rPr>
              <w:t>Signature</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32"/>
        </w:trPr>
        <w:tc>
          <w:tcPr>
            <w:tcW w:w="76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21,443,367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12,287,059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42,843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$110,636 and $140,559 at September 30, 2010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10,977,078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1,584,906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2,734,787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1,769,951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460,492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1,104,357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40,117,781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29,890,859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13,449,618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14,121,140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2,085,458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1,821,832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17,356,908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17,815,312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(14,963,299)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(14,881,423)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2,393,609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$5,417,767 and $3,993,689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and 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4,343,978</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21,146,864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Intangible assets, net of accumulated amortization of $7,806,352 and $7,096,196 at September 30, 2010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3,080,790</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6,383,890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298,276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77,765,188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822,254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2,841,541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961,360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194,135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17,103,363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12,233,876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21,928,592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19,177,014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477,949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no par value, 75,000,000 shares authorized; 21,760,210 and 21,623,350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2010 and December 31, 2009,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96,994,032</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96,406,765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(41,635,385)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(44,585,861)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55,358,647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51,820,904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77,765,188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16,616,445</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14,105,033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6,274,483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1,749,876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3,357,956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2,401,599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2,067,473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1,142,536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1,305,351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14,926,450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13,025,572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1,689,995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1,079,461</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(9,832)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439"/>
        </w:trPr>
        <w:tc>
          <w:tcPr>
            <w:tcW w:w="8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1,684,465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1,070,412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888,562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47,315</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795,903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21,806,581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21,464,317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22,510,679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21,931,952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48,114,166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42,307,763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17,642,842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15,903,678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4,998,970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4,602,008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9,368,641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7,940,101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6,885,537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6,163,078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3,768,795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3,821,716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42,664,785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38,430,581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5,449,381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3,877,182</w:t>
            </w: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(31,149)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(18,347)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439"/>
        </w:trPr>
        <w:tc>
          <w:tcPr>
            <w:tcW w:w="8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5,431,034</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3,865,178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2,480,558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236,435</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2,950,476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3,628,743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21,759,301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21,409,725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22,357,918</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21,708,521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r>
      <w:tr>
        <w:trPr>
          <w:trHeight w:val="171"/>
        </w:trPr>
        <w:tc>
          <w:tcPr>
            <w:tcW w:w="552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3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21,623,350</w:t>
            </w:r>
          </w:p>
        </w:tc>
        <w:tc>
          <w:tcPr>
            <w:tcW w:w="3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$96,406,765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(44,585,861)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51,820,904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2,950,476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2,950,476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498,153</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498,153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(77,790)</w:t>
            </w: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(379,418)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(379,418)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214,650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468,532</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468,532</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Balance at September 30, 2010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21,760,210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96,994,032</w:t>
            </w: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(41,635,385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55,358,647</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71"/>
        </w:trPr>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2,950,476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3,628,743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3,768,795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3,821,716</w:t>
            </w: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498,153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454,568</w:t>
            </w: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2,338,200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62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w w:val="93"/>
              </w:rPr>
              <w:t>(1,366,249)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(1,460,386)</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23,012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(5,277)</w:t>
            </w:r>
          </w:p>
        </w:tc>
      </w:tr>
      <w:tr>
        <w:trPr>
          <w:trHeight w:val="216"/>
        </w:trPr>
        <w:tc>
          <w:tcPr>
            <w:tcW w:w="8780" w:type="dxa"/>
            <w:vAlign w:val="bottom"/>
          </w:tcPr>
          <w:p>
            <w:pPr>
              <w:ind w:left="620"/>
              <w:spacing w:after="0"/>
              <w:rPr>
                <w:sz w:val="20"/>
                <w:szCs w:val="20"/>
                <w:color w:val="auto"/>
              </w:rPr>
            </w:pPr>
            <w:r>
              <w:rPr>
                <w:rFonts w:ascii="Arial" w:cs="Arial" w:eastAsia="Arial" w:hAnsi="Arial"/>
                <w:sz w:val="18"/>
                <w:szCs w:val="18"/>
                <w:color w:val="auto"/>
              </w:rPr>
              <w:t>Prepaid royalties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314,203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(26,633)</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Prepaid development fees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(286,442)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(121,264)</w:t>
            </w:r>
          </w:p>
        </w:tc>
      </w:tr>
      <w:tr>
        <w:trPr>
          <w:trHeight w:val="216"/>
        </w:trPr>
        <w:tc>
          <w:tcPr>
            <w:tcW w:w="8780" w:type="dxa"/>
            <w:vAlign w:val="bottom"/>
          </w:tcPr>
          <w:p>
            <w:pPr>
              <w:ind w:left="62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(115,967)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(152,548)</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133,188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69,996</w:t>
            </w:r>
          </w:p>
        </w:tc>
      </w:tr>
      <w:tr>
        <w:trPr>
          <w:trHeight w:val="216"/>
        </w:trPr>
        <w:tc>
          <w:tcPr>
            <w:tcW w:w="878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(729,847)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(683,696)</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(921,497)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800,230</w:t>
            </w:r>
          </w:p>
        </w:tc>
      </w:tr>
      <w:tr>
        <w:trPr>
          <w:trHeight w:val="216"/>
        </w:trPr>
        <w:tc>
          <w:tcPr>
            <w:tcW w:w="8780" w:type="dxa"/>
            <w:vAlign w:val="bottom"/>
          </w:tcPr>
          <w:p>
            <w:pPr>
              <w:ind w:left="62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(156,657)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(240,606)</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477,949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tcPr>
          <w:p>
            <w:pPr>
              <w:ind w:left="6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4,869,487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1,780,463</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11,817,815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8,015,725</w:t>
            </w:r>
          </w:p>
        </w:tc>
      </w:tr>
      <w:tr>
        <w:trPr>
          <w:trHeight w:val="439"/>
        </w:trPr>
        <w:tc>
          <w:tcPr>
            <w:tcW w:w="87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3"/>
              </w:rPr>
              <w:t>(1,586,197)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(846,661)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(850,154)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(823,433)</w:t>
            </w:r>
          </w:p>
        </w:tc>
      </w:tr>
      <w:tr>
        <w:trPr>
          <w:trHeight w:val="27"/>
        </w:trPr>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3"/>
              </w:rPr>
              <w:t>(2,436,351)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(1,770,094)</w:t>
            </w:r>
          </w:p>
        </w:tc>
      </w:tr>
      <w:tr>
        <w:trPr>
          <w:trHeight w:val="439"/>
        </w:trPr>
        <w:tc>
          <w:tcPr>
            <w:tcW w:w="878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468,532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310,134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(379,418)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(306,942)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(541,417)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(15,952)</w:t>
            </w:r>
          </w:p>
        </w:tc>
      </w:tr>
      <w:tr>
        <w:trPr>
          <w:trHeight w:val="27"/>
        </w:trPr>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(225,156)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(247,235)</w:t>
            </w:r>
          </w:p>
        </w:tc>
      </w:tr>
      <w:tr>
        <w:trPr>
          <w:trHeight w:val="439"/>
        </w:trPr>
        <w:tc>
          <w:tcPr>
            <w:tcW w:w="87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9,156,308</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5,998,396</w:t>
            </w:r>
          </w:p>
        </w:tc>
        <w:tc>
          <w:tcPr>
            <w:tcW w:w="100" w:type="dxa"/>
            <w:vAlign w:val="bottom"/>
          </w:tcPr>
          <w:p>
            <w:pPr>
              <w:spacing w:after="0"/>
              <w:rPr>
                <w:sz w:val="24"/>
                <w:szCs w:val="24"/>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12,287,059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4,106,612</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21,443,367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10,105,008</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2010 are not necessarily indicative of the results that may be expected for the year ending December 31, 2010.</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2009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2009 (included in the Company’s Annual Report on Form 10-K, filed with the Securities and Exchange Commission on March 26,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2009, the Financial Accounting Standards Board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adoption of the guidance did not have an effect on the Company’s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nine months ended September 30, 2010 and 2009, the Company recorded a provision for income taxes of $2,480,558 and $236,435, respectively. The Company’s effective tax rate for the nine months ended September 30, 2010 was 45.7%. The Company’s effective tax rate primarily reflects the statutory corporate income tax rate, the net effect of state taxes, and the effect of various permanent tax differences. The Company’s effective tax rate for the nine months ended September 30, 2009 was substantially less than the statutory rate because the Company previously maintained a valuation allowance for its net operating loss (“NOL”) carryforwards and other deferred tax assets. The Company released substantially all of its valuation allowance against its deferred tax assets at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The Company uses the Black Scholes option pricing model for calculating the fair value of awards issued under its stock based compensation plans. During the nine months ended September 30, 2010, the Company granted 319,000 stock options with a weighted average grant date fair value of $2.07. During the nine months ended September 30, 2009, the Company granted 289,000 stock options with a weighted average grant date fair value of $1.17. The fair value of stock based awards granted during the nine months ended September 30, 2010 and 2009 was estimated using the Black Scholes option pricing model, with the assumptions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40" w:type="dxa"/>
            <w:vAlign w:val="bottom"/>
            <w:gridSpan w:val="5"/>
          </w:tcPr>
          <w:p>
            <w:pPr>
              <w:jc w:val="center"/>
              <w:ind w:right="160"/>
              <w:spacing w:after="0"/>
              <w:rPr>
                <w:sz w:val="20"/>
                <w:szCs w:val="20"/>
                <w:color w:val="auto"/>
              </w:rPr>
            </w:pPr>
            <w:r>
              <w:rPr>
                <w:rFonts w:ascii="Arial" w:cs="Arial" w:eastAsia="Arial" w:hAnsi="Arial"/>
                <w:sz w:val="14"/>
                <w:szCs w:val="14"/>
                <w:color w:val="auto"/>
                <w:w w:val="94"/>
              </w:rPr>
              <w:t>Nine Months Ended</w:t>
            </w:r>
          </w:p>
        </w:tc>
      </w:tr>
      <w:tr>
        <w:trPr>
          <w:trHeight w:val="149"/>
        </w:trPr>
        <w:tc>
          <w:tcPr>
            <w:tcW w:w="37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80" w:type="dxa"/>
            <w:vAlign w:val="bottom"/>
            <w:gridSpan w:val="3"/>
          </w:tcPr>
          <w:p>
            <w:pPr>
              <w:jc w:val="center"/>
              <w:ind w:left="724"/>
              <w:spacing w:after="0" w:line="149" w:lineRule="exact"/>
              <w:rPr>
                <w:sz w:val="20"/>
                <w:szCs w:val="20"/>
                <w:color w:val="auto"/>
              </w:rPr>
            </w:pPr>
            <w:r>
              <w:rPr>
                <w:rFonts w:ascii="Arial" w:cs="Arial" w:eastAsia="Arial" w:hAnsi="Arial"/>
                <w:sz w:val="14"/>
                <w:szCs w:val="14"/>
                <w:color w:val="auto"/>
                <w:w w:val="91"/>
              </w:rPr>
              <w:t>September 30,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7"/>
        </w:trPr>
        <w:tc>
          <w:tcPr>
            <w:tcW w:w="37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2010</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2.39 - 2.49%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1.73 - 3.22%</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640" w:type="dxa"/>
            <w:vAlign w:val="bottom"/>
            <w:gridSpan w:val="3"/>
          </w:tcPr>
          <w:p>
            <w:pPr>
              <w:jc w:val="right"/>
              <w:ind w:right="5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50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5 - 7 years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5 - 7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640" w:type="dxa"/>
            <w:vAlign w:val="bottom"/>
            <w:gridSpan w:val="3"/>
          </w:tcPr>
          <w:p>
            <w:pPr>
              <w:jc w:val="right"/>
              <w:ind w:right="54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405"/>
        </w:trPr>
        <w:tc>
          <w:tcPr>
            <w:tcW w:w="3720" w:type="dxa"/>
            <w:vAlign w:val="bottom"/>
          </w:tcPr>
          <w:p>
            <w:pPr>
              <w:spacing w:after="0"/>
              <w:rPr>
                <w:sz w:val="24"/>
                <w:szCs w:val="24"/>
                <w:color w:val="auto"/>
              </w:rPr>
            </w:pPr>
          </w:p>
        </w:tc>
        <w:tc>
          <w:tcPr>
            <w:tcW w:w="5060" w:type="dxa"/>
            <w:vAlign w:val="bottom"/>
          </w:tcPr>
          <w:p>
            <w:pPr>
              <w:jc w:val="right"/>
              <w:ind w:right="2930"/>
              <w:spacing w:after="0"/>
              <w:rPr>
                <w:sz w:val="20"/>
                <w:szCs w:val="20"/>
                <w:color w:val="auto"/>
              </w:rPr>
            </w:pPr>
            <w:r>
              <w:rPr>
                <w:rFonts w:ascii="Arial" w:cs="Arial" w:eastAsia="Arial" w:hAnsi="Arial"/>
                <w:sz w:val="18"/>
                <w:szCs w:val="18"/>
                <w:color w:val="auto"/>
              </w:rPr>
              <w:t>6</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2010 and 2009, which is recorded in the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60"/>
              <w:spacing w:after="0"/>
              <w:rPr>
                <w:sz w:val="20"/>
                <w:szCs w:val="20"/>
                <w:color w:val="auto"/>
              </w:rPr>
            </w:pPr>
            <w:r>
              <w:rPr>
                <w:rFonts w:ascii="Arial" w:cs="Arial" w:eastAsia="Arial" w:hAnsi="Arial"/>
                <w:sz w:val="14"/>
                <w:szCs w:val="14"/>
                <w:color w:val="auto"/>
              </w:rPr>
              <w:t>Nine Months Ended</w:t>
            </w:r>
          </w:p>
        </w:tc>
      </w:tr>
      <w:tr>
        <w:trPr>
          <w:trHeight w:val="149"/>
        </w:trPr>
        <w:tc>
          <w:tcPr>
            <w:tcW w:w="5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2010</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Product development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31,865</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95,817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93,341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40,043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44,621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126,095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132,372</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248,324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207,065</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165,603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158,167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498,153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454,568</w:t>
            </w:r>
          </w:p>
        </w:tc>
      </w:tr>
      <w:tr>
        <w:trPr>
          <w:trHeight w:val="20"/>
        </w:trPr>
        <w:tc>
          <w:tcPr>
            <w:tcW w:w="5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0.3 million and 0.5 million for the three and nine months ended September 30, 2010, respectively, and approximately 1.0 million and 1.8 million for the three and nine months ended September 30, 2009,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per share for the three and nine months ended September 30, 2010 and 2009: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6"/>
          </w:tcPr>
          <w:p>
            <w:pPr>
              <w:jc w:val="right"/>
              <w:ind w:right="142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795,903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1,023,097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2,950,476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3,628,743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21,806,581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21,464,317</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21,759,301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21,409,725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00"/>
              <w:spacing w:after="0"/>
              <w:rPr>
                <w:sz w:val="20"/>
                <w:szCs w:val="20"/>
                <w:color w:val="auto"/>
              </w:rPr>
            </w:pPr>
            <w:r>
              <w:rPr>
                <w:rFonts w:ascii="Arial" w:cs="Arial" w:eastAsia="Arial" w:hAnsi="Arial"/>
                <w:sz w:val="18"/>
                <w:szCs w:val="18"/>
                <w:color w:val="auto"/>
              </w:rPr>
              <w:t>Employee stock options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704,098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467,635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598,617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22,510,679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21,931,952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22,357,918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21,708,521</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COLLABORATIVE ARRANGEMENT</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June 23, 2010, the Company announced the formation of SimVentures, a collaborative arrangement between HealthStream and Laerdal Medical Corporation. SimVentures will offer products and services aimed at accelerating the global adoption of simulation-based learning by healthcare providers— with a focus on improving clinical competencies and patient outcomes. The Company will receive 50 percent of the profits or losses generated from the collaborative arrangement. A legal entity was not formed as part of the collaborative arrangement, therefore, the Company will account for SimVentures as a collaborative arrangement in accordance with applicable accounting guidance. SimVentures is currently in the product development phase, and sales activity is expected to commence during 2011. During the three and nine months ended September 30, 2010, the Company recorded approximately $90,000 and $270,000, respectively of expenses related to the collaborative arrangement, which are primarily recorded in the product development category within the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primarily provides services to healthcare organizations, and to a lesser extent, to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2009.</w:t>
      </w:r>
    </w:p>
    <w:p>
      <w:pPr>
        <w:spacing w:after="0" w:line="46"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measures segment performance based on operating income before income taxes and prior to the allocation of certain corporate overhead expenses, interest income, interest expense, and depreciation. The three and nine months ended September 30, 2010 includes approximately $90,000 and $270,000, respectively, of expenses associated with SimVentures, and is included in the Unallocated section of the tables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business segment information as of and for the three and nine months ended September 30, 2010 and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76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8"/>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6"/>
          </w:tcPr>
          <w:p>
            <w:pPr>
              <w:jc w:val="right"/>
              <w:ind w:right="960"/>
              <w:spacing w:after="0" w:line="149" w:lineRule="exact"/>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September 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color w:val="auto"/>
              </w:rPr>
              <w:t>2009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11,527,548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9,477,749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$33,069,814</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$27,786,872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5,088,897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4,627,284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15,044,352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14,520,891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16,616,445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14,105,033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$ 48,114,166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42,307,763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3,685,573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2,438,703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$ 11,033,240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6,927,080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664,543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2,427,436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(2,034,697)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(1,926,331)</w:t>
            </w:r>
          </w:p>
        </w:tc>
        <w:tc>
          <w:tcPr>
            <w:tcW w:w="200" w:type="dxa"/>
            <w:vAlign w:val="bottom"/>
          </w:tcPr>
          <w:p>
            <w:pPr>
              <w:spacing w:after="0"/>
              <w:rPr>
                <w:sz w:val="18"/>
                <w:szCs w:val="18"/>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(6,248,402)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(5,477,334)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1,689,995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1,079,461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$ 5,449,381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3,877,182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Arial" w:cs="Arial" w:eastAsia="Arial" w:hAnsi="Arial"/>
                <w:sz w:val="14"/>
                <w:szCs w:val="14"/>
                <w:color w:val="auto"/>
              </w:rPr>
              <w:t>September 30, 2010</w:t>
            </w: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8"/>
              <w:spacing w:after="0"/>
              <w:rPr>
                <w:sz w:val="20"/>
                <w:szCs w:val="20"/>
                <w:color w:val="auto"/>
              </w:rPr>
            </w:pPr>
            <w:r>
              <w:rPr>
                <w:rFonts w:ascii="Arial" w:cs="Arial" w:eastAsia="Arial" w:hAnsi="Arial"/>
                <w:sz w:val="18"/>
                <w:szCs w:val="18"/>
                <w:color w:val="auto"/>
              </w:rPr>
              <w:t>17,997,683</w:t>
            </w:r>
          </w:p>
        </w:tc>
        <w:tc>
          <w:tcPr>
            <w:tcW w:w="22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18,185,466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26,409,578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26,209,873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168"/>
              <w:spacing w:after="0"/>
              <w:rPr>
                <w:sz w:val="20"/>
                <w:szCs w:val="20"/>
                <w:color w:val="auto"/>
              </w:rPr>
            </w:pPr>
            <w:r>
              <w:rPr>
                <w:rFonts w:ascii="Arial" w:cs="Arial" w:eastAsia="Arial" w:hAnsi="Arial"/>
                <w:sz w:val="18"/>
                <w:szCs w:val="18"/>
                <w:color w:val="auto"/>
              </w:rPr>
              <w:t>33,357,927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26,606,941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77,765,188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71,002,280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also included within Unallocated.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ind w:right="404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6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2009, appearing in our Annual Report on Form 10-K that was filed with the Securities and Exchange Commission (“SEC”) on March 26, 2010 (the “2009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2009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primarily provide our services to healthcare organizations and, to a lesser extent,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 (“HLC”), authoring tools, courseware subscriptions, online training and content development, online sales training courses, live events, HospitalDirect®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third quarter of 2010 include:</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$16.6 million in the third quarter of 2010, up approximately 18% over the third quarter of 2009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of $1.7 million in the third quarter of 2010, up approximately 57% over the third quarter of 2009</w:t>
      </w:r>
    </w:p>
    <w:p>
      <w:pPr>
        <w:spacing w:after="0" w:line="130"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$796,000 and diluted earnings per share (EPS) of $0.04 per share in the third quarter of 2010—which is the amount after deducting $889,000, or $0.04 per share, of income tax provision, compared to net income of $1.0 million and diluted EPS of $0.05 per share in the third quarter of 2009—which is the amount after deducting $47,000 of income tax provision</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of $3.0 million in the third quarter of 2010, up approximately 18% from $2.5 million in the third quarter of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2009 Form 10-K, which contains additional information regarding our accounting policies and other disclosures required by US GAAP. There have been no changes in our critical accounting policies and estimates from those reported in our 2009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primarily consist of the following products and services: provision of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Internet-based HLC, authoring tools, a variety of courseware subscriptions (add-on courseware), implementation and consulting services, maintenance of third party content, content development, online sales training courses (RepDirect™), HospitalDirect®,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contract labor, stock based compensation,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 In addition, a significant portion of the SimVentures expenses is also included within product development. SimVentures is a collaborative arrangement between HealthStream and Laerdal Medical Corporation, and will offer products and services aimed at accelerating the global adoption of simulation-based learning by healthcare providers—with a focus on improving clinical competencies and patient outcomes.</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Personnel costs within sales and marketing include our HealthStream Learning and HealthStream Research sales teams, strategic account management, consultants, and marketing personnel, as well as our account management group.</w:t>
      </w:r>
    </w:p>
    <w:p>
      <w:pPr>
        <w:spacing w:after="0" w:line="7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ind w:right="3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Income/Expense, Net.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2010 Compared to Three Months Ended September 30, 2009</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$2.5 million, or 17.8%, to $16.6 million for the three months ended September 30, 2010 from $14.1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2009. Revenues for 2010 consisted of $11.5 million, or 69% of total revenue, for HealthStream Learning and</w:t>
      </w:r>
    </w:p>
    <w:p>
      <w:pPr>
        <w:ind w:right="340"/>
        <w:spacing w:after="0" w:line="261" w:lineRule="auto"/>
        <w:rPr>
          <w:sz w:val="20"/>
          <w:szCs w:val="20"/>
          <w:color w:val="auto"/>
        </w:rPr>
      </w:pPr>
      <w:r>
        <w:rPr>
          <w:rFonts w:ascii="Arial" w:cs="Arial" w:eastAsia="Arial" w:hAnsi="Arial"/>
          <w:sz w:val="18"/>
          <w:szCs w:val="18"/>
          <w:color w:val="auto"/>
        </w:rPr>
        <w:t>$5.1 million, or 31% of total revenue, for HealthStream Research. In 2009, revenues consisted of $9.5 million, or 67% of total revenue, for HealthStream Learning and $4.6 million, or 33% of total revenue, for HealthStream Research.</w:t>
      </w:r>
    </w:p>
    <w:p>
      <w:pPr>
        <w:spacing w:after="0" w:line="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Revenues for HealthStream Learning increased $2.0 million, or 21.6%, over the third quarter of 2009. Revenues from our Internet-based subscription learning products increased by $2.3 million over the prior year third quarter, and were comprised of revenue increases from the HLC of $1.1 million and from courseware subscriptions of $1.2 million. Revenues from our Internet-based subscription products increased 27% over the prior year third quarter due to a higher number of subscribers and more courseware consumption by subscribers. Our HLC subscriber base increased to 2,175,000 fully-implemented subscribers and 2,365,000 contracted subscribers at September 30, 2010 compared to 1,915,000 fully-implemented subscribers and 2,008,000 contracted subscribers at September 30, 2009. “Contracted subscribers” include both those already implemented (2,175,000 and 1,915,000 at September 30, 2010 and 2009, respectively) and those in the process of implementation (190,000 and 93,000 at September 30, 2010 and 2009, respectively). Revenues associated with implementation, development, and consulting services decreased $132,000 from the prior year third quarter, impacted primarily by lower revenues associated with fewer project-based activities. Other project-based revenues decreased $139,000 from the prior year third quarter.</w:t>
      </w:r>
    </w:p>
    <w:p>
      <w:pPr>
        <w:spacing w:after="0" w:line="59"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Revenues for HealthStream Research increased $462,000, or 10.0%, over the third quarter of 2009. Revenues from recurring patient surveys increased by $349,000, or 10.7%, over the prior year third quarter, due to sales growth with new customers. Revenues from surveys conducted on annual or bi-annual cycles—namely employee, physician, and community surveys—collectively increased by $113,000, or 8.2%, over the third quarter of 2009.</w:t>
      </w:r>
    </w:p>
    <w:p>
      <w:pPr>
        <w:spacing w:after="0" w:line="39"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$867,000, or 16.0%, to $6.3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2010 from $5.4 million for the three months ended September 30, 2009. Cost of revenues as a percentage of revenues was 37.8% of revenues for the three months ended September 30, 2010 compared to 38.3% of revenues for the three months ended September 30, 2009.</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Cost of revenues for HealthStream Learning increased approximately $439,000 to $3.5 million and approximated 30.2% and 32.1% of revenues for the three months ended September 30, 2010 and 2009, respectively. The expense increase is primarily associated with increased royalties paid by us resulting from growth in courseware subscription revenues, while the decline as a percentage of revenue is attributable to the growth in subscription based revenues over the prior year third quarter. Cost of revenues for HealthStream Research increased approximately $427,000 to $2.8 million and approximated 54.9% and 51.1% of revenues for the three months ended September 30, 2010 and 2009, respectively. The increase in cost of revenues for HealthStream Research is primarily the result of costs associated with the growth in patient survey volume over the prior year third quarter.</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$130,000, or 8.0%, to $1.7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from $1.6 million for the three months ended September 30, 2009. Product development expenses as a percentage of revenues were 10.5% and 11.5% of revenues for the three months ended September 30, 2010 and 2009, respectively.</w:t>
      </w:r>
    </w:p>
    <w:p>
      <w:pPr>
        <w:spacing w:after="0" w:line="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Product development expenses for HealthStream Learning decreased approximately $108,000 and approximated 11.1% and 14.6% of revenues for the three months ended September 30, 2010 and 2009, respectively. The decrease as a percentage of revenue is the result of the growth in revenues over the prior year third quarter, and the decrease in amount is due to lower personnel expenses associated with platform maintenance. Product development expenses for HealthStream Research increased approximately $152,000 and approximated 7.6% and 5.1% of revenues for the three months ended September 30, 2010 and 2009, respectively. This increase is primarily due to additional personnel associated with developing and supporting our survey reporting platform, Insights Online. The unallocated portion of product development expenses approximated $85,000 for the third quarter of 2010 and is associated with SimVentures.</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$733,000, or 27.9%, to $3.4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2010 from $2.6 million for the three months ended September 30, 2009. Sales and marketing expenses approximated 20.2% and 18.6% of revenues for the three months ended September 30, 2010 and 2009,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80"/>
        <w:spacing w:after="0" w:line="255" w:lineRule="auto"/>
        <w:rPr>
          <w:sz w:val="20"/>
          <w:szCs w:val="20"/>
          <w:color w:val="auto"/>
        </w:rPr>
      </w:pPr>
      <w:r>
        <w:rPr>
          <w:rFonts w:ascii="Arial" w:cs="Arial" w:eastAsia="Arial" w:hAnsi="Arial"/>
          <w:sz w:val="18"/>
          <w:szCs w:val="18"/>
          <w:color w:val="auto"/>
        </w:rPr>
        <w:t>Sales and marketing expenses for HealthStream Learning increased $352,000 and approximated 18.3% and 18.5% of revenues for the three months ended September 30, 2010 and 2009, respectively. This expense increase is primarily due to commissions associated with better sales performance compared to the prior year third quarter. Sales and marketing expenses for HealthStream Research increased approximately $356,000, and approximated 22.4% and 17.0% of revenues for the three months ended September 30, 2010 and 2009, respectively. The expense increase for HealthStream Research resulted from additional sales personnel, travel expenses and commissions. The increase in commissions is the result of better sales performance compared to the prior year third quarter.</w:t>
      </w:r>
    </w:p>
    <w:p>
      <w:pPr>
        <w:spacing w:after="0" w:line="8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expenses increased approximately $334,000, or 16.2%, to $2.4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2010 from $2.1 million for the three months ended September 30, 2009. Other general and administrative expenses as a percentage of revenues approximated 14.5% and 14.7% for the three months ended September 30, 2010 and 2009,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Other general and administrative expenses for HealthStream Learning increased $79,000 over the prior year third quarter, while HealthStream Research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decreased $13,000 compared to the prior year third quarter. The unallocated corporate portion of other general and administrative expenses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$268,000 over the prior year third quarter, primarily associated with contract labor, software maintenance renewal fees, professional fees, and rent expense.</w:t>
      </w:r>
    </w:p>
    <w:p>
      <w:pPr>
        <w:spacing w:after="0" w:line="12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decreased approximately $163,000, or 12.5%, to $1.1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2010 from $1.3 million for the three months ended September 30, 2009. The decrease resulted from lower depreciation expense associated with certain assets reaching the end of their useful lives, and was partially offset by increased amortization of capitalized software features over the prior year third quarter.</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Company recorded a provision for income taxes of approximately $889,000 for the three months ended September 30, 2010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$47,000 for the three months ended September 30, 2009. The Company’s effective tax rate for the third quarter of 2010 was 52.8%. During the third quarter of 2010, the Company revised its effective tax rate estimate, which resulted in a higher effective tax rate during the third quarter compared to the estimated rate used during the first half of 2010. The Company estimates the full year 2010 effective tax rate to range between 43 and 46 percent. Actual tax payments will be substantially less than our income tax provision as we continue to utilize our federal and state net operating loss carry-forwards of approximately $26 million and $21 million, respectively, to offset taxable income. During the third quarter of 2009, the Company maintained a valuation allowance on its deferred tax assets, and recorded no deferred income tax expense. Substantially all of the valuation allowance was released during the fourth quarter of 2009. Income tax expense for the third quarter of 2009 consisted of the federal alternative minimum tax and state income taxes.</w:t>
      </w:r>
    </w:p>
    <w:p>
      <w:pPr>
        <w:spacing w:after="0" w:line="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$796,000 for the three months ended September 30, 2010, compared to $1.0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2009. Net income per diluted share was $0.04 per share for the three months ended September 30, 2010 compared to $0.05 per diluted share for the three months ended September 30,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2010 Compared to Nine Months Ended September 30, 2009</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$5.8 million, or 13.7%, to $48.1 million for the nine months ended September 30, 2010 from $42.3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2009. Revenues for 2010 consisted of $33.1 million, or 69% of total revenue, for HealthStream Learning and</w:t>
      </w:r>
    </w:p>
    <w:p>
      <w:pPr>
        <w:ind w:right="160"/>
        <w:spacing w:after="0" w:line="261" w:lineRule="auto"/>
        <w:rPr>
          <w:sz w:val="20"/>
          <w:szCs w:val="20"/>
          <w:color w:val="auto"/>
        </w:rPr>
      </w:pPr>
      <w:r>
        <w:rPr>
          <w:rFonts w:ascii="Arial" w:cs="Arial" w:eastAsia="Arial" w:hAnsi="Arial"/>
          <w:sz w:val="18"/>
          <w:szCs w:val="18"/>
          <w:color w:val="auto"/>
        </w:rPr>
        <w:t>$15.0 million, or 31% of total revenue, for HealthStream Research. In 2009, revenues consisted of $27.8 million, or 66% of total revenue, for HealthStream Learning and $14.5 million, or 34% of total revenue, for HealthStream Research.</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HealthStream Learning increased $5.3 million, or 19.0%, over 2009. Revenues from our Internet-based subscription learning products increased by $6.5 million over the prior year, and were comprised of revenue increases from the HLC of $3.4 million and from courseware subscriptions of</w:t>
      </w:r>
    </w:p>
    <w:p>
      <w:pPr>
        <w:ind w:right="80"/>
        <w:spacing w:after="0" w:line="295" w:lineRule="auto"/>
        <w:rPr>
          <w:sz w:val="20"/>
          <w:szCs w:val="20"/>
          <w:color w:val="auto"/>
        </w:rPr>
      </w:pPr>
      <w:r>
        <w:rPr>
          <w:rFonts w:ascii="Arial" w:cs="Arial" w:eastAsia="Arial" w:hAnsi="Arial"/>
          <w:sz w:val="16"/>
          <w:szCs w:val="16"/>
          <w:color w:val="auto"/>
        </w:rPr>
        <w:t>$3.1 million. Revenues from our Internet-based subscription products increased 26.4% over the prior year due to a higher number of subscribers and more courseware consumption by subscribers. Revenues associated with implementation, development, and consulting services decreased $896,000 from the prior year, and were impacted primarily by lower revenues associated with fewer project-based activities. Additionally, revenues from live events, study guides, and other project-based activities collectively declined $294,000 from the prior year due to a de-emphasis on providing these services.</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for HealthStream Research increased $523,000, or 3.6%, over 2009. Revenues from recurring patient surveys increased by $876,000, or 9.1%, over the prior year, primarily due to sales growth with new customers. Revenues from surveys conducted on annual or bi-annual cycles—namely employee, physician, and community surveys—decreased by $353,000, primarily due to fewer projects than the prior year, as well as changes in the timing and size of the projects.</w:t>
      </w:r>
    </w:p>
    <w:p>
      <w:pPr>
        <w:spacing w:after="0" w:line="7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$1.7 million, or 10.9%, to $17.6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2010 from $15.9 million for the nine months ended September 30, 2009. Cost of revenues as a percentage of revenues was</w:t>
      </w:r>
    </w:p>
    <w:p>
      <w:pPr>
        <w:ind w:right="140"/>
        <w:spacing w:after="0" w:line="254" w:lineRule="auto"/>
        <w:rPr>
          <w:sz w:val="20"/>
          <w:szCs w:val="20"/>
          <w:color w:val="auto"/>
        </w:rPr>
      </w:pPr>
      <w:r>
        <w:rPr>
          <w:rFonts w:ascii="Arial" w:cs="Arial" w:eastAsia="Arial" w:hAnsi="Arial"/>
          <w:sz w:val="18"/>
          <w:szCs w:val="18"/>
          <w:color w:val="auto"/>
        </w:rPr>
        <w:t>36.7% of revenues for the nine months ended September 30, 2010 compared to 37.6% of revenues for the nine months ended September 30, 2009. Cost of revenues for HealthStream Learning increased approximately $845,000 to $9.8 million and approximated 29.6% and 32.2% of revenues for the nine months ended September 30, 2010 and 2009, respectively. The overall expense increase is primarily associated with increased royalties paid by us resulting from growth in courseware subscription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line="1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revenues, but was partially offset by expense decreases associated with the decline in implementation, development, and consulting service revenues. The decline as a percentage of revenue is attributable to the growth in subscription based revenues over the prior year. Cost of revenues for HealthStream Research increased approximately $894,000 to $7.8 million and approximated 52.1% and 47.8% of revenues for the nine months ended September 30, 2010 and 2009, respectively. The increase in cost of revenues for HealthStream Research is primarily the result of costs associated with the growth in patient survey volume over the prior year. Additional costs were also incurred by our interview center operation during the second quarter of 2010 to complete projects on schedule in light of unprecedented snow storms experienced in the Baltimore area.</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$397,000, or 8.6%, to $5.0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from $4.6 million for the nine months ended September 30, 2009. Product development expenses as a percentage of revenues were 10.4% and 10.9% of revenues for the nine months ended September 30, 2010 and 2009, respectively.</w:t>
      </w:r>
    </w:p>
    <w:p>
      <w:pPr>
        <w:spacing w:after="0" w:line="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Product development expenses for HealthStream Learning decreased approximately $211,000 and approximated 11.1% and 13.9% of revenues for the nine months ended September 30, 2010 and 2009, respectively. The decrease as a percentage of revenue is the result of the growth in revenues over the prior year, while the expense decrease is the result of lower personnel expense and contract labor associated with platform maintenance compared to the prior year. Product development expenses for HealthStream Research increased approximately $366,000 and approximated 7.3% and 5.0% of revenues for the nine months ended September 30, 2010 and 2009, respectively. This increase is primarily due to additional personnel associated with product management and with developing and supporting our survey reporting platform, Insights Online. The unallocated portion of product development expenses was approximately $241,000 for the nine months ended September 30, 2010 and is associated with SimVentures.</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$1.4 million, or 18.0%, to $9.4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2010 from $7.9 million for the nine months ended September 30, 2009. Sales and marketing expenses approximated 19.5% and 18.8% of revenues for the nine months ended September 30, 2010 and 2009, respectively.</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Sales and marketing expenses for HealthStream Learning increased $448,000 and approximated 17.7% and 19.4% of revenues for the nine months ended September 30, 2010 and 2009, respectively. The expense increase is primarily associated with increased commissions due to better sales performance compared to the prior year. Sales and marketing expenses for HealthStream Research increased approximately $932,000, and approximated 21.6% and 15.9% of revenues for the nine months ended September 30, 2010 and 2009, respectively. The expense increase for HealthStream Research resulted from additional sales personnel, travel expenses and commissions. The additional sales personnel were hired during the second half of 2009. Our historical experience is that new sales personnel take several quarters to build a pipeline and generate new sales, a process we believe is occurring. These expense increases also impacted the increase as a percentage of revenues for HealthStream Research.</w:t>
      </w:r>
    </w:p>
    <w:p>
      <w:pPr>
        <w:spacing w:after="0" w:line="70"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expenses increased approximately $722,000, or 11.7% to $6.9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2010 from $6.2 million for the nine months ended September 30, 2009. Other general and administrative expenses as a percentage of revenues approximated 14.3% and 14.6% for the nine months ended September 30, 2010 and 2009, respectively.</w:t>
      </w:r>
    </w:p>
    <w:p>
      <w:pPr>
        <w:spacing w:after="0" w:line="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Other general and administrative expenses for both HealthStream Learning and HealthStream Research decreased $7,000 and $99,000, respectively, compared to the prior year. The unallocated corporate portion of other general and administrative expenses increased $828,000 over the prior year, primarily associated with contract labor, software maintenance renewal fees, professional fees, rent expense, and other expenses.</w:t>
      </w:r>
    </w:p>
    <w:p>
      <w:pPr>
        <w:spacing w:after="0" w:line="5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decreased approximately $53,000, or 1.4%, and approximated $3.8 million for both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2010 and 2009. The decrease resulted from lower depreciation expense associated with certain assets reaching the end of their useful lives, and was partially offset by increased amortization of capitalized software features over the prior year.</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 recorded a provision for income taxes of approximately $2.5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compared to $236,000 for the nine months ended September 30, 2009. The Company’s effective tax rate for the nine months ended September 30, 2010 was 45.7%. During 2009, the Company maintained a valuation allowance on its deferred tax assets, and recorded no deferred income tax expense. Substantially all of the valuation allowance was released during the fourth quarter of 2009. Income tax expense for 2009 consisted of the federal alternative minimum tax and state income taxes.</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$3.0 million for the nine months ended September 30, 2010, compared to $3.6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2009. Net income per diluted share was $0.13 per share for the nine months ended September 30, 2010 compared to $0.17 per diluted share for the nine months ended September 30, 2009.</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Adjusted EBITDA (which we define as net income before interest, income taxes, stock-based compensation, and depreciation and amortization) was approximately $3.0 and $9.7 million for the three and nine months ended September 30, 2010, respectively, compared to $2.5 and $8.2 million for the three and nine months ended September 30, 2009, respectively. This improvement is consistent with the factors mentioned in management’s discussion and analysis of financial condition and results of operations herewith. Our reconciliation of this calculation to measures under US GAAP is listed in the table below.</w:t>
      </w:r>
    </w:p>
    <w:p>
      <w:pPr>
        <w:spacing w:after="0" w:line="4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order to better assess the Company’s financial results, management believes that income before interest, income taxes, stock-based compensation, depreciation and amortization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2009 and 2010,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70"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adjusted EBITDA to net income, the most directly comparable US GAAP measure.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interest, taxes, stock-based compensation, depreciation and amortization, or adjusted EBITDA:</w:t>
      </w:r>
    </w:p>
    <w:p>
      <w:pPr>
        <w:spacing w:after="0" w:line="221" w:lineRule="exact"/>
        <w:rPr>
          <w:sz w:val="20"/>
          <w:szCs w:val="20"/>
          <w:color w:val="auto"/>
        </w:rPr>
      </w:pPr>
    </w:p>
    <w:p>
      <w:pPr>
        <w:ind w:left="6600"/>
        <w:spacing w:after="0"/>
        <w:tabs>
          <w:tab w:leader="none" w:pos="9560" w:val="left"/>
        </w:tabs>
        <w:rPr>
          <w:sz w:val="20"/>
          <w:szCs w:val="20"/>
          <w:color w:val="auto"/>
        </w:rPr>
      </w:pPr>
      <w:r>
        <w:rPr>
          <w:rFonts w:ascii="Arial" w:cs="Arial" w:eastAsia="Arial" w:hAnsi="Arial"/>
          <w:sz w:val="14"/>
          <w:szCs w:val="14"/>
          <w:color w:val="auto"/>
        </w:rPr>
        <w:t>Three Months Ended</w:t>
      </w:r>
      <w:r>
        <w:rPr>
          <w:sz w:val="20"/>
          <w:szCs w:val="20"/>
          <w:color w:val="auto"/>
        </w:rPr>
        <w:tab/>
      </w:r>
      <w:r>
        <w:rPr>
          <w:rFonts w:ascii="Arial" w:cs="Arial" w:eastAsia="Arial" w:hAnsi="Arial"/>
          <w:sz w:val="13"/>
          <w:szCs w:val="13"/>
          <w:color w:val="auto"/>
        </w:rPr>
        <w:t>Nine Months Ended</w:t>
      </w:r>
    </w:p>
    <w:p>
      <w:pPr>
        <w:sectPr>
          <w:pgSz w:w="11900" w:h="16851" w:orient="portrait"/>
          <w:cols w:equalWidth="0" w:num="1">
            <w:col w:w="11420"/>
          </w:cols>
          <w:pgMar w:left="240" w:top="935"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5"/>
          </w:tcPr>
          <w:p>
            <w:pPr>
              <w:jc w:val="right"/>
              <w:ind w:right="1380"/>
              <w:spacing w:after="0"/>
              <w:rPr>
                <w:sz w:val="20"/>
                <w:szCs w:val="20"/>
                <w:color w:val="auto"/>
              </w:rPr>
            </w:pPr>
            <w:r>
              <w:rPr>
                <w:rFonts w:ascii="Arial" w:cs="Arial" w:eastAsia="Arial" w:hAnsi="Arial"/>
                <w:sz w:val="14"/>
                <w:szCs w:val="14"/>
                <w:color w:val="auto"/>
              </w:rPr>
              <w:t>September 30,</w:t>
            </w:r>
          </w:p>
        </w:tc>
        <w:tc>
          <w:tcPr>
            <w:tcW w:w="2420" w:type="dxa"/>
            <w:vAlign w:val="bottom"/>
            <w:gridSpan w:val="4"/>
          </w:tcPr>
          <w:p>
            <w:pPr>
              <w:jc w:val="right"/>
              <w:ind w:right="8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2009</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2010</w:t>
            </w: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795,903</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$ 1,023,097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$ 2,950,476</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$ 3,628,743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(4,302)</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(3,588)</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(11,235)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9,832</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12,637</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31,149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888,562</w:t>
            </w: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47,315</w:t>
            </w:r>
          </w:p>
        </w:tc>
        <w:tc>
          <w:tcPr>
            <w:tcW w:w="840" w:type="dxa"/>
            <w:vAlign w:val="bottom"/>
          </w:tcPr>
          <w:p>
            <w:pPr>
              <w:jc w:val="right"/>
              <w:spacing w:after="0"/>
              <w:rPr>
                <w:sz w:val="20"/>
                <w:szCs w:val="20"/>
                <w:color w:val="auto"/>
              </w:rPr>
            </w:pPr>
            <w:r>
              <w:rPr>
                <w:rFonts w:ascii="Arial" w:cs="Arial" w:eastAsia="Arial" w:hAnsi="Arial"/>
                <w:sz w:val="18"/>
                <w:szCs w:val="18"/>
                <w:color w:val="auto"/>
              </w:rPr>
              <w:t>2,480,558</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165,603</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158,167</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498,153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1,142,536</w:t>
            </w: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1,305,351</w:t>
            </w:r>
          </w:p>
        </w:tc>
        <w:tc>
          <w:tcPr>
            <w:tcW w:w="840" w:type="dxa"/>
            <w:vAlign w:val="bottom"/>
          </w:tcPr>
          <w:p>
            <w:pPr>
              <w:jc w:val="right"/>
              <w:spacing w:after="0"/>
              <w:rPr>
                <w:sz w:val="20"/>
                <w:szCs w:val="20"/>
                <w:color w:val="auto"/>
              </w:rPr>
            </w:pPr>
            <w:r>
              <w:rPr>
                <w:rFonts w:ascii="Arial" w:cs="Arial" w:eastAsia="Arial" w:hAnsi="Arial"/>
                <w:sz w:val="18"/>
                <w:szCs w:val="18"/>
                <w:color w:val="auto"/>
              </w:rPr>
              <w:t>3,768,795</w:t>
            </w:r>
          </w:p>
        </w:tc>
        <w:tc>
          <w:tcPr>
            <w:tcW w:w="6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3,821,716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Income before interest, taxes, share-based compensation, depreciation and</w:t>
            </w: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2,998,134</w:t>
            </w:r>
          </w:p>
        </w:tc>
        <w:tc>
          <w:tcPr>
            <w:tcW w:w="17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$ 2,542,979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$ 9,717,896</w:t>
            </w:r>
          </w:p>
        </w:tc>
        <w:tc>
          <w:tcPr>
            <w:tcW w:w="6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$ 8,153,466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80" w:type="dxa"/>
            <w:vAlign w:val="bottom"/>
            <w:vMerge w:val="restart"/>
          </w:tcPr>
          <w:p>
            <w:pPr>
              <w:jc w:val="right"/>
              <w:ind w:right="17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Net cash provided by operating activities was approximately $11.8 million and $8.0 million during the nine months ended September 30, 2010 and 2009, respectively. Our primary sources of cash were receipts generated from the sales of our products and services. In addition, we received $560,000 of cash associated with a renewed lease for our Nashville, Tennessee office, of which the unamortized portion is classified on the balance sheet under accrued liabilities and other long-term liabilities. Our days sales outstanding (“DSO”) which we calculate by dividing the accounts receivable balance, excluding unbilled and other receivables, by average daily revenues for the quarter, approximated 61 days for the third quarter of 2010 compared to 64 days for the third quarter of 2009 and 53 days for the second quarter of 2010. The increase in DSO compared to the second quarter of 2010 is associated with higher balances with several customers that were billed in advance during the third quarter of 2010 for annual fees rather than on a monthly subscription basis. The primary uses of cash to fund our operations for the nine months ended September 30, 2010 and 2009 included personnel expenses, sales commissions, royalty payments, payments for contract labor and other direct expenses associated with delivery of our products and services, and general corporate expenses.</w:t>
      </w:r>
    </w:p>
    <w:p>
      <w:pPr>
        <w:spacing w:after="0" w:line="5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cash used in investing activities was approximately $2.4 million and $1.8 million for the nine months ended September 30, 2010 and 2009, respectively. The primary uses of cash for the nine months ended September 30, 2010 were associated with capitalized software feature enhancements of $1.6 million and property and equipment purchases of $850,000. The primary uses of cash for the nine months ended September 30, 2009 were associated with capitalized software feature enhancements of $847,000 and property and equipment purchases of $823,000. These uses of cash were associated with technology investments in our platform products.</w:t>
      </w:r>
    </w:p>
    <w:p>
      <w:pPr>
        <w:spacing w:after="0" w:line="8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Cash used in financing activities was approximately $225,000 and $247,000 for the nine months ended September 30, 2010 and 2009, respectively. The primary uses of cash for the nine months ended September 30, 2010 related to repurchases of common stock and payments under a promissory note and capital lease obligations. The primary uses of cash for the nine months ended September 30, 2009 related to payments under a promissory note and capital lease obligations. The primary source of cash from financing activities for the nine months ended September 30, 2010 and 2009 resulted from proceeds associated with the exercise of employee stock options.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revenues increased and our operating income improved over the prior year period, and our balance sheet reflects positive working capital of $18.2 million at September 30, 2010 compared to $10.7 million at December 31, 2009. The improvement in working capital is primarily associated with increases in cash and cash equivalents resulting from the net cash provided by operating activities mentioned above. Current assets increased approximately $10.2 million during the first nine months of 2010 primarily due to increases in cash balances and accounts receivable, while current liabilities increased approximately $2.8 million during the first nine months of 2010 resulting primarily from increases in deferred revenue, but was partially offset by reductions in accounts payable and accrued liabilites. Our primary source of liquidity is $21.4 million of cash and cash equivalents. We also have a $15.0 million revolving credit facility loan agreement, all of which was available at September 30, 2010.</w:t>
      </w:r>
    </w:p>
    <w:p>
      <w:pPr>
        <w:spacing w:after="0" w:line="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exposed to market risk from changes in interest rates. We do not have any foreign currency exchange rate risk or commodity price risk. As of September 30, 2010, our outstanding indebtedness included approximately $6,000 of capital lease obligations. We may become subject to interest rate market risk associated with any future borrowings under our revolving credit facility. The interest rate under the revolving credit facility is based on 30 Day LIBOR plus a margin of either 190 or 220 basis points determined in accordance with a pricing grid, but has a minimum interest rate of not less than three percent. We are also exposed to market risk with respect to our cash balances. At September 30, 2010, the Company had cash and cash equivalents totaling approximately $21.4 million. Current investment rates of return approximate 0.10%. Assuming a 0.10% rate of return on $21.4 million, a hypothetical 10% decrease in interest rates would decrease interest income and decrease net income on an annualized basis by approximately $2,100.</w:t>
      </w:r>
    </w:p>
    <w:p>
      <w:pPr>
        <w:spacing w:after="0" w:line="5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February 23, 2010, the Company’s Board of Directors authorized the Company to purchase up to $4,000,000 of its common stock over a one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quarter ended September 30,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color w:val="auto"/>
              </w:rPr>
              <w:t>(d)</w:t>
            </w: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(c)</w:t>
            </w:r>
          </w:p>
        </w:tc>
        <w:tc>
          <w:tcPr>
            <w:tcW w:w="80" w:type="dxa"/>
            <w:vAlign w:val="bottom"/>
          </w:tcPr>
          <w:p>
            <w:pPr>
              <w:spacing w:after="0"/>
              <w:rPr>
                <w:sz w:val="12"/>
                <w:szCs w:val="12"/>
                <w:color w:val="auto"/>
              </w:rPr>
            </w:pPr>
          </w:p>
        </w:tc>
        <w:tc>
          <w:tcPr>
            <w:tcW w:w="17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Maximum number (or</w:t>
            </w: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3"/>
              </w:rPr>
              <w:t>(a)</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Total number of shares (or</w:t>
            </w:r>
          </w:p>
        </w:tc>
        <w:tc>
          <w:tcPr>
            <w:tcW w:w="80" w:type="dxa"/>
            <w:vAlign w:val="bottom"/>
          </w:tcPr>
          <w:p>
            <w:pPr>
              <w:spacing w:after="0"/>
              <w:rPr>
                <w:sz w:val="12"/>
                <w:szCs w:val="12"/>
                <w:color w:val="auto"/>
              </w:rPr>
            </w:pPr>
          </w:p>
        </w:tc>
        <w:tc>
          <w:tcPr>
            <w:tcW w:w="17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approximate dollar value) of</w:t>
            </w: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60" w:type="dxa"/>
            <w:vAlign w:val="bottom"/>
            <w:gridSpan w:val="4"/>
          </w:tcPr>
          <w:p>
            <w:pPr>
              <w:jc w:val="center"/>
              <w:ind w:left="239"/>
              <w:spacing w:after="0" w:line="149" w:lineRule="exact"/>
              <w:rPr>
                <w:sz w:val="20"/>
                <w:szCs w:val="20"/>
                <w:color w:val="auto"/>
              </w:rPr>
            </w:pPr>
            <w:r>
              <w:rPr>
                <w:rFonts w:ascii="Arial" w:cs="Arial" w:eastAsia="Arial" w:hAnsi="Arial"/>
                <w:sz w:val="14"/>
                <w:szCs w:val="14"/>
                <w:color w:val="auto"/>
                <w:w w:val="93"/>
              </w:rPr>
              <w:t>Total number of</w:t>
            </w:r>
          </w:p>
        </w:tc>
        <w:tc>
          <w:tcPr>
            <w:tcW w:w="30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(b)</w:t>
            </w:r>
          </w:p>
        </w:tc>
        <w:tc>
          <w:tcPr>
            <w:tcW w:w="18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units) purchased as part of</w:t>
            </w:r>
          </w:p>
        </w:tc>
        <w:tc>
          <w:tcPr>
            <w:tcW w:w="184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1"/>
              </w:rPr>
              <w:t>shares (or units) that may yet be</w:t>
            </w: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60" w:type="dxa"/>
            <w:vAlign w:val="bottom"/>
            <w:gridSpan w:val="4"/>
          </w:tcPr>
          <w:p>
            <w:pPr>
              <w:jc w:val="center"/>
              <w:ind w:left="259"/>
              <w:spacing w:after="0" w:line="149" w:lineRule="exact"/>
              <w:rPr>
                <w:sz w:val="20"/>
                <w:szCs w:val="20"/>
                <w:color w:val="auto"/>
              </w:rPr>
            </w:pPr>
            <w:r>
              <w:rPr>
                <w:rFonts w:ascii="Arial" w:cs="Arial" w:eastAsia="Arial" w:hAnsi="Arial"/>
                <w:sz w:val="14"/>
                <w:szCs w:val="14"/>
                <w:color w:val="auto"/>
                <w:w w:val="92"/>
              </w:rPr>
              <w:t>shares (or units)</w:t>
            </w:r>
          </w:p>
        </w:tc>
        <w:tc>
          <w:tcPr>
            <w:tcW w:w="182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 per share</w:t>
            </w:r>
          </w:p>
        </w:tc>
        <w:tc>
          <w:tcPr>
            <w:tcW w:w="21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3"/>
              </w:rPr>
              <w:t>publicly announced plans or</w:t>
            </w:r>
          </w:p>
        </w:tc>
        <w:tc>
          <w:tcPr>
            <w:tcW w:w="1840" w:type="dxa"/>
            <w:vAlign w:val="bottom"/>
            <w:gridSpan w:val="4"/>
          </w:tcPr>
          <w:p>
            <w:pPr>
              <w:jc w:val="center"/>
              <w:ind w:right="20"/>
              <w:spacing w:after="0" w:line="149" w:lineRule="exact"/>
              <w:rPr>
                <w:sz w:val="20"/>
                <w:szCs w:val="20"/>
                <w:color w:val="auto"/>
              </w:rPr>
            </w:pPr>
            <w:r>
              <w:rPr>
                <w:rFonts w:ascii="Arial" w:cs="Arial" w:eastAsia="Arial" w:hAnsi="Arial"/>
                <w:sz w:val="14"/>
                <w:szCs w:val="14"/>
                <w:color w:val="auto"/>
                <w:w w:val="91"/>
              </w:rPr>
              <w:t>purchased under the plans or</w:t>
            </w: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ind w:left="1020"/>
              <w:spacing w:after="0"/>
              <w:rPr>
                <w:sz w:val="20"/>
                <w:szCs w:val="20"/>
                <w:color w:val="auto"/>
              </w:rPr>
            </w:pPr>
            <w:r>
              <w:rPr>
                <w:rFonts w:ascii="Arial" w:cs="Arial" w:eastAsia="Arial" w:hAnsi="Arial"/>
                <w:sz w:val="14"/>
                <w:szCs w:val="14"/>
                <w:color w:val="auto"/>
              </w:rPr>
              <w:t>Period</w:t>
            </w:r>
          </w:p>
        </w:tc>
        <w:tc>
          <w:tcPr>
            <w:tcW w:w="68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color w:val="auto"/>
                <w:w w:val="88"/>
              </w:rPr>
              <w:t>purchased</w:t>
            </w:r>
          </w:p>
        </w:tc>
        <w:tc>
          <w:tcPr>
            <w:tcW w:w="30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color w:val="auto"/>
                <w:w w:val="98"/>
              </w:rPr>
              <w:t>(or unit)</w:t>
            </w:r>
            <w:r>
              <w:rPr>
                <w:rFonts w:ascii="Arial" w:cs="Arial" w:eastAsia="Arial" w:hAnsi="Arial"/>
                <w:sz w:val="12"/>
                <w:szCs w:val="12"/>
                <w:color w:val="auto"/>
                <w:w w:val="98"/>
              </w:rPr>
              <w:t>(1)</w:t>
            </w:r>
          </w:p>
        </w:tc>
        <w:tc>
          <w:tcPr>
            <w:tcW w:w="18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programs</w:t>
            </w:r>
          </w:p>
        </w:tc>
        <w:tc>
          <w:tcPr>
            <w:tcW w:w="8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programs</w:t>
            </w:r>
          </w:p>
        </w:tc>
      </w:tr>
      <w:tr>
        <w:trPr>
          <w:trHeight w:val="210"/>
        </w:trPr>
        <w:tc>
          <w:tcPr>
            <w:tcW w:w="20" w:type="dxa"/>
            <w:vAlign w:val="bottom"/>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Month # 7</w:t>
            </w:r>
          </w:p>
        </w:tc>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6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92"/>
              </w:rPr>
              <w:t>Month # 8</w:t>
            </w:r>
          </w:p>
        </w:tc>
        <w:tc>
          <w:tcPr>
            <w:tcW w:w="2880" w:type="dxa"/>
            <w:vAlign w:val="bottom"/>
          </w:tcPr>
          <w:p>
            <w:pPr>
              <w:ind w:left="20"/>
              <w:spacing w:after="0"/>
              <w:rPr>
                <w:sz w:val="20"/>
                <w:szCs w:val="20"/>
                <w:color w:val="auto"/>
              </w:rPr>
            </w:pPr>
            <w:r>
              <w:rPr>
                <w:rFonts w:ascii="Arial" w:cs="Arial" w:eastAsia="Arial" w:hAnsi="Arial"/>
                <w:sz w:val="18"/>
                <w:szCs w:val="18"/>
                <w:color w:val="auto"/>
              </w:rPr>
              <w:t>(August 1 - August 31)</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7,600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4.84</w:t>
            </w:r>
          </w:p>
        </w:tc>
        <w:tc>
          <w:tcPr>
            <w:tcW w:w="2160" w:type="dxa"/>
            <w:vAlign w:val="bottom"/>
            <w:gridSpan w:val="3"/>
          </w:tcPr>
          <w:p>
            <w:pPr>
              <w:jc w:val="right"/>
              <w:ind w:right="600"/>
              <w:spacing w:after="0"/>
              <w:rPr>
                <w:sz w:val="20"/>
                <w:szCs w:val="20"/>
                <w:color w:val="auto"/>
              </w:rPr>
            </w:pPr>
            <w:r>
              <w:rPr>
                <w:rFonts w:ascii="Arial" w:cs="Arial" w:eastAsia="Arial" w:hAnsi="Arial"/>
                <w:sz w:val="18"/>
                <w:szCs w:val="18"/>
                <w:color w:val="auto"/>
              </w:rPr>
              <w:t>7,600</w:t>
            </w:r>
          </w:p>
        </w:tc>
        <w:tc>
          <w:tcPr>
            <w:tcW w:w="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3,963,004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Month # 9</w:t>
            </w: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70,190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w:t>
            </w:r>
          </w:p>
        </w:tc>
        <w:tc>
          <w:tcPr>
            <w:tcW w:w="2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70,190</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3,620,582</w:t>
            </w:r>
          </w:p>
        </w:tc>
        <w:tc>
          <w:tcPr>
            <w:tcW w:w="20" w:type="dxa"/>
            <w:vAlign w:val="bottom"/>
          </w:tcPr>
          <w:p>
            <w:pPr>
              <w:spacing w:after="0"/>
              <w:rPr>
                <w:sz w:val="18"/>
                <w:szCs w:val="18"/>
                <w:color w:val="auto"/>
              </w:rPr>
            </w:pPr>
          </w:p>
        </w:tc>
      </w:tr>
      <w:tr>
        <w:trPr>
          <w:trHeight w:val="223"/>
        </w:trPr>
        <w:tc>
          <w:tcPr>
            <w:tcW w:w="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77,790</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3,620,582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2880" w:hanging="5612"/>
        <w:spacing w:after="0" w:line="481" w:lineRule="auto"/>
        <w:tabs>
          <w:tab w:leader="none" w:pos="373" w:val="left"/>
        </w:tabs>
        <w:numPr>
          <w:ilvl w:val="0"/>
          <w:numId w:val="4"/>
        </w:numPr>
        <w:rPr>
          <w:rFonts w:ascii="Arial" w:cs="Arial" w:eastAsia="Arial" w:hAnsi="Arial"/>
          <w:sz w:val="18"/>
          <w:szCs w:val="18"/>
          <w:color w:val="auto"/>
        </w:rPr>
      </w:pPr>
      <w:r>
        <w:rPr>
          <w:rFonts w:ascii="Arial" w:cs="Arial" w:eastAsia="Arial" w:hAnsi="Arial"/>
          <w:sz w:val="18"/>
          <w:szCs w:val="18"/>
          <w:color w:val="auto"/>
        </w:rPr>
        <w:t>— The weighted average price paid per share of common stock does not include the cost of broker commissions.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931"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November 8, 2010</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360" w:type="dxa"/>
            <w:vAlign w:val="bottom"/>
          </w:tcPr>
          <w:p>
            <w:pPr>
              <w:spacing w:after="0"/>
              <w:rPr>
                <w:sz w:val="24"/>
                <w:szCs w:val="24"/>
                <w:color w:val="auto"/>
              </w:rPr>
            </w:pPr>
          </w:p>
        </w:tc>
        <w:tc>
          <w:tcPr>
            <w:tcW w:w="6380" w:type="dxa"/>
            <w:vAlign w:val="bottom"/>
            <w:gridSpan w:val="2"/>
          </w:tcPr>
          <w:p>
            <w:pPr>
              <w:jc w:val="right"/>
              <w:ind w:right="3850"/>
              <w:spacing w:after="0"/>
              <w:rPr>
                <w:sz w:val="20"/>
                <w:szCs w:val="20"/>
                <w:color w:val="auto"/>
              </w:rPr>
            </w:pPr>
            <w:r>
              <w:rPr>
                <w:rFonts w:ascii="Arial" w:cs="Arial" w:eastAsia="Arial" w:hAnsi="Arial"/>
                <w:sz w:val="18"/>
                <w:szCs w:val="18"/>
                <w:color w:val="auto"/>
              </w:rPr>
              <w:t>17</w:t>
            </w:r>
          </w:p>
        </w:tc>
        <w:tc>
          <w:tcPr>
            <w:tcW w:w="168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0" w:name="page21"/>
    <w:bookmarkEnd w:id="20"/>
    <w:p>
      <w:pPr>
        <w:spacing w:after="0" w:line="3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1440" w:right="144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8,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8,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3" w:name="page24"/>
    <w:bookmarkEnd w:id="23"/>
    <w:p>
      <w:pPr>
        <w:ind w:left="5260"/>
        <w:spacing w:after="0"/>
        <w:rPr>
          <w:sz w:val="20"/>
          <w:szCs w:val="20"/>
          <w:color w:val="auto"/>
        </w:rPr>
      </w:pPr>
      <w:r>
        <w:rPr>
          <w:rFonts w:ascii="Arial" w:cs="Arial" w:eastAsia="Arial" w:hAnsi="Arial"/>
          <w:sz w:val="18"/>
          <w:szCs w:val="18"/>
          <w:u w:val="single" w:color="auto"/>
          <w:color w:val="auto"/>
        </w:rPr>
        <w:t>Exhibit 32.1</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2010,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2010</w:t>
      </w:r>
    </w:p>
    <w:p>
      <w:pPr>
        <w:sectPr>
          <w:pgSz w:w="11900" w:h="16838" w:orient="portrait"/>
          <w:cols w:equalWidth="0" w:num="1">
            <w:col w:w="11380"/>
          </w:cols>
          <w:pgMar w:left="240" w:top="125" w:right="279" w:bottom="1440" w:gutter="0" w:footer="0" w:header="0"/>
        </w:sectPr>
      </w:pPr>
    </w:p>
    <w:bookmarkStart w:id="24" w:name="page25"/>
    <w:bookmarkEnd w:id="24"/>
    <w:p>
      <w:pPr>
        <w:ind w:left="5260"/>
        <w:spacing w:after="0"/>
        <w:rPr>
          <w:sz w:val="20"/>
          <w:szCs w:val="20"/>
          <w:color w:val="auto"/>
        </w:rPr>
      </w:pPr>
      <w:r>
        <w:rPr>
          <w:rFonts w:ascii="Arial" w:cs="Arial" w:eastAsia="Arial" w:hAnsi="Arial"/>
          <w:sz w:val="18"/>
          <w:szCs w:val="18"/>
          <w:u w:val="single" w:color="auto"/>
          <w:color w:val="auto"/>
        </w:rPr>
        <w:t>Exhibit 32.2</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2010,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8, 2010</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2019-12-10T18:29:12Z</dcterms:created>
  <dcterms:modified xsi:type="dcterms:W3CDTF">2019-12-10T18:29:12Z</dcterms:modified>
</cp:coreProperties>
</file>