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hstm20250107_10q.htm"/>
      <w:bookmarkStart w:id="1" w:name="kshstm20250107_10q"/>
      <w:bookmarkEnd w:id="0"/>
      <w:bookmarkEnd w:id="1"/>
      <w: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 </w:t>
      </w:r>
      <w:r>
        <w:rPr>
          <w:rFonts w:ascii="Times New Roman" w:hAnsi="Times New Roman"/>
          <w:caps w:val="false"/>
          <w:smallCaps w:val="false"/>
          <w:sz w:val="20"/>
        </w:rPr>
        <w:t>March 31, 2025</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30"/>
        <w:gridCol w:w="74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 000-27701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Tennessee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62-1443555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500 11th Avenue North, Suite 850,</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Nashville</w:t>
            </w:r>
            <w:r>
              <w:rPr>
                <w:rFonts w:ascii="Times New Roman" w:hAnsi="Times New Roman"/>
                <w:b/>
                <w:caps w:val="false"/>
                <w:smallCaps w:val="false"/>
                <w:sz w:val="20"/>
              </w:rPr>
              <w:t>,</w:t>
            </w:r>
            <w:r>
              <w:rPr>
                <w:rFonts w:ascii="Times New Roman" w:hAnsi="Times New Roman"/>
                <w:b/>
                <w:caps w:val="false"/>
                <w:smallCaps w:val="false"/>
                <w:sz w:val="20"/>
                <w:u w:val="single"/>
              </w:rPr>
              <w:t xml:space="preserve"> Tennessee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37203</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(615) 301-3100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28" w:type="dxa"/>
          <w:right w:w="0" w:type="dxa"/>
        </w:tblCellMar>
      </w:tblPr>
      <w:tblGrid>
        <w:gridCol w:w="2735"/>
        <w:gridCol w:w="161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225"/>
        <w:gridCol w:w="230"/>
        <w:gridCol w:w="60"/>
        <w:gridCol w:w="60"/>
        <w:gridCol w:w="2225"/>
        <w:gridCol w:w="23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283"/>
              <w:jc w:val="left"/>
              <w:rPr/>
            </w:pPr>
            <w:r>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May 1, 2025, there were 30,525,266 shares of the registrant’s common stock outstanding.</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Index to Form 10</w:t>
      </w:r>
      <w:r>
        <w:rPr>
          <w:rFonts w:ascii="Times New Roman" w:hAnsi="Times New Roman"/>
          <w:caps w:val="false"/>
          <w:smallCaps w:val="false"/>
          <w:sz w:val="20"/>
        </w:rPr>
        <w:noBreakHyphen/>
      </w:r>
      <w:r>
        <w:rPr>
          <w:rFonts w:ascii="Times New Roman" w:hAnsi="Times New Roman"/>
          <w:b/>
          <w:caps w:val="false"/>
          <w:smallCaps w:val="false"/>
          <w:sz w:val="20"/>
        </w:rPr>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726"/>
        <w:gridCol w:w="8693"/>
        <w:gridCol w:w="786"/>
      </w:tblGrid>
      <w:tr>
        <w:trPr/>
        <w:tc>
          <w:tcPr>
            <w:tcW w:w="726" w:type="dxa"/>
            <w:tcBorders/>
            <w:vAlign w:val="center"/>
          </w:tcPr>
          <w:p>
            <w:pPr>
              <w:pStyle w:val="TableContents"/>
              <w:bidi w:val="0"/>
              <w:spacing w:before="0" w:after="283"/>
              <w:jc w:val="left"/>
              <w:rPr/>
            </w:pPr>
            <w:r>
              <w:rPr/>
              <w:t> </w:t>
            </w:r>
          </w:p>
        </w:tc>
        <w:tc>
          <w:tcPr>
            <w:tcW w:w="8693" w:type="dxa"/>
            <w:tcBorders/>
            <w:vAlign w:val="center"/>
          </w:tcPr>
          <w:p>
            <w:pPr>
              <w:pStyle w:val="TableContents"/>
              <w:bidi w:val="0"/>
              <w:spacing w:before="0" w:after="283"/>
              <w:jc w:val="left"/>
              <w:rPr/>
            </w:pPr>
            <w:r>
              <w:rPr/>
              <w:t> </w:t>
            </w:r>
          </w:p>
        </w:tc>
        <w:tc>
          <w:tcPr>
            <w:tcW w:w="78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r>
      <w:tr>
        <w:trPr/>
        <w:tc>
          <w:tcPr>
            <w:tcW w:w="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Part I.</w:t>
            </w:r>
          </w:p>
        </w:tc>
        <w:tc>
          <w:tcPr>
            <w:tcW w:w="8693"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Financial Information</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693"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Financial Statements</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26" w:type="dxa"/>
            <w:tcBorders/>
            <w:vAlign w:val="center"/>
          </w:tcPr>
          <w:p>
            <w:pPr>
              <w:pStyle w:val="TableContents"/>
              <w:bidi w:val="0"/>
              <w:spacing w:before="0" w:after="283"/>
              <w:jc w:val="left"/>
              <w:rPr/>
            </w:pPr>
            <w:r>
              <w:rPr/>
              <w:t> </w:t>
            </w:r>
          </w:p>
        </w:tc>
        <w:tc>
          <w:tcPr>
            <w:tcW w:w="8693"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 xml:space="preserve">Condensed Consolidated Balance Sheets (Unaudited) </w:t>
              </w:r>
            </w:hyperlink>
            <w:hyperlink w:anchor="parti">
              <w:r>
                <w:rPr>
                  <w:rStyle w:val="InternetLink"/>
                  <w:rFonts w:ascii="Times New Roman;Times;serif" w:hAnsi="Times New Roman;Times;serif"/>
                  <w:caps w:val="false"/>
                  <w:smallCaps w:val="false"/>
                  <w:sz w:val="20"/>
                </w:rPr>
                <w:t>–</w:t>
              </w:r>
            </w:hyperlink>
            <w:hyperlink w:anchor="parti">
              <w:r>
                <w:rPr>
                  <w:rStyle w:val="InternetLink"/>
                  <w:rFonts w:ascii="Times New Roman;Times;serif" w:hAnsi="Times New Roman;Times;serif"/>
                  <w:caps w:val="false"/>
                  <w:smallCaps w:val="false"/>
                  <w:sz w:val="20"/>
                  <w:u w:val="single"/>
                </w:rPr>
                <w:t> March 31, 2025 and December 31, 2024</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26" w:type="dxa"/>
            <w:tcBorders/>
            <w:vAlign w:val="center"/>
          </w:tcPr>
          <w:p>
            <w:pPr>
              <w:pStyle w:val="TableContents"/>
              <w:bidi w:val="0"/>
              <w:spacing w:before="0" w:after="283"/>
              <w:jc w:val="left"/>
              <w:rPr/>
            </w:pPr>
            <w:r>
              <w:rPr/>
              <w:t> </w:t>
            </w:r>
          </w:p>
        </w:tc>
        <w:tc>
          <w:tcPr>
            <w:tcW w:w="8693" w:type="dxa"/>
            <w:tcBorders/>
            <w:vAlign w:val="center"/>
          </w:tcPr>
          <w:p>
            <w:pPr>
              <w:pStyle w:val="TableContents"/>
              <w:bidi w:val="0"/>
              <w:spacing w:before="0" w:after="0"/>
              <w:ind w:left="0" w:right="0" w:hanging="0"/>
              <w:jc w:val="both"/>
              <w:rPr/>
            </w:pPr>
            <w:hyperlink w:anchor="income">
              <w:r>
                <w:rPr>
                  <w:rStyle w:val="InternetLink"/>
                  <w:rFonts w:ascii="Times New Roman;Times;serif" w:hAnsi="Times New Roman;Times;serif"/>
                  <w:caps w:val="false"/>
                  <w:smallCaps w:val="false"/>
                  <w:sz w:val="20"/>
                  <w:u w:val="single"/>
                </w:rPr>
                <w:t xml:space="preserve">Condensed Consolidated Statements of Income (Unaudited) </w:t>
              </w:r>
            </w:hyperlink>
            <w:hyperlink w:anchor="income">
              <w:r>
                <w:rPr>
                  <w:rStyle w:val="InternetLink"/>
                  <w:rFonts w:ascii="Times New Roman;Times;serif" w:hAnsi="Times New Roman;Times;serif"/>
                  <w:caps w:val="false"/>
                  <w:smallCaps w:val="false"/>
                  <w:sz w:val="20"/>
                </w:rPr>
                <w:t>–</w:t>
              </w:r>
            </w:hyperlink>
            <w:hyperlink w:anchor="income">
              <w:r>
                <w:rPr>
                  <w:rStyle w:val="InternetLink"/>
                  <w:rFonts w:ascii="Times New Roman;Times;serif" w:hAnsi="Times New Roman;Times;serif"/>
                  <w:caps w:val="false"/>
                  <w:smallCaps w:val="false"/>
                  <w:sz w:val="20"/>
                  <w:u w:val="single"/>
                </w:rPr>
                <w:t> Three Months ended March 31, 2025 and 2024</w:t>
              </w:r>
            </w:hyperlink>
          </w:p>
        </w:tc>
        <w:tc>
          <w:tcPr>
            <w:tcW w:w="786"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caps w:val="false"/>
                  <w:smallCaps w:val="false"/>
                  <w:sz w:val="20"/>
                </w:rPr>
                <w:t>2</w:t>
              </w:r>
            </w:hyperlink>
          </w:p>
        </w:tc>
      </w:tr>
      <w:tr>
        <w:trPr/>
        <w:tc>
          <w:tcPr>
            <w:tcW w:w="726" w:type="dxa"/>
            <w:tcBorders/>
            <w:vAlign w:val="center"/>
          </w:tcPr>
          <w:p>
            <w:pPr>
              <w:pStyle w:val="TableContents"/>
              <w:bidi w:val="0"/>
              <w:spacing w:before="0" w:after="283"/>
              <w:jc w:val="left"/>
              <w:rPr/>
            </w:pPr>
            <w:r>
              <w:rPr/>
              <w:t> </w:t>
            </w:r>
          </w:p>
        </w:tc>
        <w:tc>
          <w:tcPr>
            <w:tcW w:w="8693" w:type="dxa"/>
            <w:tcBorders/>
            <w:vAlign w:val="center"/>
          </w:tcPr>
          <w:p>
            <w:pPr>
              <w:pStyle w:val="TableContents"/>
              <w:bidi w:val="0"/>
              <w:spacing w:before="0" w:after="0"/>
              <w:ind w:left="0" w:right="0" w:hanging="0"/>
              <w:jc w:val="both"/>
              <w:rPr/>
            </w:pPr>
            <w:hyperlink w:anchor="compinc">
              <w:r>
                <w:rPr>
                  <w:rStyle w:val="InternetLink"/>
                  <w:rFonts w:ascii="Times New Roman;Times;serif" w:hAnsi="Times New Roman;Times;serif"/>
                  <w:caps w:val="false"/>
                  <w:smallCaps w:val="false"/>
                  <w:sz w:val="20"/>
                  <w:u w:val="single"/>
                </w:rPr>
                <w:t xml:space="preserve">Condensed Consolidated Statements of Comprehensive Income (Unaudited) </w:t>
              </w:r>
            </w:hyperlink>
            <w:hyperlink w:anchor="compinc">
              <w:r>
                <w:rPr>
                  <w:rStyle w:val="InternetLink"/>
                  <w:rFonts w:ascii="Times New Roman;Times;serif" w:hAnsi="Times New Roman;Times;serif"/>
                  <w:caps w:val="false"/>
                  <w:smallCaps w:val="false"/>
                  <w:sz w:val="20"/>
                </w:rPr>
                <w:t>–</w:t>
              </w:r>
            </w:hyperlink>
            <w:hyperlink w:anchor="compinc">
              <w:r>
                <w:rPr>
                  <w:rStyle w:val="InternetLink"/>
                  <w:rFonts w:ascii="Times New Roman;Times;serif" w:hAnsi="Times New Roman;Times;serif"/>
                  <w:caps w:val="false"/>
                  <w:smallCaps w:val="false"/>
                  <w:sz w:val="20"/>
                  <w:u w:val="single"/>
                </w:rPr>
                <w:t> Three Months ended March 31, 2025 and 2024</w:t>
              </w:r>
            </w:hyperlink>
          </w:p>
        </w:tc>
        <w:tc>
          <w:tcPr>
            <w:tcW w:w="786" w:type="dxa"/>
            <w:tcBorders/>
            <w:vAlign w:val="center"/>
          </w:tcPr>
          <w:p>
            <w:pPr>
              <w:pStyle w:val="TableContents"/>
              <w:bidi w:val="0"/>
              <w:spacing w:before="0" w:after="0"/>
              <w:ind w:left="0" w:right="0" w:hanging="0"/>
              <w:jc w:val="right"/>
              <w:rPr/>
            </w:pPr>
            <w:hyperlink w:anchor="compinc">
              <w:r>
                <w:rPr>
                  <w:rStyle w:val="InternetLink"/>
                  <w:rFonts w:ascii="Times New Roman;Times;serif" w:hAnsi="Times New Roman;Times;serif"/>
                  <w:caps w:val="false"/>
                  <w:smallCaps w:val="false"/>
                  <w:sz w:val="20"/>
                </w:rPr>
                <w:t>3</w:t>
              </w:r>
            </w:hyperlink>
          </w:p>
        </w:tc>
      </w:tr>
      <w:tr>
        <w:trPr/>
        <w:tc>
          <w:tcPr>
            <w:tcW w:w="726" w:type="dxa"/>
            <w:tcBorders/>
            <w:vAlign w:val="center"/>
          </w:tcPr>
          <w:p>
            <w:pPr>
              <w:pStyle w:val="TableContents"/>
              <w:bidi w:val="0"/>
              <w:spacing w:before="0" w:after="283"/>
              <w:jc w:val="left"/>
              <w:rPr/>
            </w:pPr>
            <w:r>
              <w:rPr/>
              <w:t> </w:t>
            </w:r>
          </w:p>
        </w:tc>
        <w:tc>
          <w:tcPr>
            <w:tcW w:w="8693" w:type="dxa"/>
            <w:tcBorders/>
            <w:vAlign w:val="center"/>
          </w:tcPr>
          <w:p>
            <w:pPr>
              <w:pStyle w:val="TableContents"/>
              <w:bidi w:val="0"/>
              <w:spacing w:before="0" w:after="0"/>
              <w:ind w:left="0" w:right="0" w:hanging="0"/>
              <w:jc w:val="both"/>
              <w:rPr/>
            </w:pPr>
            <w:hyperlink w:anchor="she">
              <w:r>
                <w:rPr>
                  <w:rStyle w:val="InternetLink"/>
                  <w:rFonts w:ascii="Times New Roman;Times;serif" w:hAnsi="Times New Roman;Times;serif"/>
                  <w:caps w:val="false"/>
                  <w:smallCaps w:val="false"/>
                  <w:sz w:val="20"/>
                  <w:u w:val="single"/>
                </w:rPr>
                <w:t xml:space="preserve">Condensed Consolidated Statement of Shareholders' Equity (Unaudited) </w:t>
              </w:r>
            </w:hyperlink>
            <w:hyperlink w:anchor="she">
              <w:r>
                <w:rPr>
                  <w:rStyle w:val="InternetLink"/>
                  <w:rFonts w:ascii="Times New Roman;Times;serif" w:hAnsi="Times New Roman;Times;serif"/>
                  <w:caps w:val="false"/>
                  <w:smallCaps w:val="false"/>
                  <w:sz w:val="20"/>
                </w:rPr>
                <w:t>–</w:t>
              </w:r>
            </w:hyperlink>
            <w:hyperlink w:anchor="she">
              <w:r>
                <w:rPr>
                  <w:rStyle w:val="InternetLink"/>
                  <w:rFonts w:ascii="Times New Roman;Times;serif" w:hAnsi="Times New Roman;Times;serif"/>
                  <w:caps w:val="false"/>
                  <w:smallCaps w:val="false"/>
                  <w:sz w:val="20"/>
                  <w:u w:val="single"/>
                </w:rPr>
                <w:t> Three Months ended March 31, 2025 and 2024</w:t>
              </w:r>
            </w:hyperlink>
          </w:p>
        </w:tc>
        <w:tc>
          <w:tcPr>
            <w:tcW w:w="786" w:type="dxa"/>
            <w:tcBorders/>
            <w:vAlign w:val="center"/>
          </w:tcPr>
          <w:p>
            <w:pPr>
              <w:pStyle w:val="TableContents"/>
              <w:bidi w:val="0"/>
              <w:spacing w:before="0" w:after="0"/>
              <w:ind w:left="0" w:right="0" w:hanging="0"/>
              <w:jc w:val="right"/>
              <w:rPr/>
            </w:pPr>
            <w:hyperlink w:anchor="she">
              <w:r>
                <w:rPr>
                  <w:rStyle w:val="InternetLink"/>
                  <w:rFonts w:ascii="Times New Roman;Times;serif" w:hAnsi="Times New Roman;Times;serif"/>
                  <w:caps w:val="false"/>
                  <w:smallCaps w:val="false"/>
                  <w:sz w:val="20"/>
                </w:rPr>
                <w:t>4</w:t>
              </w:r>
            </w:hyperlink>
          </w:p>
        </w:tc>
      </w:tr>
      <w:tr>
        <w:trPr/>
        <w:tc>
          <w:tcPr>
            <w:tcW w:w="726" w:type="dxa"/>
            <w:tcBorders/>
            <w:vAlign w:val="center"/>
          </w:tcPr>
          <w:p>
            <w:pPr>
              <w:pStyle w:val="TableContents"/>
              <w:bidi w:val="0"/>
              <w:spacing w:before="0" w:after="283"/>
              <w:jc w:val="left"/>
              <w:rPr/>
            </w:pPr>
            <w:r>
              <w:rPr/>
              <w:t> </w:t>
            </w:r>
          </w:p>
        </w:tc>
        <w:tc>
          <w:tcPr>
            <w:tcW w:w="8693" w:type="dxa"/>
            <w:tcBorders/>
            <w:vAlign w:val="center"/>
          </w:tcPr>
          <w:p>
            <w:pPr>
              <w:pStyle w:val="TableContents"/>
              <w:bidi w:val="0"/>
              <w:spacing w:before="0" w:after="0"/>
              <w:ind w:left="0" w:right="0" w:hanging="0"/>
              <w:jc w:val="both"/>
              <w:rPr/>
            </w:pPr>
            <w:hyperlink w:anchor="cfs">
              <w:r>
                <w:rPr>
                  <w:rStyle w:val="InternetLink"/>
                  <w:rFonts w:ascii="Times New Roman;Times;serif" w:hAnsi="Times New Roman;Times;serif"/>
                  <w:caps w:val="false"/>
                  <w:smallCaps w:val="false"/>
                  <w:sz w:val="20"/>
                  <w:u w:val="single"/>
                </w:rPr>
                <w:t xml:space="preserve">Condensed Consolidated Statements of Cash Flows (Unaudited) </w:t>
              </w:r>
            </w:hyperlink>
            <w:hyperlink w:anchor="cfs">
              <w:r>
                <w:rPr>
                  <w:rStyle w:val="InternetLink"/>
                  <w:rFonts w:ascii="Times New Roman;Times;serif" w:hAnsi="Times New Roman;Times;serif"/>
                  <w:caps w:val="false"/>
                  <w:smallCaps w:val="false"/>
                  <w:sz w:val="20"/>
                </w:rPr>
                <w:t>–</w:t>
              </w:r>
            </w:hyperlink>
            <w:hyperlink w:anchor="cfs">
              <w:r>
                <w:rPr>
                  <w:rStyle w:val="InternetLink"/>
                  <w:rFonts w:ascii="Times New Roman;Times;serif" w:hAnsi="Times New Roman;Times;serif"/>
                  <w:caps w:val="false"/>
                  <w:smallCaps w:val="false"/>
                  <w:sz w:val="20"/>
                  <w:u w:val="single"/>
                </w:rPr>
                <w:t> Three Months ended March 31, 2025 and 2024</w:t>
              </w:r>
            </w:hyperlink>
          </w:p>
        </w:tc>
        <w:tc>
          <w:tcPr>
            <w:tcW w:w="786" w:type="dxa"/>
            <w:tcBorders/>
            <w:vAlign w:val="center"/>
          </w:tcPr>
          <w:p>
            <w:pPr>
              <w:pStyle w:val="TableContents"/>
              <w:bidi w:val="0"/>
              <w:spacing w:before="0" w:after="0"/>
              <w:ind w:left="0" w:right="0" w:hanging="0"/>
              <w:jc w:val="right"/>
              <w:rPr/>
            </w:pPr>
            <w:hyperlink w:anchor="cfs">
              <w:r>
                <w:rPr>
                  <w:rStyle w:val="InternetLink"/>
                  <w:rFonts w:ascii="Times New Roman;Times;serif" w:hAnsi="Times New Roman;Times;serif"/>
                  <w:caps w:val="false"/>
                  <w:smallCaps w:val="false"/>
                  <w:sz w:val="20"/>
                </w:rPr>
                <w:t>5</w:t>
              </w:r>
            </w:hyperlink>
          </w:p>
        </w:tc>
      </w:tr>
      <w:tr>
        <w:trPr/>
        <w:tc>
          <w:tcPr>
            <w:tcW w:w="726" w:type="dxa"/>
            <w:tcBorders/>
            <w:vAlign w:val="center"/>
          </w:tcPr>
          <w:p>
            <w:pPr>
              <w:pStyle w:val="TableContents"/>
              <w:bidi w:val="0"/>
              <w:spacing w:before="0" w:after="283"/>
              <w:jc w:val="left"/>
              <w:rPr/>
            </w:pPr>
            <w:r>
              <w:rPr/>
              <w:t> </w:t>
            </w:r>
          </w:p>
        </w:tc>
        <w:tc>
          <w:tcPr>
            <w:tcW w:w="8693" w:type="dxa"/>
            <w:tcBorders/>
            <w:vAlign w:val="center"/>
          </w:tcPr>
          <w:p>
            <w:pPr>
              <w:pStyle w:val="TableContents"/>
              <w:bidi w:val="0"/>
              <w:spacing w:before="0" w:after="0"/>
              <w:ind w:left="0" w:right="0" w:hanging="0"/>
              <w:jc w:val="both"/>
              <w:rPr/>
            </w:pPr>
            <w:hyperlink w:anchor="notes">
              <w:r>
                <w:rPr>
                  <w:rStyle w:val="InternetLink"/>
                  <w:rFonts w:ascii="Times New Roman;Times;serif" w:hAnsi="Times New Roman;Times;serif"/>
                  <w:caps w:val="false"/>
                  <w:smallCaps w:val="false"/>
                  <w:sz w:val="20"/>
                  <w:u w:val="single"/>
                </w:rPr>
                <w:t>Notes to Condensed Consolidated Financial Statements (Unaudited)</w:t>
              </w:r>
            </w:hyperlink>
          </w:p>
        </w:tc>
        <w:tc>
          <w:tcPr>
            <w:tcW w:w="786"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caps w:val="false"/>
                  <w:smallCaps w:val="false"/>
                  <w:sz w:val="20"/>
                </w:rPr>
                <w:t>6</w:t>
              </w:r>
            </w:hyperlink>
          </w:p>
        </w:tc>
      </w:tr>
      <w:tr>
        <w:trPr/>
        <w:tc>
          <w:tcPr>
            <w:tcW w:w="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693" w:type="dxa"/>
            <w:tcBorders/>
            <w:vAlign w:val="center"/>
          </w:tcPr>
          <w:p>
            <w:pPr>
              <w:pStyle w:val="TableContents"/>
              <w:bidi w:val="0"/>
              <w:spacing w:before="0" w:after="0"/>
              <w:ind w:left="0" w:right="0" w:hanging="0"/>
              <w:jc w:val="both"/>
              <w:rPr/>
            </w:pPr>
            <w:hyperlink w:anchor="mda">
              <w:r>
                <w:rPr>
                  <w:rStyle w:val="InternetLink"/>
                  <w:rFonts w:ascii="Times New Roman;Times;serif" w:hAnsi="Times New Roman;Times;serif"/>
                  <w:caps w:val="false"/>
                  <w:smallCaps w:val="false"/>
                  <w:sz w:val="20"/>
                  <w:u w:val="single"/>
                </w:rPr>
                <w:t>Management's Discussion and Analysis of Financial Condition and Results of Operations</w:t>
              </w:r>
            </w:hyperlink>
          </w:p>
        </w:tc>
        <w:tc>
          <w:tcPr>
            <w:tcW w:w="786" w:type="dxa"/>
            <w:tcBorders/>
            <w:vAlign w:val="center"/>
          </w:tcPr>
          <w:p>
            <w:pPr>
              <w:pStyle w:val="TableContents"/>
              <w:bidi w:val="0"/>
              <w:spacing w:before="0" w:after="0"/>
              <w:ind w:left="0" w:right="0" w:hanging="0"/>
              <w:jc w:val="right"/>
              <w:rPr/>
            </w:pPr>
            <w:hyperlink w:anchor="mda">
              <w:r>
                <w:rPr>
                  <w:rStyle w:val="InternetLink"/>
                  <w:rFonts w:ascii="Times New Roman;Times;serif" w:hAnsi="Times New Roman;Times;serif"/>
                  <w:caps w:val="false"/>
                  <w:smallCaps w:val="false"/>
                  <w:sz w:val="20"/>
                </w:rPr>
                <w:t>12</w:t>
              </w:r>
            </w:hyperlink>
          </w:p>
        </w:tc>
      </w:tr>
      <w:tr>
        <w:trPr/>
        <w:tc>
          <w:tcPr>
            <w:tcW w:w="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693" w:type="dxa"/>
            <w:tcBorders/>
            <w:vAlign w:val="center"/>
          </w:tcPr>
          <w:p>
            <w:pPr>
              <w:pStyle w:val="TableContents"/>
              <w:bidi w:val="0"/>
              <w:spacing w:before="0" w:after="0"/>
              <w:ind w:left="0" w:right="0" w:hanging="0"/>
              <w:jc w:val="both"/>
              <w:rPr/>
            </w:pPr>
            <w:hyperlink w:anchor="qqmdr">
              <w:r>
                <w:rPr>
                  <w:rStyle w:val="InternetLink"/>
                  <w:rFonts w:ascii="Times New Roman;Times;serif" w:hAnsi="Times New Roman;Times;serif"/>
                  <w:caps w:val="false"/>
                  <w:smallCaps w:val="false"/>
                  <w:sz w:val="20"/>
                  <w:u w:val="single"/>
                </w:rPr>
                <w:t>Quantitative and Qualitative Disclosures about Market Risk</w:t>
              </w:r>
            </w:hyperlink>
          </w:p>
        </w:tc>
        <w:tc>
          <w:tcPr>
            <w:tcW w:w="786" w:type="dxa"/>
            <w:tcBorders/>
            <w:vAlign w:val="center"/>
          </w:tcPr>
          <w:p>
            <w:pPr>
              <w:pStyle w:val="TableContents"/>
              <w:bidi w:val="0"/>
              <w:spacing w:before="0" w:after="0"/>
              <w:ind w:left="0" w:right="0" w:hanging="0"/>
              <w:jc w:val="right"/>
              <w:rPr/>
            </w:pPr>
            <w:hyperlink w:anchor="qqmdr">
              <w:r>
                <w:rPr>
                  <w:rStyle w:val="InternetLink"/>
                  <w:rFonts w:ascii="Times New Roman;Times;serif" w:hAnsi="Times New Roman;Times;serif"/>
                  <w:caps w:val="false"/>
                  <w:smallCaps w:val="false"/>
                  <w:sz w:val="20"/>
                </w:rPr>
                <w:t>17</w:t>
              </w:r>
            </w:hyperlink>
          </w:p>
        </w:tc>
      </w:tr>
      <w:tr>
        <w:trPr/>
        <w:tc>
          <w:tcPr>
            <w:tcW w:w="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693" w:type="dxa"/>
            <w:tcBorders/>
            <w:vAlign w:val="center"/>
          </w:tcPr>
          <w:p>
            <w:pPr>
              <w:pStyle w:val="TableContents"/>
              <w:bidi w:val="0"/>
              <w:spacing w:before="0" w:after="0"/>
              <w:ind w:left="0" w:right="0" w:hanging="0"/>
              <w:jc w:val="both"/>
              <w:rPr/>
            </w:pPr>
            <w:hyperlink w:anchor="cps">
              <w:r>
                <w:rPr>
                  <w:rStyle w:val="InternetLink"/>
                  <w:rFonts w:ascii="Times New Roman;Times;serif" w:hAnsi="Times New Roman;Times;serif"/>
                  <w:caps w:val="false"/>
                  <w:smallCaps w:val="false"/>
                  <w:sz w:val="20"/>
                  <w:u w:val="single"/>
                </w:rPr>
                <w:t>Controls and Procedures</w:t>
              </w:r>
            </w:hyperlink>
          </w:p>
        </w:tc>
        <w:tc>
          <w:tcPr>
            <w:tcW w:w="786" w:type="dxa"/>
            <w:tcBorders/>
            <w:vAlign w:val="center"/>
          </w:tcPr>
          <w:p>
            <w:pPr>
              <w:pStyle w:val="TableContents"/>
              <w:bidi w:val="0"/>
              <w:spacing w:before="0" w:after="0"/>
              <w:ind w:left="0" w:right="0" w:hanging="0"/>
              <w:jc w:val="right"/>
              <w:rPr/>
            </w:pPr>
            <w:hyperlink w:anchor="cps">
              <w:r>
                <w:rPr>
                  <w:rStyle w:val="InternetLink"/>
                  <w:rFonts w:ascii="Times New Roman;Times;serif" w:hAnsi="Times New Roman;Times;serif"/>
                  <w:caps w:val="false"/>
                  <w:smallCaps w:val="false"/>
                  <w:sz w:val="20"/>
                </w:rPr>
                <w:t>17</w:t>
              </w:r>
            </w:hyperlink>
          </w:p>
        </w:tc>
      </w:tr>
      <w:tr>
        <w:trPr/>
        <w:tc>
          <w:tcPr>
            <w:tcW w:w="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Part II.</w:t>
            </w:r>
          </w:p>
        </w:tc>
        <w:tc>
          <w:tcPr>
            <w:tcW w:w="8693" w:type="dxa"/>
            <w:tcBorders/>
            <w:vAlign w:val="center"/>
          </w:tcPr>
          <w:p>
            <w:pPr>
              <w:pStyle w:val="TableContents"/>
              <w:bidi w:val="0"/>
              <w:spacing w:before="0" w:after="0"/>
              <w:ind w:left="0" w:right="0" w:hanging="0"/>
              <w:jc w:val="both"/>
              <w:rPr/>
            </w:pPr>
            <w:hyperlink w:anchor="partii">
              <w:r>
                <w:rPr>
                  <w:rStyle w:val="InternetLink"/>
                  <w:rFonts w:ascii="Times New Roman;Times;serif" w:hAnsi="Times New Roman;Times;serif"/>
                  <w:caps w:val="false"/>
                  <w:smallCaps w:val="false"/>
                  <w:sz w:val="20"/>
                  <w:u w:val="single"/>
                </w:rPr>
                <w:t>Other Information</w:t>
              </w:r>
            </w:hyperlink>
          </w:p>
        </w:tc>
        <w:tc>
          <w:tcPr>
            <w:tcW w:w="786" w:type="dxa"/>
            <w:tcBorders/>
            <w:vAlign w:val="center"/>
          </w:tcPr>
          <w:p>
            <w:pPr>
              <w:pStyle w:val="TableContents"/>
              <w:bidi w:val="0"/>
              <w:spacing w:before="0" w:after="0"/>
              <w:ind w:left="0" w:right="0" w:hanging="0"/>
              <w:jc w:val="right"/>
              <w:rPr/>
            </w:pPr>
            <w:hyperlink w:anchor="partii">
              <w:r>
                <w:rPr>
                  <w:rStyle w:val="InternetLink"/>
                  <w:rFonts w:ascii="Times New Roman;Times;serif" w:hAnsi="Times New Roman;Times;serif"/>
                  <w:caps w:val="false"/>
                  <w:smallCaps w:val="false"/>
                  <w:sz w:val="20"/>
                </w:rPr>
                <w:t>18</w:t>
              </w:r>
            </w:hyperlink>
          </w:p>
        </w:tc>
      </w:tr>
      <w:tr>
        <w:trPr/>
        <w:tc>
          <w:tcPr>
            <w:tcW w:w="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693" w:type="dxa"/>
            <w:tcBorders/>
            <w:vAlign w:val="center"/>
          </w:tcPr>
          <w:p>
            <w:pPr>
              <w:pStyle w:val="TableContents"/>
              <w:bidi w:val="0"/>
              <w:spacing w:before="0" w:after="283"/>
              <w:jc w:val="left"/>
              <w:rPr/>
            </w:pPr>
            <w:hyperlink w:anchor="Item_1_Legal_Proceedings">
              <w:r>
                <w:rPr>
                  <w:rStyle w:val="InternetLink"/>
                  <w:rFonts w:ascii="Times New Roman;Times;serif" w:hAnsi="Times New Roman;Times;serif"/>
                  <w:sz w:val="20"/>
                </w:rPr>
                <w:t>Legal Proceedings</w:t>
              </w:r>
            </w:hyperlink>
          </w:p>
        </w:tc>
        <w:tc>
          <w:tcPr>
            <w:tcW w:w="786" w:type="dxa"/>
            <w:tcBorders/>
            <w:vAlign w:val="center"/>
          </w:tcPr>
          <w:p>
            <w:pPr>
              <w:pStyle w:val="TableContents"/>
              <w:bidi w:val="0"/>
              <w:spacing w:before="0" w:after="283"/>
              <w:jc w:val="right"/>
              <w:rPr/>
            </w:pPr>
            <w:hyperlink w:anchor="Item_1_Legal_Proceedings">
              <w:r>
                <w:rPr>
                  <w:rStyle w:val="InternetLink"/>
                  <w:rFonts w:ascii="Times New Roman;Times;serif" w:hAnsi="Times New Roman;Times;serif"/>
                  <w:sz w:val="20"/>
                </w:rPr>
                <w:t>18</w:t>
              </w:r>
            </w:hyperlink>
          </w:p>
        </w:tc>
      </w:tr>
      <w:tr>
        <w:trPr/>
        <w:tc>
          <w:tcPr>
            <w:tcW w:w="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693" w:type="dxa"/>
            <w:tcBorders/>
            <w:vAlign w:val="center"/>
          </w:tcPr>
          <w:p>
            <w:pPr>
              <w:pStyle w:val="TableContents"/>
              <w:bidi w:val="0"/>
              <w:spacing w:before="0" w:after="0"/>
              <w:ind w:left="0" w:right="0" w:hanging="0"/>
              <w:jc w:val="both"/>
              <w:rPr/>
            </w:pPr>
            <w:hyperlink w:anchor="risks">
              <w:r>
                <w:rPr>
                  <w:rStyle w:val="InternetLink"/>
                  <w:rFonts w:ascii="Times New Roman;Times;serif" w:hAnsi="Times New Roman;Times;serif"/>
                  <w:caps w:val="false"/>
                  <w:smallCaps w:val="false"/>
                  <w:sz w:val="20"/>
                  <w:u w:val="single"/>
                </w:rPr>
                <w:t>Risk Factors</w:t>
              </w:r>
            </w:hyperlink>
          </w:p>
        </w:tc>
        <w:tc>
          <w:tcPr>
            <w:tcW w:w="786" w:type="dxa"/>
            <w:tcBorders/>
            <w:vAlign w:val="center"/>
          </w:tcPr>
          <w:p>
            <w:pPr>
              <w:pStyle w:val="TableContents"/>
              <w:bidi w:val="0"/>
              <w:spacing w:before="0" w:after="0"/>
              <w:ind w:left="0" w:right="0" w:hanging="0"/>
              <w:jc w:val="right"/>
              <w:rPr/>
            </w:pPr>
            <w:hyperlink w:anchor="risks">
              <w:r>
                <w:rPr>
                  <w:rStyle w:val="InternetLink"/>
                  <w:rFonts w:ascii="Times New Roman;Times;serif" w:hAnsi="Times New Roman;Times;serif"/>
                  <w:caps w:val="false"/>
                  <w:smallCaps w:val="false"/>
                  <w:sz w:val="20"/>
                </w:rPr>
                <w:t>18</w:t>
              </w:r>
            </w:hyperlink>
          </w:p>
        </w:tc>
      </w:tr>
      <w:tr>
        <w:trPr/>
        <w:tc>
          <w:tcPr>
            <w:tcW w:w="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693" w:type="dxa"/>
            <w:tcBorders/>
            <w:vAlign w:val="center"/>
          </w:tcPr>
          <w:p>
            <w:pPr>
              <w:pStyle w:val="TableContents"/>
              <w:bidi w:val="0"/>
              <w:spacing w:before="0" w:after="283"/>
              <w:jc w:val="left"/>
              <w:rPr/>
            </w:pPr>
            <w:hyperlink w:anchor="Item_2_Sales_of_Equity">
              <w:r>
                <w:rPr>
                  <w:rStyle w:val="InternetLink"/>
                  <w:rFonts w:ascii="Times New Roman;Times;serif" w:hAnsi="Times New Roman;Times;serif"/>
                  <w:sz w:val="20"/>
                </w:rPr>
                <w:t>Unregistered Sales of Equity Securities and Use of Proceeds</w:t>
              </w:r>
            </w:hyperlink>
          </w:p>
        </w:tc>
        <w:tc>
          <w:tcPr>
            <w:tcW w:w="786" w:type="dxa"/>
            <w:tcBorders/>
            <w:vAlign w:val="center"/>
          </w:tcPr>
          <w:p>
            <w:pPr>
              <w:pStyle w:val="TableContents"/>
              <w:bidi w:val="0"/>
              <w:spacing w:before="0" w:after="283"/>
              <w:jc w:val="right"/>
              <w:rPr/>
            </w:pPr>
            <w:hyperlink w:anchor="Item_2_Sales_of_Equity">
              <w:r>
                <w:rPr>
                  <w:rStyle w:val="InternetLink"/>
                  <w:rFonts w:ascii="Times New Roman;Times;serif" w:hAnsi="Times New Roman;Times;serif"/>
                  <w:sz w:val="20"/>
                </w:rPr>
                <w:t>19</w:t>
              </w:r>
            </w:hyperlink>
          </w:p>
        </w:tc>
      </w:tr>
      <w:tr>
        <w:trPr/>
        <w:tc>
          <w:tcPr>
            <w:tcW w:w="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693" w:type="dxa"/>
            <w:tcBorders/>
            <w:vAlign w:val="center"/>
          </w:tcPr>
          <w:p>
            <w:pPr>
              <w:pStyle w:val="TableContents"/>
              <w:bidi w:val="0"/>
              <w:spacing w:before="0" w:after="283"/>
              <w:jc w:val="left"/>
              <w:rPr/>
            </w:pPr>
            <w:hyperlink w:anchor="Item_5_Other_Info">
              <w:r>
                <w:rPr>
                  <w:rStyle w:val="InternetLink"/>
                  <w:rFonts w:ascii="Times New Roman;Times;serif" w:hAnsi="Times New Roman;Times;serif"/>
                  <w:sz w:val="20"/>
                </w:rPr>
                <w:t>Other Information</w:t>
              </w:r>
            </w:hyperlink>
          </w:p>
        </w:tc>
        <w:tc>
          <w:tcPr>
            <w:tcW w:w="786" w:type="dxa"/>
            <w:tcBorders/>
            <w:vAlign w:val="center"/>
          </w:tcPr>
          <w:p>
            <w:pPr>
              <w:pStyle w:val="TableContents"/>
              <w:bidi w:val="0"/>
              <w:spacing w:before="0" w:after="283"/>
              <w:jc w:val="right"/>
              <w:rPr/>
            </w:pPr>
            <w:hyperlink w:anchor="Item_5_Other_Info">
              <w:r>
                <w:rPr>
                  <w:rStyle w:val="InternetLink"/>
                  <w:rFonts w:ascii="Times New Roman;Times;serif" w:hAnsi="Times New Roman;Times;serif"/>
                  <w:sz w:val="20"/>
                </w:rPr>
                <w:t>19</w:t>
              </w:r>
            </w:hyperlink>
          </w:p>
        </w:tc>
      </w:tr>
      <w:tr>
        <w:trPr/>
        <w:tc>
          <w:tcPr>
            <w:tcW w:w="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693" w:type="dxa"/>
            <w:tcBorders/>
            <w:vAlign w:val="center"/>
          </w:tcPr>
          <w:p>
            <w:pPr>
              <w:pStyle w:val="TableContents"/>
              <w:bidi w:val="0"/>
              <w:spacing w:before="0" w:after="0"/>
              <w:ind w:left="0" w:right="0" w:hanging="0"/>
              <w:jc w:val="both"/>
              <w:rPr/>
            </w:pPr>
            <w:hyperlink w:anchor="exs">
              <w:r>
                <w:rPr>
                  <w:rStyle w:val="InternetLink"/>
                  <w:rFonts w:ascii="Times New Roman;Times;serif" w:hAnsi="Times New Roman;Times;serif"/>
                  <w:caps w:val="false"/>
                  <w:smallCaps w:val="false"/>
                  <w:sz w:val="20"/>
                  <w:u w:val="single"/>
                </w:rPr>
                <w:t>Exhibits</w:t>
              </w:r>
            </w:hyperlink>
          </w:p>
        </w:tc>
        <w:tc>
          <w:tcPr>
            <w:tcW w:w="786" w:type="dxa"/>
            <w:tcBorders/>
            <w:vAlign w:val="center"/>
          </w:tcPr>
          <w:p>
            <w:pPr>
              <w:pStyle w:val="TableContents"/>
              <w:bidi w:val="0"/>
              <w:spacing w:before="0" w:after="0"/>
              <w:ind w:left="0" w:right="0" w:hanging="0"/>
              <w:jc w:val="right"/>
              <w:rPr/>
            </w:pPr>
            <w:hyperlink w:anchor="exs">
              <w:r>
                <w:rPr>
                  <w:rStyle w:val="InternetLink"/>
                  <w:rFonts w:ascii="Times New Roman;Times;serif" w:hAnsi="Times New Roman;Times;serif"/>
                  <w:caps w:val="false"/>
                  <w:smallCaps w:val="false"/>
                  <w:sz w:val="20"/>
                </w:rPr>
                <w:t>19</w:t>
              </w:r>
            </w:hyperlink>
          </w:p>
        </w:tc>
      </w:tr>
      <w:tr>
        <w:trPr/>
        <w:tc>
          <w:tcPr>
            <w:tcW w:w="726" w:type="dxa"/>
            <w:tcBorders/>
            <w:vAlign w:val="center"/>
          </w:tcPr>
          <w:p>
            <w:pPr>
              <w:pStyle w:val="TableContents"/>
              <w:bidi w:val="0"/>
              <w:spacing w:before="0" w:after="283"/>
              <w:jc w:val="left"/>
              <w:rPr/>
            </w:pPr>
            <w:r>
              <w:rPr/>
              <w:t> </w:t>
            </w:r>
          </w:p>
        </w:tc>
        <w:tc>
          <w:tcPr>
            <w:tcW w:w="8693" w:type="dxa"/>
            <w:tcBorders/>
            <w:vAlign w:val="center"/>
          </w:tcPr>
          <w:p>
            <w:pPr>
              <w:pStyle w:val="TableContents"/>
              <w:bidi w:val="0"/>
              <w:spacing w:before="0" w:after="0"/>
              <w:ind w:left="0" w:right="0" w:hanging="0"/>
              <w:jc w:val="both"/>
              <w:rPr/>
            </w:pPr>
            <w:hyperlink w:anchor="sigs">
              <w:r>
                <w:rPr>
                  <w:rStyle w:val="InternetLink"/>
                  <w:rFonts w:ascii="Times New Roman;Times;serif" w:hAnsi="Times New Roman;Times;serif"/>
                  <w:caps w:val="false"/>
                  <w:smallCaps w:val="false"/>
                  <w:sz w:val="20"/>
                  <w:u w:val="single"/>
                </w:rPr>
                <w:t>SIGNATURE</w:t>
              </w:r>
            </w:hyperlink>
          </w:p>
        </w:tc>
        <w:tc>
          <w:tcPr>
            <w:tcW w:w="786"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caps w:val="false"/>
                  <w:smallCaps w:val="false"/>
                  <w:sz w:val="20"/>
                </w:rPr>
                <w:t>20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i/>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63"/>
        <w:gridCol w:w="60"/>
        <w:gridCol w:w="129"/>
        <w:gridCol w:w="720"/>
        <w:gridCol w:w="80"/>
        <w:gridCol w:w="60"/>
        <w:gridCol w:w="153"/>
        <w:gridCol w:w="858"/>
        <w:gridCol w:w="82"/>
      </w:tblGrid>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59,469</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37,748</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30,189</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unbilled</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5,133</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20,583</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153,122</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10,741</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net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43,370</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 net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17,453</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191,220</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55,548</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39,312</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524,036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510,766</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6,628</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royalties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5,190</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9,507</w:t>
            </w:r>
          </w:p>
        </w:tc>
        <w:tc>
          <w:tcPr>
            <w:tcW w:w="82" w:type="dxa"/>
            <w:tcBorders/>
            <w:shd w:fill="CCEEFF" w:val="clear"/>
            <w:vAlign w:val="center"/>
          </w:tcPr>
          <w:p>
            <w:pPr>
              <w:pStyle w:val="TableContents"/>
              <w:bidi w:val="0"/>
              <w:spacing w:before="0" w:after="0"/>
              <w:jc w:val="left"/>
              <w:rPr/>
            </w:pPr>
            <w:r>
              <w:rPr/>
              <w:t> </w:t>
            </w:r>
          </w:p>
        </w:tc>
      </w:tr>
      <w:tr>
        <w:trPr/>
        <w:tc>
          <w:tcPr>
            <w:tcW w:w="806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84,227</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115,693</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14,596</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noncurrent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noncurrent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17,366</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no par value, 10,000 shares authorized, no shares issued or outstanding</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75,000 shares authorized; 30,525 and 30,432 shares issued and outstanding at March 31,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252,432</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108,972</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63"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359,355</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510,766</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 w:name="income"/>
      <w:bookmarkEnd w:id="4"/>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INCOME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7824" w:type="dxa"/>
        <w:jc w:val="left"/>
        <w:tblInd w:w="0" w:type="dxa"/>
        <w:tblLayout w:type="fixed"/>
        <w:tblCellMar>
          <w:top w:w="0" w:type="dxa"/>
          <w:left w:w="0" w:type="dxa"/>
          <w:bottom w:w="0" w:type="dxa"/>
          <w:right w:w="0" w:type="dxa"/>
        </w:tblCellMar>
      </w:tblPr>
      <w:tblGrid>
        <w:gridCol w:w="4850"/>
        <w:gridCol w:w="60"/>
        <w:gridCol w:w="234"/>
        <w:gridCol w:w="1105"/>
        <w:gridCol w:w="89"/>
        <w:gridCol w:w="67"/>
        <w:gridCol w:w="234"/>
        <w:gridCol w:w="1105"/>
        <w:gridCol w:w="8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73,485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72,760</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24,617</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12,047</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12,032</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12,149</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11,773</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8,669</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8,312</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10,336</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69,107</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67,070</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4,378</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5,690</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931</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904</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provision</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6,543</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of common stock outstanding:</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30,444</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30,313</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30,587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30,418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0.031</w:t>
            </w:r>
          </w:p>
        </w:tc>
        <w:tc>
          <w:tcPr>
            <w:tcW w:w="89" w:type="dxa"/>
            <w:tcBorders/>
            <w:shd w:fill="FFFFFF" w:val="clear"/>
            <w:vAlign w:val="center"/>
          </w:tcPr>
          <w:p>
            <w:pPr>
              <w:pStyle w:val="TableContents"/>
              <w:bidi w:val="0"/>
              <w:spacing w:before="0" w:after="0"/>
              <w:ind w:left="0" w:right="0" w:hanging="0"/>
              <w:jc w:val="left"/>
              <w:rPr/>
            </w:pPr>
            <w:r>
              <w:rPr/>
              <w:t> </w:t>
            </w:r>
          </w:p>
        </w:tc>
        <w:tc>
          <w:tcPr>
            <w:tcW w:w="67" w:type="dxa"/>
            <w:tcBorders/>
            <w:shd w:fill="FFFF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0.028</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5" w:name="compinc"/>
      <w:bookmarkEnd w:id="5"/>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INCOME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950"/>
        <w:gridCol w:w="60"/>
        <w:gridCol w:w="273"/>
        <w:gridCol w:w="1066"/>
        <w:gridCol w:w="103"/>
        <w:gridCol w:w="77"/>
        <w:gridCol w:w="273"/>
        <w:gridCol w:w="1066"/>
        <w:gridCol w:w="80"/>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taxes: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income (loss)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4,362</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6" w:name="she"/>
      <w:bookmarkEnd w:id="6"/>
      <w:r>
        <w:rPr>
          <w:rFonts w:ascii="Times New Roman;Times;serif" w:hAnsi="Times New Roman;Times;serif"/>
          <w:b/>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SHAREHOLDERS' EQUITY (UNAUDITED)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per share data)</w:t>
      </w:r>
      <w:r>
        <w:rPr>
          <w:rFonts w:ascii="Times New Roman" w:hAnsi="Times New Roman"/>
          <w:caps w:val="false"/>
          <w:smallCaps w:val="false"/>
          <w:sz w:val="20"/>
        </w:rPr>
        <w:br/>
        <w:t> </w:t>
      </w:r>
    </w:p>
    <w:tbl>
      <w:tblPr>
        <w:tblW w:w="10205" w:type="dxa"/>
        <w:jc w:val="left"/>
        <w:tblInd w:w="0" w:type="dxa"/>
        <w:tblLayout w:type="fixed"/>
        <w:tblCellMar>
          <w:top w:w="0" w:type="dxa"/>
          <w:left w:w="0" w:type="dxa"/>
          <w:bottom w:w="0" w:type="dxa"/>
          <w:right w:w="0" w:type="dxa"/>
        </w:tblCellMar>
      </w:tblPr>
      <w:tblGrid>
        <w:gridCol w:w="3797"/>
        <w:gridCol w:w="60"/>
        <w:gridCol w:w="60"/>
        <w:gridCol w:w="590"/>
        <w:gridCol w:w="60"/>
        <w:gridCol w:w="60"/>
        <w:gridCol w:w="125"/>
        <w:gridCol w:w="695"/>
        <w:gridCol w:w="80"/>
        <w:gridCol w:w="60"/>
        <w:gridCol w:w="125"/>
        <w:gridCol w:w="695"/>
        <w:gridCol w:w="80"/>
        <w:gridCol w:w="60"/>
        <w:gridCol w:w="382"/>
        <w:gridCol w:w="1670"/>
        <w:gridCol w:w="80"/>
        <w:gridCol w:w="60"/>
        <w:gridCol w:w="207"/>
        <w:gridCol w:w="1161"/>
        <w:gridCol w:w="98"/>
      </w:tblGrid>
      <w:tr>
        <w:trPr/>
        <w:tc>
          <w:tcPr>
            <w:tcW w:w="3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 2025</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Shareholders’</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359,355</w:t>
            </w:r>
          </w:p>
        </w:tc>
        <w:tc>
          <w:tcPr>
            <w:tcW w:w="98"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ind w:left="0" w:right="0" w:hanging="0"/>
              <w:jc w:val="left"/>
              <w:rPr/>
            </w:pPr>
            <w:r>
              <w:rPr/>
              <w:t> </w:t>
            </w:r>
          </w:p>
        </w:tc>
        <w:tc>
          <w:tcPr>
            <w:tcW w:w="16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1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98"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($0.031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(943</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16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98"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362,808</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22"/>
        <w:gridCol w:w="60"/>
        <w:gridCol w:w="60"/>
        <w:gridCol w:w="590"/>
        <w:gridCol w:w="60"/>
        <w:gridCol w:w="60"/>
        <w:gridCol w:w="125"/>
        <w:gridCol w:w="695"/>
        <w:gridCol w:w="80"/>
        <w:gridCol w:w="60"/>
        <w:gridCol w:w="136"/>
        <w:gridCol w:w="649"/>
        <w:gridCol w:w="80"/>
        <w:gridCol w:w="60"/>
        <w:gridCol w:w="383"/>
        <w:gridCol w:w="1676"/>
        <w:gridCol w:w="80"/>
        <w:gridCol w:w="60"/>
        <w:gridCol w:w="207"/>
        <w:gridCol w:w="1164"/>
        <w:gridCol w:w="98"/>
      </w:tblGrid>
      <w:tr>
        <w:trPr/>
        <w:tc>
          <w:tcPr>
            <w:tcW w:w="3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2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 2024</w:t>
            </w:r>
          </w:p>
        </w:tc>
        <w:tc>
          <w:tcPr>
            <w:tcW w:w="98" w:type="dxa"/>
            <w:tcBorders/>
            <w:shd w:fill="FFFFFF" w:val="clear"/>
            <w:vAlign w:val="center"/>
          </w:tcPr>
          <w:p>
            <w:pPr>
              <w:pStyle w:val="TableContents"/>
              <w:bidi w:val="0"/>
              <w:spacing w:before="0" w:after="283"/>
              <w:jc w:val="left"/>
              <w:rPr/>
            </w:pPr>
            <w:r>
              <w:rPr/>
              <w:t> </w:t>
            </w:r>
          </w:p>
        </w:tc>
      </w:tr>
      <w:tr>
        <w:trPr/>
        <w:tc>
          <w:tcPr>
            <w:tcW w:w="3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Shareholders’</w:t>
            </w:r>
          </w:p>
        </w:tc>
        <w:tc>
          <w:tcPr>
            <w:tcW w:w="98" w:type="dxa"/>
            <w:tcBorders/>
            <w:shd w:fill="FFFFFF" w:val="clear"/>
            <w:vAlign w:val="center"/>
          </w:tcPr>
          <w:p>
            <w:pPr>
              <w:pStyle w:val="TableContents"/>
              <w:bidi w:val="0"/>
              <w:spacing w:before="0" w:after="283"/>
              <w:jc w:val="left"/>
              <w:rPr/>
            </w:pPr>
            <w:r>
              <w:rPr/>
              <w:t> </w:t>
            </w:r>
          </w:p>
        </w:tc>
      </w:tr>
      <w:tr>
        <w:trPr/>
        <w:tc>
          <w:tcPr>
            <w:tcW w:w="3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98" w:type="dxa"/>
            <w:tcBorders/>
            <w:shd w:fill="FFFFFF" w:val="clear"/>
            <w:vAlign w:val="center"/>
          </w:tcPr>
          <w:p>
            <w:pPr>
              <w:pStyle w:val="TableContents"/>
              <w:bidi w:val="0"/>
              <w:spacing w:before="0" w:after="283"/>
              <w:jc w:val="left"/>
              <w:rPr/>
            </w:pPr>
            <w:r>
              <w:rPr/>
              <w:t> </w:t>
            </w:r>
          </w:p>
        </w:tc>
      </w:tr>
      <w:tr>
        <w:trPr/>
        <w:tc>
          <w:tcPr>
            <w:tcW w:w="38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340,752</w:t>
            </w:r>
          </w:p>
        </w:tc>
        <w:tc>
          <w:tcPr>
            <w:tcW w:w="98" w:type="dxa"/>
            <w:tcBorders/>
            <w:shd w:fill="CCEEFF" w:val="clear"/>
            <w:vAlign w:val="center"/>
          </w:tcPr>
          <w:p>
            <w:pPr>
              <w:pStyle w:val="TableContents"/>
              <w:bidi w:val="0"/>
              <w:spacing w:before="0" w:after="283"/>
              <w:jc w:val="left"/>
              <w:rPr/>
            </w:pPr>
            <w:r>
              <w:rPr/>
              <w:t> </w:t>
            </w:r>
          </w:p>
        </w:tc>
      </w:tr>
      <w:tr>
        <w:trPr/>
        <w:tc>
          <w:tcPr>
            <w:tcW w:w="38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167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w:t>
            </w:r>
          </w:p>
        </w:tc>
        <w:tc>
          <w:tcPr>
            <w:tcW w:w="98" w:type="dxa"/>
            <w:tcBorders/>
            <w:shd w:fill="FFFFFF" w:val="clear"/>
            <w:vAlign w:val="center"/>
          </w:tcPr>
          <w:p>
            <w:pPr>
              <w:pStyle w:val="TableContents"/>
              <w:bidi w:val="0"/>
              <w:spacing w:before="0" w:after="283"/>
              <w:jc w:val="left"/>
              <w:rPr/>
            </w:pPr>
            <w:r>
              <w:rPr/>
              <w:t> </w:t>
            </w:r>
          </w:p>
        </w:tc>
      </w:tr>
      <w:tr>
        <w:trPr/>
        <w:tc>
          <w:tcPr>
            <w:tcW w:w="38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1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($0.028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64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83" w:type="dxa"/>
            <w:tcBorders/>
            <w:shd w:fill="FFFFFF" w:val="clear"/>
            <w:vAlign w:val="center"/>
          </w:tcPr>
          <w:p>
            <w:pPr>
              <w:pStyle w:val="TableContents"/>
              <w:bidi w:val="0"/>
              <w:spacing w:before="0" w:after="0"/>
              <w:ind w:left="0" w:right="0" w:hanging="0"/>
              <w:jc w:val="left"/>
              <w:rPr/>
            </w:pPr>
            <w:r>
              <w:rPr/>
              <w:t> </w:t>
            </w:r>
          </w:p>
        </w:tc>
        <w:tc>
          <w:tcPr>
            <w:tcW w:w="167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116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98"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8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167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98" w:type="dxa"/>
            <w:tcBorders/>
            <w:shd w:fill="CCEEFF" w:val="clear"/>
            <w:vAlign w:val="center"/>
          </w:tcPr>
          <w:p>
            <w:pPr>
              <w:pStyle w:val="TableContents"/>
              <w:bidi w:val="0"/>
              <w:spacing w:before="0" w:after="283"/>
              <w:jc w:val="left"/>
              <w:rPr/>
            </w:pPr>
            <w:r>
              <w:rPr/>
              <w:t> </w:t>
            </w:r>
          </w:p>
        </w:tc>
      </w:tr>
      <w:tr>
        <w:trPr/>
        <w:tc>
          <w:tcPr>
            <w:tcW w:w="382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249,280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96,746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344,854</w:t>
            </w:r>
          </w:p>
        </w:tc>
        <w:tc>
          <w:tcPr>
            <w:tcW w:w="98"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cfs"/>
      <w:bookmarkEnd w:id="7"/>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462" w:type="dxa"/>
        <w:jc w:val="left"/>
        <w:tblInd w:w="0" w:type="dxa"/>
        <w:tblLayout w:type="fixed"/>
        <w:tblCellMar>
          <w:top w:w="0" w:type="dxa"/>
          <w:left w:w="0" w:type="dxa"/>
          <w:bottom w:w="0" w:type="dxa"/>
          <w:right w:w="0" w:type="dxa"/>
        </w:tblCellMar>
      </w:tblPr>
      <w:tblGrid>
        <w:gridCol w:w="6620"/>
        <w:gridCol w:w="60"/>
        <w:gridCol w:w="207"/>
        <w:gridCol w:w="979"/>
        <w:gridCol w:w="132"/>
        <w:gridCol w:w="99"/>
        <w:gridCol w:w="207"/>
        <w:gridCol w:w="1078"/>
        <w:gridCol w:w="80"/>
      </w:tblGrid>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2"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10,755</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commissions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3,150</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equity method investments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and unbilled receivables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(7,296</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royalties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17,457</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14,552</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27,074</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20,938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11,268</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(9,171</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non-marketable equity investments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t>—</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other investments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associated with capitalized software development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(7,790</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(7,248</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settlement of equity awards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17,820</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59,469</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40,333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77,289</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52,407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 accrued but not paid</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accrued but not paid</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common stock issued as consideration for business combinations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OVERVIEW AND</w:t>
      </w:r>
      <w:r>
        <w:rPr>
          <w:rFonts w:ascii="Times New Roman" w:hAnsi="Times New Roman"/>
          <w:caps w:val="false"/>
          <w:smallCaps w:val="false"/>
          <w:sz w:val="20"/>
        </w:rPr>
        <w:t> </w:t>
      </w: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provides primarily Software-as-a-Service ("SaaS") based applications for healthcare organizations—all designed to improve business and clinical outcomes by supporting the people who deliver patient care. The Company is focused on helping individuals and organizations in healthcare meet their ongoing learning, clinical development, credentialing, and scheduling needs. The Company also provides its solutions to nursing schools and nursing students.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organized and operated according to its One HealthStream approach, with its hStream technology platform at the center of that approach. Increasingly, SaaS-based applications in the Company's diverse ecosystem of solutions utilize the Company's proprietary hStream technology platform to enhance the value proposition for customers by creating interoperability with and among other applications. We believe that our single platform strategy, as represented by hStream, is the best way to realize our mission of improving the quality of care by developing the people who deliver care and the best way to create value for our shareholders in the process. As used in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(“Form </w:t>
      </w:r>
      <w:r>
        <w:rPr>
          <w:rStyle w:val="Emphasis"/>
          <w:rFonts w:ascii="Times New Roman" w:hAnsi="Times New Roman"/>
          <w:caps w:val="false"/>
          <w:smallCaps w:val="false"/>
          <w:sz w:val="20"/>
        </w:rPr>
        <w:t>10</w:t>
      </w:r>
      <w:r>
        <w:rPr>
          <w:rFonts w:ascii="Times New Roman" w:hAnsi="Times New Roman"/>
          <w:caps w:val="false"/>
          <w:smallCaps w:val="false"/>
          <w:sz w:val="20"/>
        </w:rPr>
        <w:t>-Q”), “HealthStream,” “Company,” “we,” “us,” and “our” mean HealthStream, Inc. and its subsidiaries, unless the context indicates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in accordance with accounting principles generally accepted in the United States (“US GAAP”) for interim financial information and with the instructions to Form </w:t>
      </w:r>
      <w:r>
        <w:rPr>
          <w:rStyle w:val="Emphasis"/>
          <w:rFonts w:ascii="Times New Roman" w:hAnsi="Times New Roman"/>
          <w:caps w:val="false"/>
          <w:smallCaps w:val="false"/>
          <w:sz w:val="20"/>
        </w:rPr>
        <w:t>10</w:t>
        <w:noBreakHyphen/>
        <w:t>Q</w:t>
      </w:r>
      <w:r>
        <w:rPr>
          <w:rFonts w:ascii="Times New Roman" w:hAnsi="Times New Roman"/>
          <w:caps w:val="false"/>
          <w:smallCaps w:val="false"/>
          <w:sz w:val="20"/>
        </w:rPr>
        <w:t xml:space="preserve">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noBreakHyphen/>
        <w:t xml:space="preserve">X. Accordingly,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and certain prior period amounts have been reclassified to conform to the current period presentation.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Condensed Consolidated Balance Sheet at </w:t>
      </w:r>
      <w:r>
        <w:rPr>
          <w:rStyle w:val="Emphasis"/>
          <w:rFonts w:ascii="Times New Roman" w:hAnsi="Times New Roman"/>
          <w:caps w:val="false"/>
          <w:smallCaps w:val="false"/>
          <w:sz w:val="20"/>
        </w:rPr>
        <w:t>December 31,</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was derived from the audited Consolidated Financial Statements at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a complete set of financial statements. For further information, refer to the Consolidated Financial Statements and Notes thereto for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with the Securities and Exchange Commission on </w:t>
      </w:r>
      <w:r>
        <w:rPr>
          <w:rStyle w:val="Emphasis"/>
          <w:rFonts w:ascii="Times New Roman" w:hAnsi="Times New Roman"/>
          <w:caps w:val="false"/>
          <w:smallCaps w:val="false"/>
          <w:sz w:val="20"/>
        </w:rPr>
        <w:t>February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chief operating decision maker ("CODM") is its Chief Executive Officer. Since </w:t>
      </w:r>
      <w:r>
        <w:rPr>
          <w:rStyle w:val="Emphasis"/>
          <w:rFonts w:ascii="Times New Roman" w:hAnsi="Times New Roman"/>
          <w:caps w:val="false"/>
          <w:smallCaps w:val="false"/>
          <w:sz w:val="20"/>
        </w:rPr>
        <w:t xml:space="preserve"> January 1, 2023, </w:t>
      </w:r>
      <w:r>
        <w:rPr>
          <w:rFonts w:ascii="Times New Roman" w:hAnsi="Times New Roman"/>
          <w:caps w:val="false"/>
          <w:smallCaps w:val="false"/>
          <w:sz w:val="20"/>
        </w:rPr>
        <w:t xml:space="preserve">the Company’s business has been organized and managed around a consolidated, enterprise approach, including with regard to technology, operations, accounting, internal reporting (including the nature of information reviewed by the CODM), organization structure, compensation, performance assessment, and resource allocation. The Company’s CODM uses consolidated net income to make operating decisions, assess financial performance, and allocate resources. Further, the CODM reviews and utilizes functional expenses (cost of revenues, product development, sales and marketing, general and administrative, and depreciation and amortization) at the consolidated level to manage the Company's operations. Other segment items included in consolidated net income are interest income, other expense, net, and income tax provision, which are reflected in the Condensed Consolidated Statements of Income. Expenditures for additions to long-lived assets for the consolidated entity were $10.7 million and $8.9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Non-Marketable Equity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aggregate carrying amount of non-marketable equity investments accounted for using the measurement alternative for equity investments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have readily determinable fair values was $1.5 million as of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which the Company evaluates for impairment at each reporting period. Cumulatively,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adjustments recorded due to changes in the fair value of the non-marketable equity investments the Company held as of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The fair value of non-marketable equity investments is </w:t>
      </w:r>
      <w:r>
        <w:rPr>
          <w:rStyle w:val="Emphasis"/>
          <w:rFonts w:ascii="Times New Roman" w:hAnsi="Times New Roman"/>
          <w:caps w:val="false"/>
          <w:smallCaps w:val="false"/>
          <w:sz w:val="20"/>
        </w:rPr>
        <w:t>not</w:t>
      </w:r>
      <w:r>
        <w:rPr>
          <w:rFonts w:ascii="Times New Roman" w:hAnsi="Times New Roman"/>
          <w:caps w:val="false"/>
          <w:smallCaps w:val="false"/>
          <w:sz w:val="20"/>
        </w:rPr>
        <w:t> estimated if there are </w:t>
      </w:r>
      <w:r>
        <w:rPr>
          <w:rStyle w:val="Emphasis"/>
          <w:rFonts w:ascii="Times New Roman" w:hAnsi="Times New Roman"/>
          <w:caps w:val="false"/>
          <w:smallCaps w:val="false"/>
          <w:sz w:val="20"/>
        </w:rPr>
        <w:t>no</w:t>
      </w:r>
      <w:r>
        <w:rPr>
          <w:rFonts w:ascii="Times New Roman" w:hAnsi="Times New Roman"/>
          <w:caps w:val="false"/>
          <w:smallCaps w:val="false"/>
          <w:sz w:val="20"/>
        </w:rPr>
        <w:t> identified events or changes in circumstances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have a significant adverse effect on the fair value of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2023, </w:t>
      </w:r>
      <w:r>
        <w:rPr>
          <w:rFonts w:ascii="Times New Roman" w:hAnsi="Times New Roman"/>
          <w:caps w:val="false"/>
          <w:smallCaps w:val="false"/>
          <w:sz w:val="20"/>
        </w:rPr>
        <w:t>the Financial Accounting Standards Board ("FASB") issued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w:t>
      </w:r>
      <w:r>
        <w:rPr>
          <w:rFonts w:ascii="Times New Roman" w:hAnsi="Times New Roman"/>
          <w:i/>
          <w:caps w:val="false"/>
          <w:smallCaps w:val="false"/>
          <w:sz w:val="20"/>
        </w:rPr>
        <w:t>Segment Reporting (Topic </w:t>
      </w:r>
      <w:r>
        <w:rPr>
          <w:rStyle w:val="Emphasis"/>
          <w:rFonts w:ascii="Times New Roman" w:hAnsi="Times New Roman"/>
          <w:i/>
          <w:caps w:val="false"/>
          <w:smallCaps w:val="false"/>
          <w:sz w:val="20"/>
        </w:rPr>
        <w:t>280</w:t>
      </w:r>
      <w:r>
        <w:rPr>
          <w:rFonts w:ascii="Times New Roman" w:hAnsi="Times New Roman"/>
          <w:i/>
          <w:caps w:val="false"/>
          <w:smallCaps w:val="false"/>
          <w:sz w:val="20"/>
        </w:rPr>
        <w:t>): Improvements to Reportable Segment Disclosures</w:t>
      </w:r>
      <w:r>
        <w:rPr>
          <w:rFonts w:ascii="Times New Roman" w:hAnsi="Times New Roman"/>
          <w:caps w:val="false"/>
          <w:smallCaps w:val="false"/>
          <w:sz w:val="20"/>
        </w:rPr>
        <w:t>. The new guidance requires disclosures of significant reportable segment expenses that are regularly provided to the CODM and other segment items on an interim and annual basis. Entities with a single reportable segment will also be required to apply the disclosure requirements in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on an interim and annual basis.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was effective for the Company for annual periods beginning after </w:t>
      </w:r>
      <w:r>
        <w:rPr>
          <w:rStyle w:val="Emphasis"/>
          <w:rFonts w:ascii="Times New Roman" w:hAnsi="Times New Roman"/>
          <w:caps w:val="false"/>
          <w:smallCaps w:val="false"/>
          <w:sz w:val="20"/>
        </w:rPr>
        <w:t xml:space="preserve"> December 15, 2023 </w:t>
      </w:r>
      <w:r>
        <w:rPr>
          <w:rFonts w:ascii="Times New Roman" w:hAnsi="Times New Roman"/>
          <w:caps w:val="false"/>
          <w:smallCaps w:val="false"/>
          <w:sz w:val="20"/>
        </w:rPr>
        <w:t>and interim periods within fiscal years beginning after </w:t>
      </w:r>
      <w:r>
        <w:rPr>
          <w:rStyle w:val="Emphasis"/>
          <w:rFonts w:ascii="Times New Roman" w:hAnsi="Times New Roman"/>
          <w:caps w:val="false"/>
          <w:smallCaps w:val="false"/>
          <w:sz w:val="20"/>
        </w:rPr>
        <w:t xml:space="preserve"> December 15, 2024. </w:t>
      </w:r>
      <w:r>
        <w:rPr>
          <w:rFonts w:ascii="Times New Roman" w:hAnsi="Times New Roman"/>
          <w:caps w:val="false"/>
          <w:smallCaps w:val="false"/>
          <w:sz w:val="20"/>
        </w:rPr>
        <w:t xml:space="preserve">The Company adopted this standard effective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using a retrospective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w:t>
      </w:r>
      <w:r>
        <w:rPr>
          <w:rFonts w:ascii="Times New Roman" w:hAnsi="Times New Roman"/>
          <w:i/>
          <w:caps w:val="false"/>
          <w:smallCaps w:val="false"/>
          <w:sz w:val="20"/>
        </w:rPr>
        <w:t>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xml:space="preserve">, which requires public entities to provide disclosure of disaggregated information in the entity’s tax rate reconciliation, as well as disclosure of income taxes paid disaggregated by jurisdiction.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 December 15, 2024. </w:t>
      </w:r>
      <w:r>
        <w:rPr>
          <w:rFonts w:ascii="Times New Roman" w:hAnsi="Times New Roman"/>
          <w:caps w:val="false"/>
          <w:smallCaps w:val="false"/>
          <w:sz w:val="20"/>
        </w:rPr>
        <w:t xml:space="preserve">The Company is currently evaluating the effect of this standard on its disclosures and will adopt the standard effective for the annual period ending </w:t>
      </w:r>
      <w:r>
        <w:rPr>
          <w:rStyle w:val="Emphasis"/>
          <w:rFonts w:ascii="Times New Roman" w:hAnsi="Times New Roman"/>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 - Reporting Comprehensive Income - Expense Disaggregation Disclosures: Disaggregation of Income Statement Expenses</w:t>
      </w:r>
      <w:r>
        <w:rPr>
          <w:rFonts w:ascii="Times New Roman" w:hAnsi="Times New Roman"/>
          <w:caps w:val="false"/>
          <w:smallCaps w:val="false"/>
          <w:sz w:val="20"/>
        </w:rPr>
        <w:t xml:space="preserve">, which requires disclosure of disaggregated information about specific categories underlying certain income statement expense line items in the footnotes to the financial statements for both annual and interim periods. This ASU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Early adoption is permitted. The Company is currently evaluating the impact of the adoption of this standard.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Revenues are recognized when control of the promised goods or services is transferred to the customer in an amount that reflects the consideration the Company expects to be entitled in exchange for transferring those goods or services. Revenue is recognized based on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 model:</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10"/>
        <w:gridCol w:w="3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contract with a customer</w:t>
            </w:r>
          </w:p>
        </w:tc>
      </w:tr>
    </w:tbl>
    <w:tbl>
      <w:tblPr>
        <w:tblW w:w="5050" w:type="dxa"/>
        <w:jc w:val="left"/>
        <w:tblInd w:w="0" w:type="dxa"/>
        <w:tblLayout w:type="fixed"/>
        <w:tblCellMar>
          <w:top w:w="0" w:type="dxa"/>
          <w:left w:w="0" w:type="dxa"/>
          <w:bottom w:w="0" w:type="dxa"/>
          <w:right w:w="0" w:type="dxa"/>
        </w:tblCellMar>
      </w:tblPr>
      <w:tblGrid>
        <w:gridCol w:w="60"/>
        <w:gridCol w:w="110"/>
        <w:gridCol w:w="48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performance obligations in the contract</w:t>
            </w:r>
          </w:p>
        </w:tc>
      </w:tr>
    </w:tbl>
    <w:tbl>
      <w:tblPr>
        <w:tblW w:w="3265" w:type="dxa"/>
        <w:jc w:val="left"/>
        <w:tblInd w:w="0" w:type="dxa"/>
        <w:tblLayout w:type="fixed"/>
        <w:tblCellMar>
          <w:top w:w="0" w:type="dxa"/>
          <w:left w:w="0" w:type="dxa"/>
          <w:bottom w:w="0" w:type="dxa"/>
          <w:right w:w="0" w:type="dxa"/>
        </w:tblCellMar>
      </w:tblPr>
      <w:tblGrid>
        <w:gridCol w:w="60"/>
        <w:gridCol w:w="110"/>
        <w:gridCol w:w="30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Determination of the transaction price</w:t>
            </w:r>
          </w:p>
        </w:tc>
      </w:tr>
    </w:tbl>
    <w:tbl>
      <w:tblPr>
        <w:tblW w:w="6715" w:type="dxa"/>
        <w:jc w:val="left"/>
        <w:tblInd w:w="0" w:type="dxa"/>
        <w:tblLayout w:type="fixed"/>
        <w:tblCellMar>
          <w:top w:w="0" w:type="dxa"/>
          <w:left w:w="0" w:type="dxa"/>
          <w:bottom w:w="0" w:type="dxa"/>
          <w:right w:w="0" w:type="dxa"/>
        </w:tblCellMar>
      </w:tblPr>
      <w:tblGrid>
        <w:gridCol w:w="60"/>
        <w:gridCol w:w="110"/>
        <w:gridCol w:w="6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Allocation of the transaction price to the performance obligations in the contract</w:t>
            </w:r>
          </w:p>
        </w:tc>
      </w:tr>
    </w:tbl>
    <w:tbl>
      <w:tblPr>
        <w:tblW w:w="7015" w:type="dxa"/>
        <w:jc w:val="left"/>
        <w:tblInd w:w="0" w:type="dxa"/>
        <w:tblLayout w:type="fixed"/>
        <w:tblCellMar>
          <w:top w:w="0" w:type="dxa"/>
          <w:left w:w="0" w:type="dxa"/>
          <w:bottom w:w="0" w:type="dxa"/>
          <w:right w:w="0" w:type="dxa"/>
        </w:tblCellMar>
      </w:tblPr>
      <w:tblGrid>
        <w:gridCol w:w="60"/>
        <w:gridCol w:w="110"/>
        <w:gridCol w:w="6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Recognition of revenue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revenues disaggregated by revenue source (in thousands). Sales taxes are excluded from revenues.</w:t>
      </w:r>
    </w:p>
    <w:p>
      <w:pPr>
        <w:pStyle w:val="TextBody"/>
        <w:bidi w:val="0"/>
        <w:spacing w:before="0" w:after="0"/>
        <w:ind w:left="0" w:right="0" w:hanging="0"/>
        <w:jc w:val="both"/>
        <w:rPr>
          <w:caps w:val="false"/>
          <w:smallCaps w:val="false"/>
        </w:rPr>
      </w:pPr>
      <w:r>
        <w:rPr>
          <w:caps w:val="false"/>
          <w:smallCaps w:val="false"/>
        </w:rPr>
        <w:t> </w:t>
      </w:r>
    </w:p>
    <w:tbl>
      <w:tblPr>
        <w:tblW w:w="4521" w:type="dxa"/>
        <w:jc w:val="left"/>
        <w:tblInd w:w="0" w:type="dxa"/>
        <w:tblLayout w:type="fixed"/>
        <w:tblCellMar>
          <w:top w:w="0" w:type="dxa"/>
          <w:left w:w="0" w:type="dxa"/>
          <w:bottom w:w="0" w:type="dxa"/>
          <w:right w:w="0" w:type="dxa"/>
        </w:tblCellMar>
      </w:tblPr>
      <w:tblGrid>
        <w:gridCol w:w="1745"/>
        <w:gridCol w:w="60"/>
        <w:gridCol w:w="214"/>
        <w:gridCol w:w="1012"/>
        <w:gridCol w:w="102"/>
        <w:gridCol w:w="102"/>
        <w:gridCol w:w="214"/>
        <w:gridCol w:w="1012"/>
        <w:gridCol w:w="60"/>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70,789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70,205</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2,696</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2,555</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73,485</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72,760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jc w:val="both"/>
        <w:rPr/>
      </w:pPr>
      <w:r>
        <w:rPr>
          <w:sz w:val="20"/>
        </w:rPr>
        <w:t xml:space="preserve">For both the  </w:t>
      </w:r>
      <w:r>
        <w:rPr>
          <w:rStyle w:val="Emphasis"/>
          <w:sz w:val="20"/>
        </w:rPr>
        <w:t>three</w:t>
      </w:r>
      <w:r>
        <w:rPr>
          <w:sz w:val="20"/>
        </w:rPr>
        <w:t xml:space="preserve"> months ended </w:t>
      </w:r>
      <w:r>
        <w:rPr>
          <w:rStyle w:val="Emphasis"/>
          <w:sz w:val="20"/>
        </w:rPr>
        <w:t xml:space="preserve">March 31, 2025 </w:t>
      </w:r>
      <w:r>
        <w:rPr>
          <w:sz w:val="20"/>
        </w:rPr>
        <w:t xml:space="preserve">and </w:t>
      </w:r>
      <w:r>
        <w:rPr>
          <w:rStyle w:val="Emphasis"/>
          <w:sz w:val="20"/>
        </w:rPr>
        <w:t>2024</w:t>
      </w:r>
      <w:r>
        <w:rPr>
          <w:sz w:val="20"/>
        </w:rPr>
        <w:t xml:space="preserve">, the Company recognized  $0.2 million in impairment losses on receivables and contract assets arising from the Company's contracts with customers.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recognized revenues of $44.3 million and $40.0 million, respectively, from amounts included in deferred revenue at the beginning of the respective periods.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approximately $613 million of revenue is expected to be recognized from remaining performance obligations under contracts with customers. The Company expects to recognize revenue related to approximately 40% of these remaining performance obligations over the next 12 months, 68% over the next 24 months, and 86% over the next 36 months, with the remaining amounts recognized thereafter.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4.</w:t>
      </w:r>
      <w:r>
        <w:rPr>
          <w:rFonts w:ascii="Times New Roman;Times;serif" w:hAnsi="Times New Roman;Times;serif"/>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computes its interim period provision for income taxes by applying the estimated annual effective tax rate to year-to-date pretax income or loss and adjusts the provision for discrete tax items recorded in the period. The Company’s effective tax rate was 17% and 20%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The Company’s effective tax rate primarily reflects the statutory corporate income tax rate, the net effect of state taxes, foreign income taxes, the effect of various permanent tax differences, and recognition of discrete tax items.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5.</w:t>
      </w:r>
      <w:r>
        <w:rPr>
          <w:rFonts w:ascii="Times New Roman;Times;serif" w:hAnsi="Times New Roman;Times;serif"/>
          <w:b/>
          <w:caps w:val="false"/>
          <w:smallCaps w:val="false"/>
          <w:sz w:val="20"/>
        </w:rPr>
        <w:t xml:space="preserve">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on Common Stock</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2025, </w:t>
      </w:r>
      <w:r>
        <w:rPr>
          <w:rFonts w:ascii="Times New Roman;Times;serif" w:hAnsi="Times New Roman;Times;serif"/>
          <w:sz w:val="20"/>
        </w:rPr>
        <w:t>the Company's Board of Directors (“Board”) declared the following quarterly dividends under the Company's dividend policy (in thousands, except per share data):</w:t>
      </w:r>
    </w:p>
    <w:p>
      <w:pPr>
        <w:pStyle w:val="TextBody"/>
        <w:bidi w:val="0"/>
        <w:spacing w:before="0" w:after="0"/>
        <w:ind w:left="0" w:right="0" w:hanging="0"/>
        <w:jc w:val="left"/>
        <w:rPr/>
      </w:pPr>
      <w:r>
        <w:rPr/>
        <w:t> </w:t>
      </w:r>
    </w:p>
    <w:tbl>
      <w:tblPr>
        <w:tblW w:w="8633" w:type="dxa"/>
        <w:jc w:val="left"/>
        <w:tblInd w:w="0" w:type="dxa"/>
        <w:tblLayout w:type="fixed"/>
        <w:tblCellMar>
          <w:top w:w="0" w:type="dxa"/>
          <w:left w:w="0" w:type="dxa"/>
          <w:bottom w:w="28" w:type="dxa"/>
          <w:right w:w="0" w:type="dxa"/>
        </w:tblCellMar>
      </w:tblPr>
      <w:tblGrid>
        <w:gridCol w:w="2015"/>
        <w:gridCol w:w="60"/>
        <w:gridCol w:w="2270"/>
        <w:gridCol w:w="60"/>
        <w:gridCol w:w="340"/>
        <w:gridCol w:w="1329"/>
        <w:gridCol w:w="60"/>
        <w:gridCol w:w="1310"/>
        <w:gridCol w:w="60"/>
        <w:gridCol w:w="290"/>
        <w:gridCol w:w="779"/>
        <w:gridCol w:w="60"/>
      </w:tblGrid>
      <w:tr>
        <w:trPr/>
        <w:tc>
          <w:tcPr>
            <w:tcW w:w="2015"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Payment Date</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Declaration Date</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Dividend Per Share</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 Outlay</w:t>
            </w:r>
          </w:p>
        </w:tc>
        <w:tc>
          <w:tcPr>
            <w:tcW w:w="60"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21,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24,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Additionally, on </w:t>
      </w:r>
      <w:r>
        <w:rPr>
          <w:rStyle w:val="Emphasis"/>
          <w:rFonts w:ascii="Times New Roman;Times;serif" w:hAnsi="Times New Roman;Times;serif"/>
          <w:sz w:val="20"/>
          <w:shd w:fill="FFFFFF" w:val="clear"/>
        </w:rPr>
        <w:t xml:space="preserve">May 5, 2025, </w:t>
      </w:r>
      <w:r>
        <w:rPr>
          <w:rFonts w:ascii="Times New Roman;Times;serif" w:hAnsi="Times New Roman;Times;serif"/>
          <w:sz w:val="20"/>
          <w:shd w:fill="FFFFFF" w:val="clear"/>
        </w:rPr>
        <w:t xml:space="preserve">the Board declared a quarterly cash dividend of $0.031 per share, payable on </w:t>
      </w:r>
      <w:r>
        <w:rPr>
          <w:rStyle w:val="Emphasis"/>
          <w:rFonts w:ascii="Times New Roman;Times;serif" w:hAnsi="Times New Roman;Times;serif"/>
          <w:sz w:val="20"/>
          <w:shd w:fill="FFFFFF" w:val="clear"/>
        </w:rPr>
        <w:t>May 30, 2025 </w:t>
      </w:r>
      <w:r>
        <w:rPr>
          <w:rFonts w:ascii="Times New Roman;Times;serif" w:hAnsi="Times New Roman;Times;serif"/>
          <w:sz w:val="20"/>
          <w:shd w:fill="FFFFFF" w:val="clear"/>
        </w:rPr>
        <w:t xml:space="preserve">to holders of record on </w:t>
      </w:r>
      <w:r>
        <w:rPr>
          <w:rStyle w:val="Emphasis"/>
          <w:rFonts w:ascii="Times New Roman;Times;serif" w:hAnsi="Times New Roman;Times;serif"/>
          <w:sz w:val="20"/>
          <w:shd w:fill="FFFFFF" w:val="clear"/>
        </w:rPr>
        <w:t>May 19, 2025.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Company has stock awards outstanding under its </w:t>
      </w:r>
      <w:r>
        <w:rPr>
          <w:rStyle w:val="Emphasis"/>
          <w:rFonts w:ascii="Times New Roman;Times;serif" w:hAnsi="Times New Roman;Times;serif"/>
          <w:caps w:val="false"/>
          <w:smallCaps w:val="false"/>
          <w:sz w:val="20"/>
        </w:rPr>
        <w:t>2016</w:t>
      </w:r>
      <w:r>
        <w:rPr>
          <w:rFonts w:ascii="Times New Roman;Times;serif" w:hAnsi="Times New Roman;Times;serif"/>
          <w:caps w:val="false"/>
          <w:smallCaps w:val="false"/>
          <w:sz w:val="20"/>
        </w:rPr>
        <w:t xml:space="preserve"> Omnibus Incentive Plan 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Omnibus Incentive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stock option activity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is as follows (in thousands, except weighted-average exercise price).</w:t>
      </w:r>
    </w:p>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2885"/>
        <w:gridCol w:w="60"/>
        <w:gridCol w:w="144"/>
        <w:gridCol w:w="626"/>
        <w:gridCol w:w="60"/>
        <w:gridCol w:w="60"/>
        <w:gridCol w:w="249"/>
        <w:gridCol w:w="970"/>
        <w:gridCol w:w="60"/>
        <w:gridCol w:w="60"/>
        <w:gridCol w:w="258"/>
        <w:gridCol w:w="1006"/>
        <w:gridCol w:w="6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period</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end of period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weighted average remaining contractual term of options outstanding at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was 5.7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Restricted Share Unit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Restricted Share Unit ("RSU") activity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is as follows (in thousands, except weighted-average grant date fair value):</w:t>
      </w:r>
    </w:p>
    <w:p>
      <w:pPr>
        <w:pStyle w:val="TextBody"/>
        <w:bidi w:val="0"/>
        <w:spacing w:before="0" w:after="0"/>
        <w:ind w:left="0" w:right="0" w:hanging="0"/>
        <w:jc w:val="both"/>
        <w:rPr>
          <w:caps w:val="false"/>
          <w:smallCaps w:val="false"/>
        </w:rPr>
      </w:pPr>
      <w:r>
        <w:rPr>
          <w:caps w:val="false"/>
          <w:smallCaps w:val="false"/>
        </w:rPr>
        <w:t> </w:t>
      </w:r>
    </w:p>
    <w:tbl>
      <w:tblPr>
        <w:tblW w:w="7087" w:type="dxa"/>
        <w:jc w:val="left"/>
        <w:tblInd w:w="0" w:type="dxa"/>
        <w:tblLayout w:type="fixed"/>
        <w:tblCellMar>
          <w:top w:w="0" w:type="dxa"/>
          <w:left w:w="0" w:type="dxa"/>
          <w:bottom w:w="0" w:type="dxa"/>
          <w:right w:w="0" w:type="dxa"/>
        </w:tblCellMar>
      </w:tblPr>
      <w:tblGrid>
        <w:gridCol w:w="2885"/>
        <w:gridCol w:w="60"/>
        <w:gridCol w:w="116"/>
        <w:gridCol w:w="773"/>
        <w:gridCol w:w="80"/>
        <w:gridCol w:w="60"/>
        <w:gridCol w:w="342"/>
        <w:gridCol w:w="1327"/>
        <w:gridCol w:w="60"/>
        <w:gridCol w:w="60"/>
        <w:gridCol w:w="220"/>
        <w:gridCol w:w="1044"/>
        <w:gridCol w:w="6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RSU’s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pPr>
            <w:r>
              <w:rPr/>
              <w:t> </w:t>
            </w:r>
          </w:p>
        </w:tc>
        <w:tc>
          <w:tcPr>
            <w:tcW w:w="13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ind w:left="0" w:right="0" w:hanging="0"/>
              <w:jc w:val="left"/>
              <w:rPr/>
            </w:pPr>
            <w:r>
              <w:rPr/>
              <w:t> </w:t>
            </w:r>
          </w:p>
        </w:tc>
        <w:tc>
          <w:tcPr>
            <w:tcW w:w="13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period</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As of </w:t>
      </w:r>
      <w:r>
        <w:rPr>
          <w:rStyle w:val="Emphasis"/>
          <w:rFonts w:ascii="Times New Roman;Times;serif" w:hAnsi="Times New Roman;Times;serif"/>
          <w:caps w:val="false"/>
          <w:smallCaps w:val="false"/>
          <w:sz w:val="20"/>
        </w:rPr>
        <w:t xml:space="preserve"> March 31, 2025</w:t>
      </w:r>
      <w:r>
        <w:rPr>
          <w:rFonts w:ascii="Times New Roman;Times;serif" w:hAnsi="Times New Roman;Times;serif"/>
          <w:caps w:val="false"/>
          <w:smallCaps w:val="false"/>
          <w:sz w:val="20"/>
        </w:rPr>
        <w:t>, total unrecognized compensation expense related to non-vested RSUs was $7.9 million, net of estimated forfeitures, with a weighted average expense recognition period remaining of 2.4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 recognized in the Condensed Consolidated Statements of Income is as follows (in thousands):</w:t>
      </w:r>
    </w:p>
    <w:p>
      <w:pPr>
        <w:pStyle w:val="TextBody"/>
        <w:bidi w:val="0"/>
        <w:spacing w:before="0" w:after="0"/>
        <w:ind w:left="0" w:right="0" w:hanging="0"/>
        <w:jc w:val="both"/>
        <w:rPr>
          <w:caps w:val="false"/>
          <w:smallCaps w:val="false"/>
        </w:rPr>
      </w:pPr>
      <w:r>
        <w:rPr>
          <w:caps w:val="false"/>
          <w:smallCaps w:val="false"/>
        </w:rPr>
        <w:t> </w:t>
      </w:r>
    </w:p>
    <w:tbl>
      <w:tblPr>
        <w:tblW w:w="7628" w:type="dxa"/>
        <w:jc w:val="left"/>
        <w:tblInd w:w="0" w:type="dxa"/>
        <w:tblLayout w:type="fixed"/>
        <w:tblCellMar>
          <w:top w:w="0" w:type="dxa"/>
          <w:left w:w="0" w:type="dxa"/>
          <w:bottom w:w="0" w:type="dxa"/>
          <w:right w:w="0" w:type="dxa"/>
        </w:tblCellMar>
      </w:tblPr>
      <w:tblGrid>
        <w:gridCol w:w="4850"/>
        <w:gridCol w:w="60"/>
        <w:gridCol w:w="248"/>
        <w:gridCol w:w="962"/>
        <w:gridCol w:w="119"/>
        <w:gridCol w:w="119"/>
        <w:gridCol w:w="248"/>
        <w:gridCol w:w="962"/>
        <w:gridCol w:w="6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(excluding 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105,000 and 176,000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earnings per share (in thousands, except per share data):</w:t>
      </w:r>
    </w:p>
    <w:p>
      <w:pPr>
        <w:pStyle w:val="TextBody"/>
        <w:bidi w:val="0"/>
        <w:spacing w:before="0" w:after="0"/>
        <w:ind w:left="0" w:right="0" w:hanging="0"/>
        <w:jc w:val="both"/>
        <w:rPr>
          <w:caps w:val="false"/>
          <w:smallCaps w:val="false"/>
        </w:rPr>
      </w:pPr>
      <w:r>
        <w:rPr>
          <w:caps w:val="false"/>
          <w:smallCaps w:val="false"/>
        </w:rPr>
        <w:t> </w:t>
      </w:r>
    </w:p>
    <w:tbl>
      <w:tblPr>
        <w:tblW w:w="5841" w:type="dxa"/>
        <w:jc w:val="left"/>
        <w:tblInd w:w="0" w:type="dxa"/>
        <w:tblLayout w:type="fixed"/>
        <w:tblCellMar>
          <w:top w:w="0" w:type="dxa"/>
          <w:left w:w="0" w:type="dxa"/>
          <w:bottom w:w="0" w:type="dxa"/>
          <w:right w:w="0" w:type="dxa"/>
        </w:tblCellMar>
      </w:tblPr>
      <w:tblGrid>
        <w:gridCol w:w="3065"/>
        <w:gridCol w:w="60"/>
        <w:gridCol w:w="214"/>
        <w:gridCol w:w="1012"/>
        <w:gridCol w:w="102"/>
        <w:gridCol w:w="102"/>
        <w:gridCol w:w="214"/>
        <w:gridCol w:w="1012"/>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outstanding</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30,313</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shares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diluted shares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30,587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30,418</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marketable securities, which were all classified as available for sale and which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sell nor will the Company be required to sell prior to recovery of their amortized cost basis, included the following (in thousands):</w:t>
      </w:r>
    </w:p>
    <w:p>
      <w:pPr>
        <w:pStyle w:val="TextBody"/>
        <w:bidi w:val="0"/>
        <w:spacing w:before="0" w:after="0"/>
        <w:jc w:val="left"/>
        <w:rPr/>
      </w:pPr>
      <w:r>
        <w:rPr/>
        <w:t xml:space="preserve">  </w:t>
      </w:r>
    </w:p>
    <w:tbl>
      <w:tblPr>
        <w:tblW w:w="7406" w:type="dxa"/>
        <w:jc w:val="left"/>
        <w:tblInd w:w="0" w:type="dxa"/>
        <w:tblLayout w:type="fixed"/>
        <w:tblCellMar>
          <w:top w:w="0" w:type="dxa"/>
          <w:left w:w="0" w:type="dxa"/>
          <w:bottom w:w="0" w:type="dxa"/>
          <w:right w:w="0" w:type="dxa"/>
        </w:tblCellMar>
      </w:tblPr>
      <w:tblGrid>
        <w:gridCol w:w="1850"/>
        <w:gridCol w:w="60"/>
        <w:gridCol w:w="203"/>
        <w:gridCol w:w="971"/>
        <w:gridCol w:w="60"/>
        <w:gridCol w:w="60"/>
        <w:gridCol w:w="722"/>
        <w:gridCol w:w="722"/>
        <w:gridCol w:w="60"/>
        <w:gridCol w:w="60"/>
        <w:gridCol w:w="605"/>
        <w:gridCol w:w="899"/>
        <w:gridCol w:w="80"/>
        <w:gridCol w:w="60"/>
        <w:gridCol w:w="163"/>
        <w:gridCol w:w="771"/>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treasury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36,030</w:t>
            </w:r>
          </w:p>
        </w:tc>
        <w:tc>
          <w:tcPr>
            <w:tcW w:w="60" w:type="dxa"/>
            <w:tcBorders/>
            <w:shd w:fill="FFFFFF" w:val="clear"/>
            <w:vAlign w:val="center"/>
          </w:tcPr>
          <w:p>
            <w:pPr>
              <w:pStyle w:val="TableContents"/>
              <w:bidi w:val="0"/>
              <w:spacing w:before="0" w:after="0"/>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36,030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7406" w:type="dxa"/>
        <w:jc w:val="left"/>
        <w:tblInd w:w="0" w:type="dxa"/>
        <w:tblLayout w:type="fixed"/>
        <w:tblCellMar>
          <w:top w:w="0" w:type="dxa"/>
          <w:left w:w="0" w:type="dxa"/>
          <w:bottom w:w="0" w:type="dxa"/>
          <w:right w:w="0" w:type="dxa"/>
        </w:tblCellMar>
      </w:tblPr>
      <w:tblGrid>
        <w:gridCol w:w="1850"/>
        <w:gridCol w:w="60"/>
        <w:gridCol w:w="203"/>
        <w:gridCol w:w="971"/>
        <w:gridCol w:w="60"/>
        <w:gridCol w:w="60"/>
        <w:gridCol w:w="507"/>
        <w:gridCol w:w="937"/>
        <w:gridCol w:w="60"/>
        <w:gridCol w:w="60"/>
        <w:gridCol w:w="605"/>
        <w:gridCol w:w="899"/>
        <w:gridCol w:w="80"/>
        <w:gridCol w:w="60"/>
        <w:gridCol w:w="163"/>
        <w:gridCol w:w="771"/>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U.S. treasury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37,748</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37,748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carrying amounts reported in the Condensed Consolidated Balance Sheets approximate fair value based on quoted market prices or alternative pricing sources and models utilizing market observable inputs. As of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any allowance for credit impairments on its available for sale securities. All investments in marketable securities are classified as current assets on the Condensed Consolidated Balance Sheets because the underlying securities mature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balance sheet date.</w:t>
      </w:r>
    </w:p>
    <w:p>
      <w:pPr>
        <w:pStyle w:val="TextBody"/>
        <w:bidi w:val="0"/>
        <w:spacing w:before="0" w:after="0"/>
        <w:jc w:val="left"/>
        <w:rPr/>
      </w:pPr>
      <w:r>
        <w:rPr/>
        <w:t xml:space="preserve">  </w:t>
      </w:r>
    </w:p>
    <w:p>
      <w:pPr>
        <w:pStyle w:val="TextBody"/>
        <w:bidi w:val="0"/>
        <w:spacing w:before="0" w:after="0"/>
        <w:ind w:left="0" w:right="0" w:hanging="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6, 2023, </w:t>
      </w:r>
      <w:r>
        <w:rPr>
          <w:rFonts w:ascii="Times New Roman" w:hAnsi="Times New Roman"/>
          <w:caps w:val="false"/>
          <w:smallCaps w:val="false"/>
          <w:sz w:val="20"/>
        </w:rPr>
        <w:t>the Company entered into an Amended and Restated Revolving Credit Agreement (“Revolving Credit Facility”), amending the Revolving Credit Facility dated as of </w:t>
      </w:r>
      <w:r>
        <w:rPr>
          <w:rStyle w:val="Emphasis"/>
          <w:rFonts w:ascii="Times New Roman" w:hAnsi="Times New Roman"/>
          <w:caps w:val="false"/>
          <w:smallCaps w:val="false"/>
          <w:sz w:val="20"/>
        </w:rPr>
        <w:t xml:space="preserve"> November 24, 2014, </w:t>
      </w:r>
      <w:r>
        <w:rPr>
          <w:rFonts w:ascii="Times New Roman" w:hAnsi="Times New Roman"/>
          <w:caps w:val="false"/>
          <w:smallCaps w:val="false"/>
          <w:sz w:val="20"/>
        </w:rPr>
        <w:t>as amended, with certain lenders party thereto from time to time, and Truist, as Administrative Agent for the lenders. Under the Revolving Credit Facility,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borrow up to $50.0 million, which includes a $5.0 million swingline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Revolving Credit Facility has a maturity date of </w:t>
      </w:r>
      <w:r>
        <w:rPr>
          <w:rStyle w:val="Emphasis"/>
          <w:rFonts w:ascii="Times New Roman" w:hAnsi="Times New Roman"/>
          <w:caps w:val="false"/>
          <w:smallCaps w:val="false"/>
          <w:sz w:val="20"/>
        </w:rPr>
        <w:t xml:space="preserve"> October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obligations under the Revolving Credit Facility are unsecured. In addition, if the Company forms or acquires any domestic subsidiaries, the loans and other obligations under the Revolving Credit Facility will be guaranteed by such domestic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the Company’s election, the borrowings under the Revolving Credit Facility, other than the swingline loans, bear interest at either (</w:t>
      </w:r>
      <w:r>
        <w:rPr>
          <w:rStyle w:val="Emphasis"/>
          <w:rFonts w:ascii="Times New Roman" w:hAnsi="Times New Roman"/>
          <w:caps w:val="false"/>
          <w:smallCaps w:val="false"/>
          <w:sz w:val="20"/>
        </w:rPr>
        <w:t>1</w:t>
      </w:r>
      <w:r>
        <w:rPr>
          <w:rFonts w:ascii="Times New Roman" w:hAnsi="Times New Roman"/>
          <w:caps w:val="false"/>
          <w:smallCaps w:val="false"/>
          <w:sz w:val="20"/>
        </w:rPr>
        <w:t>) a base rate defined as the highest of (a) the rate which the Administrative Agent announces from time to time as its prime lending rate, as in effect from time to time, or (b) the Federal Funds Rate, as in effect from time to time, plus </w:t>
      </w:r>
      <w:r>
        <w:rPr>
          <w:rStyle w:val="Emphasis"/>
          <w:rFonts w:ascii="Times New Roman" w:hAnsi="Times New Roman"/>
          <w:caps w:val="false"/>
          <w:smallCaps w:val="false"/>
          <w:sz w:val="20"/>
        </w:rPr>
        <w:t>one</w:t>
      </w:r>
      <w:r>
        <w:rPr>
          <w:rFonts w:ascii="Times New Roman" w:hAnsi="Times New Roman"/>
          <w:caps w:val="false"/>
          <w:smallCaps w:val="false"/>
          <w:sz w:val="20"/>
        </w:rPr>
        <w:t>-half of </w:t>
      </w:r>
      <w:r>
        <w:rPr>
          <w:rStyle w:val="Emphasis"/>
          <w:rFonts w:ascii="Times New Roman" w:hAnsi="Times New Roman"/>
          <w:caps w:val="false"/>
          <w:smallCaps w:val="false"/>
          <w:sz w:val="20"/>
        </w:rPr>
        <w:t>one</w:t>
      </w:r>
      <w:r>
        <w:rPr>
          <w:rFonts w:ascii="Times New Roman" w:hAnsi="Times New Roman"/>
          <w:caps w:val="false"/>
          <w:smallCaps w:val="false"/>
          <w:sz w:val="20"/>
        </w:rPr>
        <w:t> percent (0.50%) per annum (any changes in such rates to be effective as of the date of any change in such rate), plus in each case an applicable margin that varies with the company’s funded debt leverage ratio; or (</w:t>
      </w:r>
      <w:r>
        <w:rPr>
          <w:rStyle w:val="Emphasis"/>
          <w:rFonts w:ascii="Times New Roman" w:hAnsi="Times New Roman"/>
          <w:caps w:val="false"/>
          <w:smallCaps w:val="false"/>
          <w:sz w:val="20"/>
        </w:rPr>
        <w:t>2</w:t>
      </w:r>
      <w:r>
        <w:rPr>
          <w:rFonts w:ascii="Times New Roman" w:hAnsi="Times New Roman"/>
          <w:caps w:val="false"/>
          <w:smallCaps w:val="false"/>
          <w:sz w:val="20"/>
        </w:rPr>
        <w:t>)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 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w:t>
      </w:r>
      <w:r>
        <w:rPr>
          <w:rStyle w:val="Emphasis"/>
          <w:rFonts w:ascii="Times New Roman" w:hAnsi="Times New Roman"/>
          <w:caps w:val="false"/>
          <w:smallCaps w:val="false"/>
          <w:sz w:val="20"/>
        </w:rPr>
        <w:t>two</w:t>
      </w:r>
      <w:r>
        <w:rPr>
          <w:rFonts w:ascii="Times New Roman" w:hAnsi="Times New Roman"/>
          <w:caps w:val="false"/>
          <w:smallCaps w:val="false"/>
          <w:sz w:val="20"/>
        </w:rPr>
        <w:t> (</w:t>
      </w:r>
      <w:r>
        <w:rPr>
          <w:rStyle w:val="Emphasis"/>
          <w:rFonts w:ascii="Times New Roman" w:hAnsi="Times New Roman"/>
          <w:caps w:val="false"/>
          <w:smallCaps w:val="false"/>
          <w:sz w:val="20"/>
        </w:rPr>
        <w:t>2</w:t>
      </w:r>
      <w:r>
        <w:rPr>
          <w:rFonts w:ascii="Times New Roman" w:hAnsi="Times New Roman"/>
          <w:caps w:val="false"/>
          <w:smallCaps w:val="false"/>
          <w:sz w:val="20"/>
        </w:rPr>
        <w:t>) business days after the Administrative Agent's receipt of the Company's 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Principal is payable in full at maturity on </w:t>
      </w:r>
      <w:r>
        <w:rPr>
          <w:rStyle w:val="Emphasis"/>
          <w:rFonts w:ascii="Times New Roman" w:hAnsi="Times New Roman"/>
          <w:caps w:val="false"/>
          <w:smallCaps w:val="false"/>
          <w:sz w:val="20"/>
        </w:rPr>
        <w:t xml:space="preserve"> October 6, 2026, </w:t>
      </w:r>
      <w:r>
        <w:rPr>
          <w:rFonts w:ascii="Times New Roman" w:hAnsi="Times New Roman"/>
          <w:caps w:val="false"/>
          <w:smallCaps w:val="false"/>
          <w:sz w:val="20"/>
        </w:rPr>
        <w:t>and there are </w:t>
      </w:r>
      <w:r>
        <w:rPr>
          <w:rStyle w:val="Emphasis"/>
          <w:rFonts w:ascii="Times New Roman" w:hAnsi="Times New Roman"/>
          <w:caps w:val="false"/>
          <w:smallCaps w:val="false"/>
          <w:sz w:val="20"/>
        </w:rPr>
        <w:t>no</w:t>
      </w:r>
      <w:r>
        <w:rPr>
          <w:rFonts w:ascii="Times New Roman" w:hAnsi="Times New Roman"/>
          <w:caps w:val="false"/>
          <w:smallCaps w:val="false"/>
          <w:sz w:val="20"/>
        </w:rPr>
        <w:t> scheduled principal payments prior to maturity. Interest on base rate loans and swingline loans is payable quarterly in arrears, and interest on SOFR loans is payable at the end of each interest period, and in the case of interest periods longer than </w:t>
      </w:r>
      <w:r>
        <w:rPr>
          <w:rStyle w:val="Emphasis"/>
          <w:rFonts w:ascii="Times New Roman" w:hAnsi="Times New Roman"/>
          <w:caps w:val="false"/>
          <w:smallCaps w:val="false"/>
          <w:sz w:val="20"/>
        </w:rPr>
        <w:t>three</w:t>
      </w:r>
      <w:r>
        <w:rPr>
          <w:rFonts w:ascii="Times New Roman" w:hAnsi="Times New Roman"/>
          <w:caps w:val="false"/>
          <w:smallCaps w:val="false"/>
          <w:sz w:val="20"/>
        </w:rPr>
        <w:t> months, on each day which occurs every </w:t>
      </w:r>
      <w:r>
        <w:rPr>
          <w:rStyle w:val="Emphasis"/>
          <w:rFonts w:ascii="Times New Roman" w:hAnsi="Times New Roman"/>
          <w:caps w:val="false"/>
          <w:smallCaps w:val="false"/>
          <w:sz w:val="20"/>
        </w:rPr>
        <w:t>three</w:t>
      </w:r>
      <w:r>
        <w:rPr>
          <w:rFonts w:ascii="Times New Roman" w:hAnsi="Times New Roman"/>
          <w:caps w:val="false"/>
          <w:smallCaps w:val="false"/>
          <w:sz w:val="20"/>
        </w:rPr>
        <w:t> months after the initial date of such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purpose of the Revolving Credit Facility is for general working capital needs, permitted acquisitions (as defined in the Amended and Restated Revolving Credit Agreement), and for stock repurchase and/or redemption transactions that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authorize.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Revolving Credit Facility required the Company to meet certain financial tests,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 funded debt leverage ratio (consolidated debt/consolidated EBITDA)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greater than 3.0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an interest coverage ratio (consolidated EBITDA/consolidated interest expense)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to </w:t>
            </w:r>
            <w:r>
              <w:rPr>
                <w:rStyle w:val="Emphasis"/>
                <w:rFonts w:ascii="Times New Roman" w:hAnsi="Times New Roman"/>
                <w:caps w:val="false"/>
                <w:smallCaps w:val="false"/>
                <w:sz w:val="20"/>
              </w:rPr>
              <w:t>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Revolving Credit Facility contains certain customary affirmative and negative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the Company was in compliance with all covenants. There were no balances outstanding on the Revolving Credit Facility as of or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 xml:space="preserve"> SUBSEQUENT EVENT</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8, 2025, </w:t>
      </w:r>
      <w:r>
        <w:rPr>
          <w:rFonts w:ascii="Times New Roman" w:hAnsi="Times New Roman"/>
          <w:caps w:val="false"/>
          <w:smallCaps w:val="false"/>
          <w:sz w:val="20"/>
        </w:rPr>
        <w:t xml:space="preserve">the Company’s Board of Directors approved a new share repurchase program for the Company’s common stock, under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repurchase up to $25 million of outstanding shares of common stock. Pursuant to the authorization, repurchases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made from time to time in the open market, including under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plan, through privately negotiated transactions, or otherwise. In addition, any repurchases under the authorization will be subject to prevailing market conditions, liquidity and cash flow considerations, applicable securities laws requirements (including under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and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applicable), and other factors. The share repurchase program will terminate on the earlier of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or when the maximum dollar amount has been expended. The share repurchase program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the Company to acquire any amount of shares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suspended or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sz w:val="20"/>
        </w:rPr>
      </w:pPr>
      <w:bookmarkStart w:id="9" w:name="mda"/>
      <w:bookmarkEnd w:id="9"/>
      <w:r>
        <w:rPr>
          <w:rFonts w:ascii="Times New Roman" w:hAnsi="Times New Roman"/>
          <w:b/>
          <w:sz w:val="20"/>
        </w:rPr>
        <w:t xml:space="preserve">Item 2. </w:t>
      </w:r>
      <w:r>
        <w:rPr>
          <w:rFonts w:ascii="Times New Roman" w:hAnsi="Times New Roman"/>
          <w:b/>
          <w:i/>
          <w:sz w:val="20"/>
        </w:rPr>
        <w:t xml:space="preserve">Management's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Special Cautionary Notice Regarding Forward</w:t>
      </w:r>
      <w:r>
        <w:rPr>
          <w:rFonts w:ascii="Times New Roman" w:hAnsi="Times New Roman"/>
          <w:caps w:val="false"/>
          <w:smallCaps w:val="false"/>
          <w:sz w:val="20"/>
        </w:rPr>
        <w:noBreakHyphen/>
      </w:r>
      <w:r>
        <w:rPr>
          <w:rFonts w:ascii="Times New Roman" w:hAnsi="Times New Roman"/>
          <w:b/>
          <w:caps w:val="false"/>
          <w:smallCaps w:val="false"/>
          <w:sz w:val="20"/>
        </w:rPr>
        <w:t>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read the following discussion and analysis in conjunction with our Condensed Consolidated Financial Statements and related Notes included elsewhere in this Form 10-Q and our audited Consolidated Financial Statements and the Notes thereto for the year ended December 31, 2024, appearing in our Annual Report on Form 10-K that was filed with the Securities and Exchange Commission (“SEC”) on February 28, 2025 (the “2024 Form 10-K”). Statements contained in this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evaluating any forward-looking statement, you should specifically consider the information regarding forward-looking statements set forth above and the risks set forth under the caption Part I, Item 1A. Risk Factors in our 2024 Form 10-K and other disclosures in our 2024 Form 10-K, earnings releases, and other filings with the SEC from time to time, as well as other cautionary statements contained elsewhere in this Form 10-Q, including our critical accounting policies and estimates as discussed in this Form 10-Q and our 2024 Form 10-K. We undertake no obligation to update or revise any forward-looking statements. You should read this Form 10-Q and the documents that we reference in this Form 10-Q and have filed as exhibits to this Form 10-Q completely and with the understanding that our actual future results may be materially different from what we currently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Business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provides primarily SaaS based applications for healthcare organizations—all designed to improve business and clinical outcomes by supporting the people who deliver patient care. We are focused on helping individuals and organizations in healthcare meet their ongoing learning, clinical development, credentialing, and scheduling needs. We also provide our solutions to nursing schools and nursing students.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managed and organized around a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 to manage their business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financial metrics for the first quarter of 2025 are set forth in the bullets below.</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of $73.5 million in the first quarter of 2025, up 1.0% from $72.8 million in the first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of $4.4 million in the first quarter of 2025, down 23.1% from $5.7 million in the first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of $4.3 million in the first quarter of 2025, down 17.1% from $5.2 million in the first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Earnings per share (“EPS”) of $0.14 per share (diluted) in the first quarter of 2025, down from $0.17 per share (diluted) in the first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w:t>
            </w:r>
            <w:r>
              <w:rPr>
                <w:rFonts w:ascii="Times New Roman" w:hAnsi="Times New Roman"/>
                <w:caps w:val="false"/>
                <w:smallCaps w:val="false"/>
                <w:sz w:val="18"/>
              </w:rPr>
              <w:t>1</w:t>
            </w:r>
            <w:r>
              <w:rPr>
                <w:rFonts w:ascii="Times New Roman" w:hAnsi="Times New Roman"/>
                <w:caps w:val="false"/>
                <w:smallCaps w:val="false"/>
                <w:sz w:val="20"/>
              </w:rPr>
              <w:t> of $16.2 million in the first quarter of 2025, down 5.0% from $17.1 million in the first quarter of 2024</w:t>
            </w:r>
          </w:p>
          <w:p>
            <w:pPr>
              <w:pStyle w:val="TableContents"/>
              <w:bidi w:val="0"/>
              <w:spacing w:before="0" w:after="0"/>
              <w:ind w:left="0" w:right="0" w:hanging="0"/>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1</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Adjusted EBITDA is a non-GAAP financial measure. A reconciliation of adjusted EBITDA to net income and disclosure regarding why we believe adjusted EBITDA provides useful information to investors is included later in this Form 10-Q.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first quarter of 2025, we entered into an agreement to sublease a portion of our office space in the Capitol View building in Nashville, Tennessee to optimize our workforce performance to deliver positive results for customers, employees, and shareholders. HealthStream’s corporate headquarters will remain in Nashville in the Capitol View building, while the Company will continue hiring new employees both locally and nationally to support its growth. The sublease commenced in April 2025 and will expire in October 2031. The Company expects to record sublease income, net of initial direct costs, of approximately $2.3 million during the remainder of 2025 and $3.2 million annually thereafter for the remaining term of the lease, as a reduction to lease expense under the caption General and Administrative.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Macroeconomic conditions in the U.S. that directly or indirectly impact the healthcare industry are challenging in certain respects and may become more challenging based on recent and contemplated changes to various policies and regulations. While healthcare costs continue to grow, government cuts or reimbursement rate reductions to funding for programs and organizations such as Federally Qualified Health Centers and academic medical institutions, the impact of tariffs on goods and services utilized by healthcare provider organizations, as well as uncertainty surrounding potential policy, regulatory, and economic shifts continue to be challenging for our healthcare customers. We believe that these macroeconomic challenges and uncertainties, particularly among healthcare provider organizations with patient populations more dependent on government-funded reimbursement, are causing some delays in purchasing and non-renewals of existing products and services, particularly in relation to elective or non-mandatory products and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challenges persist in terms of inflationary pressures, ongoing elevated interest rate levels, declining consumer sentiment, and heightened geopolitical tensions, including various ongoing and threatened conflicts abroad and strained global trade relations. We have experienced in certain recent periods, and believe that many of our customers have experienced, increased labor, supply chain, capital, and other expenditures and budgetary pressures associated with such conditions and challenges. These conditions and challenges impacting the U.S. economy and our customers in the healthcare industry have adversely affected, and may continue to adversely impact, our business and results of operations. Additionally, given our focus on customers in the healthcare industry, adverse developments impacting the healthcare industry may adversely impact our business and financial results. In this regard, and as mentioned above, potential reductions in federal and state healthcare spending and reimbursements, including proposed cuts to Medicare and Medicaid, and reductions in insurance coverage to individuals, whether through changes to the Affordable Care Act (“ACA”) or otherwise, as a result of recent political developments or other factors, may adversely impact our business and financial results, although we are unable to fully assess the impact to which we may be impacted by any such developments.</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Financial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utilizes the following financial metrics in connection with managing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Revenues, net</w:t>
            </w:r>
            <w:r>
              <w:rPr>
                <w:rFonts w:ascii="Times New Roman" w:hAnsi="Times New Roman"/>
                <w:caps w:val="false"/>
                <w:smallCaps w:val="false"/>
                <w:sz w:val="20"/>
              </w:rPr>
              <w:t>. Revenues, net, reflect income generated by the sales of goods and services related to our operations. Revenues, net, were $73.5 million for the three months ended March 31, 2025, compared to $72.8 million for the three months ended March 31, 2024. Management utilizes revenue in connection with managing our business and believes that this metric provides useful information to investors as a key indicator of the growth and success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Income</w:t>
            </w:r>
            <w:r>
              <w:rPr>
                <w:rFonts w:ascii="Times New Roman" w:hAnsi="Times New Roman"/>
                <w:caps w:val="false"/>
                <w:smallCaps w:val="false"/>
                <w:sz w:val="20"/>
              </w:rPr>
              <w:t>. Net income represents revenues, net, less all expenses. Net income was $4.3 million for the three months ended March 31, 2025, compared to $5.2 million for the three months ended March 31, 2024. Management utilizes net income in connection with managing our business, including with regard to our capital deployment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Adjusted EBITDA</w:t>
            </w:r>
            <w:r>
              <w:rPr>
                <w:rFonts w:ascii="Times New Roman" w:hAnsi="Times New Roman"/>
                <w:caps w:val="false"/>
                <w:smallCaps w:val="false"/>
                <w:sz w:val="20"/>
              </w:rPr>
              <w:t>. Adjusted EBITDA, calculated as set forth below under “Reconciliation of Non-GAAP Financial Measures,” is utilized by our 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certain short-term cash incentive bonuses and performance-based equity award grants are based, in whole or in part, on the achievement of adjusted EBITDA (as defined in applicable bonus and equity grant documentation) targets. Adjusted EBITDA was $16.2 million for the three months ended March 31, 2025, compared to $17.1 million for the three months ended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Capital Expenditures</w:t>
            </w:r>
            <w:r>
              <w:rPr>
                <w:rFonts w:ascii="Times New Roman" w:hAnsi="Times New Roman"/>
                <w:caps w:val="false"/>
                <w:smallCaps w:val="false"/>
                <w:sz w:val="20"/>
              </w:rPr>
              <w:t>. Capital expenditures represent cash payments incurred for purchases of property and equipment and during the development phase for projects to develop software and content. Capital expenditures were $8.8 million for the three months ended March 31, 2025, respectively, compared to $7.8 million for the three months ended March 31, 2024.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Notes to the Consolidated Financial Statements in our 2024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2024 Form 10-K.</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March 31, 2025 Compared to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Revenues, net. </w:t>
      </w:r>
      <w:r>
        <w:rPr>
          <w:rFonts w:ascii="Times New Roman" w:hAnsi="Times New Roman"/>
          <w:caps w:val="false"/>
          <w:smallCaps w:val="false"/>
          <w:sz w:val="20"/>
        </w:rPr>
        <w:t>Revenues increased $0.7 million, or 1%, to $73.5 million for the three months ended March 31, 2025 from $72.8 million for the three months ended March 31, 2024. Subscription revenues increased $0.6 million, or 1%, and professional services revenues increased by $0.1 million compared to the first quarter of 2024. Compared to the three months ended March 31, 2024, revenues for the three months ended March 31, 2025 were negatively impacted by several factors, including a $1.7 million reduction from attrition in legacy applications, a $0.9 million reduction in perpetual license sales, and a $0.6 million reduction from customer bankruptcies that occurred in 2024. These reductions to revenue were more than offset by $3.9 million of revenue growth across our portfolio of solutions.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comparison of revenues by revenue source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1745"/>
        <w:gridCol w:w="60"/>
        <w:gridCol w:w="160"/>
        <w:gridCol w:w="758"/>
        <w:gridCol w:w="237"/>
        <w:gridCol w:w="77"/>
        <w:gridCol w:w="160"/>
        <w:gridCol w:w="758"/>
        <w:gridCol w:w="237"/>
        <w:gridCol w:w="77"/>
        <w:gridCol w:w="535"/>
        <w:gridCol w:w="1119"/>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1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9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Change</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70,789</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70,205</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2,696</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2,555</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73,485</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72,760</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2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2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Revenues (excluding Depreciation and Amortization). </w:t>
      </w:r>
      <w:r>
        <w:rPr>
          <w:rFonts w:ascii="Times New Roman" w:hAnsi="Times New Roman"/>
          <w:caps w:val="false"/>
          <w:smallCaps w:val="false"/>
          <w:sz w:val="20"/>
        </w:rPr>
        <w:t>Cost of revenues increased $0.9 million, or 4%, to $25.5 million for the three months ended March 31, 2025, from $24.6 million for the three months ended March 31, 2024. Cost of revenues as a percentage of revenues were 35% and 34% for the three months ended March 31, 2025 and 2024, respectively. The increase in amount is primarily associated with investments in several areas of our business, primarily in our platform and SaaS applications, resulting in higher costs for software and cloud hosting as well as an increase in labor costs, partially offset by a decrease in royalties.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expenses was $12.0 million for both the three months ended March 31, 2025 and 2024. Product development expenses as a percentage of revenues were 16% and 17%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expenses, including personnel costs, increased $0.3 million, or 3%, to $12.1 million for the three months ended March 31, 2025, from $11.8 million for the three months ended March 31, 2024. Sales and marketing expenses were 17% and 16% of revenues for the three months ended March 31, 2025 and 2024. The increase in amount is primarily due to higher labor costs and sales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w:t>
      </w:r>
      <w:r>
        <w:rPr>
          <w:rFonts w:ascii="Times New Roman" w:hAnsi="Times New Roman"/>
          <w:caps w:val="false"/>
          <w:smallCaps w:val="false"/>
          <w:sz w:val="20"/>
        </w:rPr>
        <w:t> General and administrative expenses increased $0.4 million, or 4%, to $8.7 million for the three months ended March 31, 2025, from $8.3 million for the three months ended March 31, 2024. General and administrative expenses were 12% and 11% of revenues for the three months ended March 31, 2025 and 2024, respectively. The increase in amount is primarily due to an increase in labor costs and software expenses, partially offset by a decrease in facilities costs associated with satellite offices.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and Amortization. </w:t>
      </w:r>
      <w:r>
        <w:rPr>
          <w:rFonts w:ascii="Times New Roman" w:hAnsi="Times New Roman"/>
          <w:caps w:val="false"/>
          <w:smallCaps w:val="false"/>
          <w:sz w:val="20"/>
        </w:rPr>
        <w:t>Depreciation and amortization expense increased $0.5 million, or 4%, to $10.8 million for the three months ended March 31, 2025, from $10.3 million for the three months ended March 31, 2024. This increase in amount is primarily a result of an increase in amortization associated with capitalized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Interest Income</w:t>
      </w:r>
      <w:r>
        <w:rPr>
          <w:rFonts w:ascii="Times New Roman" w:hAnsi="Times New Roman"/>
          <w:caps w:val="false"/>
          <w:smallCaps w:val="false"/>
          <w:sz w:val="20"/>
        </w:rPr>
        <w:t>. Interest income was $0.9 million for both the three months ended March 31, 2025 and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Expense, Net</w:t>
      </w:r>
      <w:r>
        <w:rPr>
          <w:rFonts w:ascii="Times New Roman" w:hAnsi="Times New Roman"/>
          <w:caps w:val="false"/>
          <w:smallCaps w:val="false"/>
          <w:sz w:val="20"/>
        </w:rPr>
        <w:t>. Other expense, net was $0.1 million for both the three months ended March 31, 2025 and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Income Tax Provision. </w:t>
      </w:r>
      <w:r>
        <w:rPr>
          <w:rFonts w:ascii="Times New Roman" w:hAnsi="Times New Roman"/>
          <w:caps w:val="false"/>
          <w:smallCaps w:val="false"/>
          <w:sz w:val="20"/>
        </w:rPr>
        <w:t>The Company recorded a provision for income taxes of $0.9 million for the three months ended March 31, 2025, compared to $1.3 million for the three months ended March 31, 2024. The Company’s effective tax rate was 17% for the three months ended March 31, 2025, compared to 20% for the three months ended March 31, 2024. The Company’s effective tax rate primarily reflects the statutory corporate income tax rate, the net effect of state taxes, foreign income taxes, the effect of various permanent tax differences, and recognition of discrete tax items.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Net Income. </w:t>
      </w:r>
      <w:r>
        <w:rPr>
          <w:rFonts w:ascii="Times New Roman" w:hAnsi="Times New Roman"/>
          <w:caps w:val="false"/>
          <w:smallCaps w:val="false"/>
          <w:sz w:val="20"/>
        </w:rPr>
        <w:t>Net income was $4.3 million and $5.2 million for the three months ended March 31, 2025 and 2024, respectively. EPS was $0.14 per share (diluted) and $0.17 per share (diluted)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was $16.2 million for the three months ended March 31, 2025, compared to $17.1 million for the three months ended March 31, 2024. See “Reconciliation of Non-GAAP Financial Measures” below for our reconciliation of adjusted EBITDA to the most directly comparable measure under US GAAP and disclosure regarding why we believe adjusted EBITDA provides useful information to investors.</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Form 10-Q presents adjusted EBITDA, which is a non-GAAP financial measure used by management in analyzing our financial results and ongoing operational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better assess the Company’s financial results, management believes that net income before interest, income taxes, stock-based compensation, depreciation and amortization,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believe that adjusted EBITDA is useful to investors to assess the Company’s ongoing operating performance and to compare the Company’s operating performance between periods. Additionally, certain short-term cash incentive bonuses and performance-based equity awards are based on the achievement of adjusted EBITDA (as defined in applicable bonus and equity grant documentation)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is a non-GAAP financial measure and should not be considered as a measure of financial performance under GAAP. Because adjusted EBITDA is not a measurement determined in accordance with GAAP, adjusted EBITDA is susceptible to varying calculations. Accordingly, adjusted EBITDA, as presented, may not be comparable to other similarly titled measures of other companies and has limitations as an analytical tool.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reconciliation of adjusted EBITDA to the most directly comparable GAAP measure, net income, is set forth below (in thousands).</w:t>
      </w:r>
    </w:p>
    <w:p>
      <w:pPr>
        <w:pStyle w:val="TextBody"/>
        <w:bidi w:val="0"/>
        <w:spacing w:before="0" w:after="0"/>
        <w:ind w:left="0" w:right="0" w:hanging="0"/>
        <w:jc w:val="both"/>
        <w:rPr>
          <w:caps w:val="false"/>
          <w:smallCaps w:val="false"/>
        </w:rPr>
      </w:pPr>
      <w:r>
        <w:rPr>
          <w:caps w:val="false"/>
          <w:smallCaps w:val="false"/>
        </w:rPr>
        <w:t> </w:t>
      </w:r>
    </w:p>
    <w:tbl>
      <w:tblPr>
        <w:tblW w:w="5742" w:type="dxa"/>
        <w:jc w:val="left"/>
        <w:tblInd w:w="0" w:type="dxa"/>
        <w:tblLayout w:type="fixed"/>
        <w:tblCellMar>
          <w:top w:w="0" w:type="dxa"/>
          <w:left w:w="0" w:type="dxa"/>
          <w:bottom w:w="0" w:type="dxa"/>
          <w:right w:w="0" w:type="dxa"/>
        </w:tblCellMar>
      </w:tblPr>
      <w:tblGrid>
        <w:gridCol w:w="2900"/>
        <w:gridCol w:w="60"/>
        <w:gridCol w:w="215"/>
        <w:gridCol w:w="1016"/>
        <w:gridCol w:w="137"/>
        <w:gridCol w:w="103"/>
        <w:gridCol w:w="215"/>
        <w:gridCol w:w="1016"/>
        <w:gridCol w:w="80"/>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10,755</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10,336</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16,201</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increased by $6.2 million to $27.1 million during the three months ended March 31, 2025, from $20.9 million during the three months ended March 31, 2024. The increase in net cash provided by operating activities is primarily due to strong cash receipts from customers during the quarter, resulting in a reduction to our days sales outstanding ("DSO"). Our DSO was 37 days for the first quarter of 2025 compared to 46 days for the first quarter of 2024.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and general corporate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$7.2 million for the three months ended March 31, 2025, compared to $7.1 million for the three months ended March 31, 2024. During the three months ended March 31, 2025, the Company invested in marketable securities of $9.2 million, made payments for capitalized software development of $7.8 million, purchased property and equipment of $1.1 million, and purchased an investment of $0.5 million. These uses of cash were partially offset by $11.3 million in maturities of marketable securities. During the three months ended March 31, 2024, the Company invested in marketable securities of $14.1 million, made payments for capitalized software development of $7.0 million, and purchased property and equipment of $0.7 million. These uses of cash were partially offset by $14.0 million in maturities of marketable securities and $0.8 million received upon the settlement and release of escrowed proceeds related to a prior sale of a non-marketable equity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was $2.0 million for the three months ended March 31, 2025, compared to $1.7 million for the three months ended March 31, 2024. The uses of cash for the three months ended March 31, 2025 included $1.1 million for the payment of employee payroll taxes in relation to the vesting of restricted share units and $0.9 million for the payment of cash dividends. The uses of cash for the three months ended March 31, 2024 included $0.9 million for the payment of employee payroll taxes in related to the vesting of restricted share units and $0.8 million for the payment of cash dividends.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balance sheet reflects working capital of $43.9 million at March 31, 2025, compared to $37.4 million at December 31, 2024. The increase in working capital is primarily a result of an increase in cash and cash equivalents. The Company’s primary source of liquidity as of March 31, 2025 was $77.3 million of cash and cash equivalents and $36.0 million of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has a $50.0 million revolving credit facility, the availability of which is subject to certain covenants and minimum liquidity requirements. There currently are no outstanding borrowings under the revolving credit facility. The revolving credit facility expires on October 6, 2026, unless earlier renewed or amended. For additional information regarding our revolving credit facility, see Note 8 to the Condensed Consolidated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On February 20, 2023, we announced that our Board approved a quarterly dividend policy, under which we have paid dividends on a quarterly basis since our adoption of this policy. On February 24, 2025, the Board approved a quarterly cash dividend under this policy of $0.031 per share, which was paid on March 21, 2025 to holders of record of our common stock on March 10, 2025. In addition, on May 5, 2025, the Board approved a quarterly cash dividend under this policy of $0.031 per share, which will be payable on May 30, 2025 to holders of record of our common stock on May 19, 2025.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shd w:fill="FFFFFF" w:val="clear"/>
        </w:rPr>
        <w:t>T</w:t>
      </w:r>
      <w:r>
        <w:rPr>
          <w:rFonts w:ascii="Times New Roman;Times;serif" w:hAnsi="Times New Roman;Times;serif"/>
          <w:sz w:val="20"/>
        </w:rPr>
        <w:t xml:space="preserve">he dividend policy and the declaration and payment of each quarterly cash dividend will be subject to our Board’s continuing determination that the policy and the declaration and payment of dividends thereunder are in the best interests of our shareholders and are in compliance with applicable law and our credit agreement. Our Board retains the power to modify, suspend, or cancel the dividend policy and quarterly dividends thereunder in any manner and at any time that our Board may deem necessary or appropriate.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On September 13, 2023, the Company announced a share repurchase program authorized by the Company’s Board of Directors under which the Company was authorized to purchase up to $10.0 million of its common stock. Pursuant to this authorization, repurchases could be made in the open market, including under a Rule 10b5-1 plan, through privately negotiated transactions, or otherwise. Under this program, during 2023, the Company repurchased 404,188 shares of common stock at an aggregate fair value of $8.9 million, reflecting an average price per share of $22.07 (excluding the cost of broker commissions). The share repurchase program expired according to its terms on March 31, 2024, and no repurchases occurred under such program during 2024.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On May 8, 2025, the Company’s Board of Directors approved a new share repurchase program for the Company’s common stock, under which the Company may repurchase up to $25 million of outstanding shares of common stock. Pursuant to the authorization, repurchases may be made from time to time in the open market, including under a Rule 10b5-1 plan, through privately negotiated transactions, or otherwise. In addition, any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will terminate on the earlier of May 31, 2026 or when the maximum dollar amount has been expended. The share repurchase program does not require the Company to acquire any amount of shares and may be suspended or discontinued at any time.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We believe that our existing cash, cash equivalents, marketable securities, cash generated from operations, and available borrowings under our revolving credit facility will be sufficient to meet anticipated working capital needs, new product development, pay our quarterly dividends, effect any share repurchases we may elect to make under our share repurchase program as described above, and fund capital expenditures for at least the next 12 months and for the foreseeable future thereafter.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debt, or a combination thereof.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our new revolving credit facility would be dependent on the covenant calculations at the time of borrowing. As of March 31, 2025, we were in compliance with all covenants under our revolving credit facility. There can be no assurance that amounts available for borrowing under our revolving credit facility will be sufficient to consummate any possible acquisitions, and we cannot provide assurance that if we need additional financing, it will be available on terms favorable to us or at all. Failure to generate sufficient cash flow from operations or raise additional capital when required in sufficient amounts and on terms acceptable to us could harm our business, financial condition, and results of operations.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10" w:name="qqmdr"/>
      <w:bookmarkEnd w:id="10"/>
      <w:r>
        <w:rPr>
          <w:rFonts w:ascii="Times New Roman;Times;serif" w:hAnsi="Times New Roman;Times;serif"/>
          <w:b/>
          <w:sz w:val="20"/>
        </w:rPr>
        <w:t xml:space="preserve">Item 3. </w:t>
      </w:r>
      <w:r>
        <w:rPr>
          <w:rFonts w:ascii="Times New Roman;Times;serif" w:hAnsi="Times New Roman;Times;serif"/>
          <w:b/>
          <w:i/>
          <w:sz w:val="20"/>
        </w:rPr>
        <w:t>Quantitative and Qualitative Disclosures about Market Risk</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market risk from changes in interest rates, foreign currency risk, and investment risk. We do not have any commodity price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2025,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were $113.3 million at March 31, 2025. Assuming a hypothetical 10% decrease in interest rates for invested balances, interest income from cash and investments would decrease on an annualized basis by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Condensed Consolidated Financial Statements due to changes in market prices, observable price changes, and impairments to our strategic investments. These changes could be material based on market conditions and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bookmarkStart w:id="11" w:name="cps"/>
      <w:bookmarkEnd w:id="11"/>
      <w:r>
        <w:rPr>
          <w:rFonts w:ascii="Times New Roman;Times;serif" w:hAnsi="Times New Roman;Times;serif"/>
          <w:b/>
          <w:sz w:val="20"/>
        </w:rPr>
        <w:t xml:space="preserve">Item 4. </w:t>
      </w:r>
      <w:r>
        <w:rPr>
          <w:rFonts w:ascii="Times New Roman;Times;serif" w:hAnsi="Times New Roman;Times;serif"/>
          <w:b/>
          <w:i/>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Form 10-Q.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change in HealthStream’s internal control over financial reporting that occurred during the first quarter of 2025 that has materially affected, or that is reasonably likely to materially affect, HealthStream’s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partii"/>
      <w:bookmarkEnd w:id="12"/>
      <w:r>
        <w:rPr>
          <w:rFonts w:ascii="Times New Roman" w:hAnsi="Times New Roman"/>
          <w:b/>
          <w:caps w:val="false"/>
          <w:smallCaps w:val="false"/>
          <w:sz w:val="20"/>
        </w:rPr>
        <w:t>PART II</w:t>
      </w:r>
      <w:r>
        <w:rPr>
          <w:rFonts w:ascii="Times New Roman" w:hAnsi="Times New Roman"/>
          <w:caps w:val="false"/>
          <w:smallCaps w:val="false"/>
          <w:sz w:val="20"/>
        </w:rPr>
        <w:t> </w:t>
        <w:noBreakHyphen/>
        <w:t xml:space="preserve"> </w:t>
      </w:r>
      <w:r>
        <w:rPr>
          <w:rFonts w:ascii="Times New Roman" w:hAnsi="Times New Roman"/>
          <w:b/>
          <w:caps w:val="false"/>
          <w:smallCaps w:val="false"/>
          <w:sz w:val="20"/>
        </w:rPr>
        <w:t xml:space="preserve">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Item_1_Legal_Proceedings"/>
      <w:bookmarkEnd w:id="13"/>
      <w:r>
        <w:rPr>
          <w:rFonts w:ascii="Times New Roman" w:hAnsi="Times New Roman"/>
          <w:b/>
          <w:caps w:val="false"/>
          <w:smallCaps w:val="false"/>
          <w:sz w:val="20"/>
        </w:rPr>
        <w:t xml:space="preserve">Item 1. </w:t>
      </w: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4" w:name="risks"/>
      <w:bookmarkEnd w:id="14"/>
      <w:r>
        <w:rPr>
          <w:rFonts w:ascii="Times New Roman" w:hAnsi="Times New Roman"/>
          <w:b/>
          <w:caps w:val="false"/>
          <w:smallCaps w:val="false"/>
          <w:sz w:val="20"/>
        </w:rPr>
        <w:t xml:space="preserve">Item 1A. </w:t>
      </w:r>
      <w:r>
        <w:rPr>
          <w:rFonts w:ascii="Times New Roman" w:hAnsi="Times New Roman"/>
          <w:b/>
          <w:i/>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risk factors previously disclosed in Part I, Item 1A of the 2024 Form 10-K, except as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Business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been impacted, and may continue to be adversely impacted, by unfavorable conditions and uncertainty impacting the healthcare industry and the U.S. economy more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Macroeconomic conditions in the U.S. continue to be challenging in certain respects, driven by, among other things, persistent inflationary pressures, elevated interest rate levels, ongoing policy-related uncertainty, declining consumer sentiment, heightened geopolitical tensions, including as a result of ongoing conflicts abroad and strained global trade relations. Additional challenges related to macroeconomic conditions in the U.S. that are impacting or may impact healthcare more directly include current or potential policy and regulatory decisions to reduce government funding for certain healthcare provider organizations or programs, tariff-related policies that impact goods and services on which healthcare organizations rely, and uncertainty around potential reduction to payment rates, including through cuts to Medicaid or other payment programs, and potential loss of insurance coverage by individuals. These conditions, have, among other things, limited our ability to forecast future demand for our products and services, contributed to increased volatility in customer demand, and could constrain future access to capital for ourselves, our suppliers, customers, and partners. Moreover, while inflation has decreased in comparison to recent periods, we have experienced, and believe that many of our customers have experienced, increased labor, supply chain, capital, and other expenditures associated with inflationary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sell our products and services to large, mid-sized, and small healthcare organizations whose businesses fluctuate based on general economic and business conditions. As such, our operating results may vary based on the level of demand for our solutions by healthcare organizations and the impact of changes in our industry or the economy on us or our clients. For example, we have recently experienced a decrease in demand for certain of our solutions, such as health equity and belonging content, that may be viewed as a more elective type of offering by some of our customers. In addition, a portion of our revenue is attributable to the number of users of our products at each of our clients, which in turn is influenced by the employment and hiring patterns of our clients and potential clients. To the extent that economic uncertainty or weak economic conditions cause our clients and potential clients to freeze or reduce their headcount or operations, demand for our products may be negatively affected. Moreover, current economic conditions and uncertainty have resulted in and may continue to result in overall reductions in spending by some healthcare providers as well as pressure from some clients and potential clients for extended payment terms. If current economic conditions deteriorate, our clients and potential clients may elect to decrease their budgets for our solutions by deferring or reconsidering purchases or could file for bankruptcy, which has occurred from time to time. Such budget decreases or bankruptcy filings would limit our ability to grow our business and negatively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Economic, regulatory, policy, or other recent developments that adversely or disproportionately impact the healthcare industry may reduce spending on information technology by healthcare organizations and otherwise adversely affect our customer base and our financial results. Healthcare organizations continue to face persistent labor shortages, elevated wage and operating costs, and ongoing uncertainty regarding reimbursement levels. Furthermore, the margins of many healthcare providers are modest, and potential decreases in reimbursement for healthcare costs – whether due to federal or state budgetary constraints, deficit reduction initiatives, reduction or elimination of programs such the 340B Drug Pricing Program, reduction of insurance coverage readily available to individuals, or changes to Medicare and/or Medicaid policy – may reduce the overall solvency of our customers or cause further deterioration in their financial or business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U.S. government has recently imposed tariffs on certain foreign goods and has raised the possibility of imposing significant additional tariff increases or expanding the tariffs to capture other countries and types of foreign goods. Trade policies and tariffs affecting imported medical equipment, technology components, and other healthcare-related infrastructure have the potential to increase costs for healthcare organizations, which may reduce demand for our products and adversely impact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budget pressures at the federal and state levels have had and may continue to have a negative impact on spending for many health and human services programs, including Medicare and Medicaid, which represent significant payor sources for our customers. Federal budget initiatives in 2025 include potential significant reductions to the U.S. Department of Health and Human Services (“HHS”) and significant proposals such as the restructuring of Medicaid financing. Alteration or elimination of the ACA and the related insurance coverage available to individuals in connection with the ACA is also under consideration. We anticipate that federal and state budget deficits combined with growing governmental healthcare expenditures will continue to place pressure on governmental healthcare programs. Any actual or potential reductions in government healthcare spending or reduction to readily available health insurance coverage for individuals could result in reduced demand for our products or heightened pricing pressure.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there is ongoing uncertainty regarding the federal budget and federal spending levels, including the possible impacts of a failure to increase the “debt ceiling” and any possible U.S. governmental default on its debt. Additionally, the current presidential administration has implemented the "Department of Government Efficiency" ("DOGE"), an advisory commission focused on restructuring and streamlining government agencies and reducing or eliminating regulations and federal government programs and other expenditures, which has also given rise to separate efforts at the state level to reduce government spending. In March 2025, in accordance with the DOGE Workforce Optimization Initiative, HHS announced a significant agency restructuring, reducing the HHS workforce and consolidating divisions of the agency. Pressures on and uncertainty surrounding the U.S. federal and state annual appropriations, holds on congressionally authorized spending, or interruptions in the distribution of governmental funds, could adversely affect our financial results due to the reliance of many of our customers on payments from third-party healthcare payors, including Medicare, Medicaid, and other government-sponsored programs.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conditions and uncertainties impacting the healthcare industry and our healthcare customers as described above have adversely affected, and may continue to adversely impact, our business and results of operations, including by lengthening sales cycles, increasing pricing sensitivity, and delaying investment decisions among our customers and potential customers. Moreover, if economic or conditions impacting the healthcare industry or U.S. economy significantly deteriorate, our results of operations, financial position, and/or cash flows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Item_2_Sales_of_Equity"/>
      <w:bookmarkEnd w:id="15"/>
      <w:r>
        <w:rPr>
          <w:rFonts w:ascii="Times New Roman" w:hAnsi="Times New Roman"/>
          <w:b/>
          <w:caps w:val="false"/>
          <w:smallCaps w:val="false"/>
          <w:sz w:val="20"/>
        </w:rPr>
        <w:t xml:space="preserve">Item 2. </w:t>
      </w:r>
      <w:r>
        <w:rPr>
          <w:rFonts w:ascii="Times New Roman" w:hAnsi="Times New Roman"/>
          <w:b/>
          <w:i/>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 Without limiting the generality of the foregoing, the Company did not have any share repurchase program in effect and did not purchase any shares of common stock of the Company during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noted above, on May 8, 2025, the Company announced that its Board of Directors approved a new share repurchase program for the Company’s common stock, under which the Company may repurchase up to $25 million of outstanding shares of common stock. Pursuant to the authorization, repurchases may be made from time to time in the open market, including under a Rule 10b5-1 plan, through privately negotiated transactions, or otherwise. In addition, any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will terminate on the earlier of May 31, 2026 or when the maximum dollar amount has been expended. The share repurchase program does not require the Company to acquire any amount of shares and may be suspended or discontinued at any time.</w:t>
      </w:r>
    </w:p>
    <w:p>
      <w:pPr>
        <w:pStyle w:val="TextBody"/>
        <w:bidi w:val="0"/>
        <w:spacing w:before="0" w:after="283"/>
        <w:jc w:val="left"/>
        <w:rPr/>
      </w:pPr>
      <w:r>
        <w:rPr/>
        <w:t xml:space="preserve">  </w:t>
      </w:r>
    </w:p>
    <w:p>
      <w:pPr>
        <w:pStyle w:val="TextBody"/>
        <w:bidi w:val="0"/>
        <w:spacing w:before="0" w:after="0"/>
        <w:ind w:left="0" w:right="0" w:hanging="0"/>
        <w:jc w:val="both"/>
        <w:rPr/>
      </w:pPr>
      <w:bookmarkStart w:id="16" w:name="Item_5_Other_Info"/>
      <w:bookmarkEnd w:id="16"/>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w:t>
      </w:r>
      <w:r>
        <w:rPr>
          <w:rFonts w:ascii="Times New Roman" w:hAnsi="Times New Roman"/>
          <w:b/>
          <w:i/>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None. Without limiting the generality of the foregoing,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 no</w:t>
      </w:r>
      <w:r>
        <w:rPr>
          <w:rFonts w:ascii="Times New Roman" w:hAnsi="Times New Roman"/>
          <w:caps w:val="false"/>
          <w:smallCaps w:val="false"/>
          <w:sz w:val="20"/>
        </w:rPr>
        <w:t xml:space="preserve"> director or officer of the Company adopted or terminated any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any “non-Rule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trading arrangement,” as such terms are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of Regulation S-K.</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7" w:name="exs"/>
      <w:bookmarkEnd w:id="17"/>
      <w:r>
        <w:rPr>
          <w:rFonts w:ascii="Times New Roman" w:hAnsi="Times New Roman"/>
          <w:b/>
          <w:caps w:val="false"/>
          <w:smallCaps w:val="false"/>
          <w:sz w:val="20"/>
        </w:rPr>
        <w:t xml:space="preserve">Item 6. </w:t>
      </w:r>
      <w:r>
        <w:rPr>
          <w:rFonts w:ascii="Times New Roman" w:hAnsi="Times New Roman"/>
          <w:b/>
          <w:i/>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60"/>
        <w:gridCol w:w="230"/>
        <w:gridCol w:w="7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
        <w:gridCol w:w="9444"/>
      </w:tblGrid>
      <w:tr>
        <w:trPr/>
        <w:tc>
          <w:tcPr>
            <w:tcW w:w="761" w:type="dxa"/>
            <w:tcBorders/>
            <w:vAlign w:val="center"/>
          </w:tcPr>
          <w:p>
            <w:pPr>
              <w:pStyle w:val="TableContents"/>
              <w:bidi w:val="0"/>
              <w:spacing w:before="0" w:after="283"/>
              <w:jc w:val="left"/>
              <w:rPr/>
            </w:pPr>
            <w:r>
              <w:rPr/>
              <w:t>10.1^</w:t>
            </w:r>
          </w:p>
        </w:tc>
        <w:tc>
          <w:tcPr>
            <w:tcW w:w="9444" w:type="dxa"/>
            <w:tcBorders/>
            <w:vAlign w:val="center"/>
          </w:tcPr>
          <w:p>
            <w:pPr>
              <w:pStyle w:val="TableContents"/>
              <w:bidi w:val="0"/>
              <w:spacing w:before="0" w:after="283"/>
              <w:jc w:val="left"/>
              <w:rPr/>
            </w:pPr>
            <w:hyperlink w:anchor="ex_802082.htm">
              <w:r>
                <w:rPr>
                  <w:rStyle w:val="InternetLink"/>
                </w:rPr>
                <w:t>HealthStream, Inc. 2025 Cash Incentive Bonus Plan</w:t>
              </w:r>
            </w:hyperlink>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9444" w:type="dxa"/>
            <w:tcBorders/>
            <w:vAlign w:val="center"/>
          </w:tcPr>
          <w:p>
            <w:pPr>
              <w:pStyle w:val="TableContents"/>
              <w:bidi w:val="0"/>
              <w:spacing w:before="0" w:after="0"/>
              <w:ind w:left="0" w:right="0" w:hanging="0"/>
              <w:jc w:val="both"/>
              <w:rPr/>
            </w:pPr>
            <w:hyperlink w:anchor="ex_762764.htm">
              <w:r>
                <w:rPr>
                  <w:rStyle w:val="InternetLink"/>
                  <w:rFonts w:ascii="Times New Roman" w:hAnsi="Times New Roman"/>
                  <w:caps w:val="false"/>
                  <w:smallCaps w:val="false"/>
                  <w:sz w:val="20"/>
                  <w:u w:val="single"/>
                </w:rPr>
                <w:t>Certification of the Chief Executive Officer Pursuant to Section 302 of the Sarbanes-Oxley Act of 2002</w:t>
              </w:r>
            </w:hyperlink>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w:t>
            </w:r>
          </w:p>
        </w:tc>
        <w:tc>
          <w:tcPr>
            <w:tcW w:w="9444" w:type="dxa"/>
            <w:tcBorders/>
            <w:vAlign w:val="center"/>
          </w:tcPr>
          <w:p>
            <w:pPr>
              <w:pStyle w:val="TableContents"/>
              <w:bidi w:val="0"/>
              <w:spacing w:before="0" w:after="0"/>
              <w:ind w:left="0" w:right="0" w:hanging="0"/>
              <w:jc w:val="both"/>
              <w:rPr/>
            </w:pPr>
            <w:hyperlink w:anchor="ex_762765.htm">
              <w:r>
                <w:rPr>
                  <w:rStyle w:val="InternetLink"/>
                  <w:rFonts w:ascii="Times New Roman" w:hAnsi="Times New Roman"/>
                  <w:caps w:val="false"/>
                  <w:smallCaps w:val="false"/>
                  <w:sz w:val="20"/>
                  <w:u w:val="single"/>
                </w:rPr>
                <w:t>Certification of the Principal Financial Officer Pursuant to Section 302 of the Sarbanes-Oxley Act of 2002</w:t>
              </w:r>
            </w:hyperlink>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9444" w:type="dxa"/>
            <w:tcBorders/>
            <w:vAlign w:val="center"/>
          </w:tcPr>
          <w:p>
            <w:pPr>
              <w:pStyle w:val="TableContents"/>
              <w:bidi w:val="0"/>
              <w:spacing w:before="0" w:after="0"/>
              <w:ind w:left="0" w:right="0" w:hanging="0"/>
              <w:jc w:val="both"/>
              <w:rPr/>
            </w:pPr>
            <w:hyperlink w:anchor="ex_762766.htm">
              <w:r>
                <w:rPr>
                  <w:rStyle w:val="InternetLink"/>
                  <w:rFonts w:ascii="Times New Roman" w:hAnsi="Times New Roman"/>
                  <w:caps w:val="false"/>
                  <w:smallCaps w:val="false"/>
                  <w:sz w:val="20"/>
                  <w:u w:val="single"/>
                </w:rPr>
                <w:t>Certification Pursuant to 18 U.S.C. Section 1350, as Adopted Pursuant to Section 906 of the Sarbanes-Oxley Act of 2002</w:t>
              </w:r>
            </w:hyperlink>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32.2</w:t>
            </w:r>
          </w:p>
        </w:tc>
        <w:tc>
          <w:tcPr>
            <w:tcW w:w="9444" w:type="dxa"/>
            <w:tcBorders/>
            <w:vAlign w:val="center"/>
          </w:tcPr>
          <w:p>
            <w:pPr>
              <w:pStyle w:val="TableContents"/>
              <w:bidi w:val="0"/>
              <w:spacing w:before="0" w:after="0"/>
              <w:ind w:left="0" w:right="0" w:hanging="0"/>
              <w:jc w:val="both"/>
              <w:rPr/>
            </w:pPr>
            <w:hyperlink w:anchor="ex_762767.htm">
              <w:r>
                <w:rPr>
                  <w:rStyle w:val="InternetLink"/>
                  <w:rFonts w:ascii="Times New Roman" w:hAnsi="Times New Roman"/>
                  <w:caps w:val="false"/>
                  <w:smallCaps w:val="false"/>
                  <w:sz w:val="20"/>
                  <w:u w:val="single"/>
                </w:rPr>
                <w:t>Certification Pursuant to 18 U.S.C. Section 1350, as Adopted Pursuant to Section 906 of the Sarbanes-Oxley Act of 2002</w:t>
              </w:r>
            </w:hyperlink>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INS</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 – The instant document does not appear in the Interactive Data File because its XBRL tags are embedded within the Inline XBRL document.</w:t>
            </w:r>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SCH</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CAL</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DEF</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LAB</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PRE</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761" w:type="dxa"/>
            <w:tcBorders/>
            <w:vAlign w:val="center"/>
          </w:tcPr>
          <w:p>
            <w:pPr>
              <w:pStyle w:val="TableContents"/>
              <w:bidi w:val="0"/>
              <w:spacing w:before="0" w:after="283"/>
              <w:jc w:val="left"/>
              <w:rPr/>
            </w:pPr>
            <w:r>
              <w:rPr/>
              <w:t>104</w:t>
            </w:r>
          </w:p>
        </w:tc>
        <w:tc>
          <w:tcPr>
            <w:tcW w:w="9444" w:type="dxa"/>
            <w:tcBorders/>
            <w:vAlign w:val="center"/>
          </w:tcPr>
          <w:p>
            <w:pPr>
              <w:pStyle w:val="TableContents"/>
              <w:bidi w:val="0"/>
              <w:spacing w:before="0" w:after="283"/>
              <w:jc w:val="left"/>
              <w:rPr/>
            </w:pPr>
            <w:r>
              <w:rPr/>
              <w:t>The cover page from the Company’s Quarterly Report on Form 10-Q for the quarter ended March 31, 2025, has been formatted in Inline XBRL</w:t>
            </w:r>
          </w:p>
        </w:tc>
      </w:tr>
      <w:tr>
        <w:trPr/>
        <w:tc>
          <w:tcPr>
            <w:tcW w:w="761" w:type="dxa"/>
            <w:tcBorders/>
            <w:vAlign w:val="center"/>
          </w:tcPr>
          <w:p>
            <w:pPr>
              <w:pStyle w:val="TableContents"/>
              <w:bidi w:val="0"/>
              <w:spacing w:before="0" w:after="283"/>
              <w:jc w:val="left"/>
              <w:rPr/>
            </w:pPr>
            <w:r>
              <w:rPr/>
              <w:t>^</w:t>
            </w:r>
          </w:p>
        </w:tc>
        <w:tc>
          <w:tcPr>
            <w:tcW w:w="9444" w:type="dxa"/>
            <w:tcBorders/>
            <w:vAlign w:val="center"/>
          </w:tcPr>
          <w:p>
            <w:pPr>
              <w:pStyle w:val="TableContents"/>
              <w:bidi w:val="0"/>
              <w:spacing w:before="0" w:after="283"/>
              <w:jc w:val="left"/>
              <w:rPr/>
            </w:pPr>
            <w:r>
              <w:rPr/>
              <w:t>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8" w:name="sigs"/>
      <w:bookmarkEnd w:id="18"/>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95" w:type="dxa"/>
        <w:jc w:val="left"/>
        <w:tblInd w:w="0" w:type="dxa"/>
        <w:tblLayout w:type="fixed"/>
        <w:tblCellMar>
          <w:top w:w="0" w:type="dxa"/>
          <w:left w:w="0" w:type="dxa"/>
          <w:bottom w:w="0" w:type="dxa"/>
          <w:right w:w="0" w:type="dxa"/>
        </w:tblCellMar>
      </w:tblPr>
      <w:tblGrid>
        <w:gridCol w:w="1235"/>
        <w:gridCol w:w="320"/>
        <w:gridCol w:w="60"/>
        <w:gridCol w:w="1880"/>
      </w:tblGrid>
      <w:tr>
        <w:trPr/>
        <w:tc>
          <w:tcPr>
            <w:tcW w:w="1235" w:type="dxa"/>
            <w:tcBorders/>
            <w:vAlign w:val="center"/>
          </w:tcPr>
          <w:p>
            <w:pPr>
              <w:pStyle w:val="TableContents"/>
              <w:bidi w:val="0"/>
              <w:spacing w:before="0" w:after="283"/>
              <w:jc w:val="left"/>
              <w:rPr/>
            </w:pPr>
            <w:r>
              <w:rPr/>
              <w:t> </w:t>
            </w:r>
          </w:p>
        </w:tc>
        <w:tc>
          <w:tcPr>
            <w:tcW w:w="2260" w:type="dxa"/>
            <w:gridSpan w:val="3"/>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INC.</w:t>
            </w:r>
          </w:p>
        </w:tc>
      </w:tr>
      <w:tr>
        <w:trPr/>
        <w:tc>
          <w:tcPr>
            <w:tcW w:w="12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May 9, 2025</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60" w:type="dxa"/>
            <w:tcBorders/>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Scott A. Roberts</w:t>
            </w:r>
          </w:p>
        </w:tc>
      </w:tr>
      <w:tr>
        <w:trPr/>
        <w:tc>
          <w:tcPr>
            <w:tcW w:w="12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2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20 </w:t>
      </w:r>
    </w:p>
    <w:p>
      <w:pPr>
        <w:pStyle w:val="TextBody"/>
        <w:bidi w:val="0"/>
        <w:spacing w:before="0" w:after="0"/>
        <w:ind w:left="0" w:right="0" w:hanging="0"/>
        <w:jc w:val="right"/>
        <w:rPr>
          <w:rFonts w:ascii="Times New Roman" w:hAnsi="Times New Roman"/>
          <w:caps w:val="false"/>
          <w:smallCaps w:val="false"/>
          <w:sz w:val="20"/>
        </w:rPr>
      </w:pPr>
      <w:bookmarkStart w:id="19" w:name="ex_802082.htm"/>
      <w:bookmarkStart w:id="20" w:name="ksex_802082"/>
      <w:bookmarkEnd w:id="19"/>
      <w:bookmarkEnd w:id="20"/>
      <w:r>
        <w:rPr>
          <w:rFonts w:ascii="Times New Roman" w:hAnsi="Times New Roman"/>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HealthStream,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2025 Cash Incentive Bonus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HealthStream, Inc. 2022 Omnibus Incentive Plan, the Compensation Committee (the “Committee”) of the Board of Directors of HealthStream, Inc. (the “Company”) hereby establishes this 2025 Cash Incentive Bonus Plan (the “Plan”). The Plan is the cash-based, short-term incentive portion of HealthStream's incentive compensation structure for certain executive officers, as well as the vice presidents, associate vice presidents, senior directors, and directors of the Company (such individuals referred to collectively as “Management”). The purpose of the Plan is to specify appropriate opportunities to earn a cash bonus with respect to the Company’s 2025 fiscal year in order to reward Management for facilitating the Company’s achievement of certain levels of financial performance during fiscal year 2025 and to further align their interests with those of the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Annual Bonus</w:t>
            </w:r>
            <w:r>
              <w:rPr>
                <w:rFonts w:ascii="Times New Roman" w:hAnsi="Times New Roman"/>
                <w:caps w:val="false"/>
                <w:smallCaps w:val="false"/>
                <w:sz w:val="20"/>
              </w:rPr>
              <w:t> – The annual bonus paid to Management after the Committee determines the applicable financial measure has been achieved.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Adjusted EBITDA</w:t>
            </w:r>
            <w:r>
              <w:rPr>
                <w:rFonts w:ascii="Times New Roman" w:hAnsi="Times New Roman"/>
                <w:caps w:val="false"/>
                <w:smallCaps w:val="false"/>
                <w:sz w:val="20"/>
              </w:rPr>
              <w:t> – The Company’s Adjusted EBITDA for the 2025 fiscal year calculated as set forth in the “Reconciliation of Non-GAAP Financial Measures” in the Company’s annual report on Form 10-K and as updated under subsequent quarterly filings under Form 10-Q or the Company’s quarterly earnings releases filed under Forms 8-K; provided the following are excluded from the calculation of Adjusted EBITDA: (i) acquisition and divestiture expenses incurred within the calendar year to the extent such expenses are in excess of the amount originally allocated to such purpose in the Company’s 2025 budget; and (ii) Adjusted EBITDA (profit/loss) from acquisitions and divestitures consummated during 2025 (collectively, the “Excluded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Revenue</w:t>
            </w:r>
            <w:r>
              <w:rPr>
                <w:rFonts w:ascii="Times New Roman" w:hAnsi="Times New Roman"/>
                <w:caps w:val="false"/>
                <w:smallCaps w:val="false"/>
                <w:sz w:val="20"/>
              </w:rPr>
              <w:t> – The Company’s GAAP revenue for the 2025 fiscal year as reported in the Company’s annual report on Form 10-K, including the GAAP revenue recognized by the Company from acquisitions and divestitures consummated during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Revenue Growth</w:t>
            </w:r>
            <w:r>
              <w:rPr>
                <w:rFonts w:ascii="Times New Roman" w:hAnsi="Times New Roman"/>
                <w:caps w:val="false"/>
                <w:smallCaps w:val="false"/>
                <w:sz w:val="20"/>
              </w:rPr>
              <w:t> </w:t>
            </w:r>
            <w:r>
              <w:rPr>
                <w:rFonts w:ascii="Times New Roman" w:hAnsi="Times New Roman"/>
                <w:b/>
                <w:caps w:val="false"/>
                <w:smallCaps w:val="false"/>
                <w:sz w:val="20"/>
              </w:rPr>
              <w:t xml:space="preserve">Percentage </w:t>
            </w:r>
            <w:r>
              <w:rPr>
                <w:rFonts w:ascii="Times New Roman" w:hAnsi="Times New Roman"/>
                <w:caps w:val="false"/>
                <w:smallCaps w:val="false"/>
                <w:sz w:val="20"/>
              </w:rPr>
              <w:t>– The Company’s Revenue Growth Percentage for the 2025 fiscal year is the percentage increase in 2025 Revenue compared to the Company’s GAAP revenue for the 2024 fiscal year as reported in the Company’s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Incremental Threshold Adjusted EBITDA </w:t>
            </w:r>
            <w:r>
              <w:rPr>
                <w:rFonts w:ascii="Times New Roman" w:hAnsi="Times New Roman"/>
                <w:caps w:val="false"/>
                <w:smallCaps w:val="false"/>
                <w:sz w:val="20"/>
              </w:rPr>
              <w:t> – the amount of Adjusted EBITDA before bonuses less Threshold Adjusted EBITDA; as such Threshold Adjusted EBITDA amount is established by the Committee. Incremental Threshold Adjusted EBITDA funds the Threshold Bonus Pool as set forth in the “Payout” section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Incremental Target Adjusted EBITDA</w:t>
            </w:r>
            <w:r>
              <w:rPr>
                <w:rFonts w:ascii="Times New Roman" w:hAnsi="Times New Roman"/>
                <w:caps w:val="false"/>
                <w:smallCaps w:val="false"/>
                <w:sz w:val="20"/>
              </w:rPr>
              <w:t> – the amount of Adjusted EBITDA before bonuses less Target Adjusted EBITDA; as such Target Adjusted EBITDA amount is established by the Committee. Incremental Target EBITDA funds the Target Bonus Pool as set forth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2025 Financial Measure and Plan Principles: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Measure</w:t>
            </w:r>
            <w:r>
              <w:rPr>
                <w:rFonts w:ascii="Times New Roman" w:hAnsi="Times New Roman"/>
                <w:caps w:val="false"/>
                <w:smallCaps w:val="false"/>
                <w:sz w:val="20"/>
              </w:rPr>
              <w:t> – For purposes of the Threshold and Target Bonus Pools, Adjusted EBITDA before bonuses will be the financial measure for 2025. For the Stretch Bonus Pool (as defined below), the Revenue Growth Percentage will be the financial measure for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Funding Principle </w:t>
            </w:r>
            <w:r>
              <w:rPr>
                <w:rFonts w:ascii="Times New Roman" w:hAnsi="Times New Roman"/>
                <w:caps w:val="false"/>
                <w:smallCaps w:val="false"/>
                <w:sz w:val="20"/>
              </w:rPr>
              <w:t>– The Annual Bonus will be funded: (i) first from the amount of Incremental Threshold Adjusted EBITDA that exceeds Threshold Adjusted EBITDA, (ii) then from the amount of Incremental Target Adjusted EBITDA that exceeds Target Adjusted EBITDA, and (iii) finally, for Executives and Vice Presidents only, according to the achievement of Revenue Growth Percentage targets established by the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Five groups are eligible for participation in the Plan: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b/>
              </w:rPr>
              <w:t>Executive Team</w:t>
            </w:r>
            <w:r>
              <w:rPr/>
              <w:t xml:space="preserve"> – The maximum Annual Bonus (prior to giving effect to any payment of any Stretch Bonus Amount) that (i) the Chief Executive Officer of HealthStream and Executive Vice Presidents shall be eligible to receive under the Plan shall be an amount equal to 40% of such member’s base salary; and (ii) Senior Vice Presidents shall be eligible to receive under the Plan shall be an amount equal to 35% of such member’s base salary. Unless otherwise excluded below, the Executive Team eligible for participation includes the Chief Executive Officer, Executive Vice Presidents, and Senior Vice Presidents of the Company (collectively, the “Executives”).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Vice Presidents </w:t>
            </w:r>
            <w:r>
              <w:rPr>
                <w:rFonts w:ascii="Times New Roman" w:hAnsi="Times New Roman"/>
                <w:caps w:val="false"/>
                <w:smallCaps w:val="false"/>
                <w:sz w:val="20"/>
              </w:rPr>
              <w:t>– The maximum Annual Bonus that Vice Presidents shall be eligible to receive under the Plan shall be an amount equal to 20% of such Vice President’s base salary.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b/>
              </w:rPr>
              <w:t xml:space="preserve">Associate Vice Presidents </w:t>
            </w:r>
            <w:r>
              <w:rPr/>
              <w:t>– The maximum Annual Bonus that Associate Vice Presidents shall be eligible to receive under the Plan shall be an amount equal to 18% of such Associate Vice President’s base salary.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b/>
              </w:rPr>
              <w:t xml:space="preserve">Senior Directors </w:t>
            </w:r>
            <w:r>
              <w:rPr/>
              <w:t>– The maximum Annual Bonus that Senior Directors shall be eligible to receive under the Plan shall be an amount equal to 10% of such Senior Director’s base salary. For purposes of clarity, Directors do not include members of the Board of Directors, but are management-level employees of the Company.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b/>
              </w:rPr>
              <w:t xml:space="preserve">Directors </w:t>
            </w:r>
            <w:r>
              <w:rPr/>
              <w:t>– The maximum Annual Bonus that Directors shall be eligible to receive under the Plan shall be an amount equal to 8% of such Director’s base salary. For purposes of clarity, Directors do not include members of the Board of Directors, but are management-level employees of the Company.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b/>
              </w:rPr>
              <w:t>Employment Requirements</w:t>
            </w:r>
            <w:r>
              <w:rPr/>
              <w:t> – Participants in the Plan who were employed with the Company through December 31, 2025 shall be eligible to receive bonus payments, if any, under the Plan regardless of whether such employees are employed on the date such payments are actually made. Notwithstanding the foregoing, in the case of death or disability, the participant’s pro rata share from January 1, 2025 through the date of participant’s death or disability shall be awarded.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b/>
              </w:rPr>
              <w:t>Exclusions</w:t>
            </w:r>
            <w:r>
              <w:rPr/>
              <w:t xml:space="preserve"> – Members of the Executive Team and of Management with a commission-based incentive compensation plan shall not be eligible to participate in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Payout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Payouts under the Plan shall be determined as follows:</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60"/>
        <w:gridCol w:w="170"/>
        <w:gridCol w:w="7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Annual Bonus payable to any participant in this Plan will be determined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Adjusted EBITDA before bonuses is less than or equal to Threshold Adjusted EBITDA, a participant will receive no Annual Bonus.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Incremental Threshold Adjusted EBITDA funds the Threshold Bonus Pool, a participant will receive a percentage of his or her maximum Annual Bonus payable as set forth above under “The Plan-Eligibility” (the “Maximum Annual Bonus”) in an amount between 0% and 25% of the Maximum Annual Bonus payable to such participant, based on the amount of bonus pool that is funded for that range (the “Threshold Bonus Pool”). The Threshold Bonus Pool shall be funded by every dollar of Incremental Threshold Adjusted EBITDA until the Threshold Pool is fully funded. The Threshold Bonus Pool is fully funded at the point in which the Threshold Adjusted EBITDA is reached after bonus payments equal to 25% of the Maximum Annual Bonus for all participants is achieved.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the Threshold Bonus Pool is fully funded, a participant will then be eligible to receive an Annual Bonus in an amount between 26% and 100% of the Maximum Annual Bonus payable to such participant, based on the amount of bonus pool that is funded for that range (the “Target Bonus Pool”). The Target Bonus Pool shall be funded by forty-three cents of every dollar of Incremental Target Adjusted EBITDA until the Target Bonus Pool is fully funded. The Target Bonus Pool is fully funded at the point in which the Target Adjusted EBITDA is reached after bonus payments equal to the remaining 75% of the Maximum Annual Bonus amount (at which point 100% of the Maximum Annual Bonus in the aggregate would be earned); provided Executives and Vice Presidents shall also be eligible to receive a Stretch Bonus Amount as set forth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Solely for Executives and Vice President, in the event that Target Bonus Pool is fully funded, each Executive and Vice President will then be eligible to receive—in addition to their Maximum Annual Bonus, which has already been earned—an additional payment (the “Stretch Bonus Amount”) in an amount equal to a percentage between (i) 0% and 16% of the base salary payable to such Executive and (ii) 0% and 8% of the base salary payable to such Vice President, based on the amount of bonus pool that is funded for that range (the “Stretch Bonus Pool”). The Stretch Bonus Pool shall be funded according to the achievement of Revenue Growth Percentage targets established by the Committee, which Revenue Growth Percentages targets may include achievement of a minimum threshold of organic revenue growth prior to the commencement of any funding for the Stretch Bonus Pool. For purposes of clarity, Executives and Vice Presidents shall become eligible to begin achieving the Stretch Bonus Amount after 100% of the Maximum Annual Bonus is achieved, and payment for any Stretch Bonus Amount an Executive or Vice President achieves shall be in addition to the 100% Maximum Annual Bonus.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Annual Bonus payouts made to the Executive Team, Vice Presidents, Associate Vice Presidents, Senior Directors, or Directors pursuant to the Plan shall be payable at such time as bonuses are paid generally to executive officers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7"/>
        <w:gridCol w:w="10018"/>
      </w:tblGrid>
      <w:tr>
        <w:trPr/>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8" w:type="dxa"/>
            <w:tcBorders/>
            <w:vAlign w:val="center"/>
          </w:tcPr>
          <w:p>
            <w:pPr>
              <w:pStyle w:val="TableContents"/>
              <w:bidi w:val="0"/>
              <w:spacing w:before="0" w:after="283"/>
              <w:jc w:val="left"/>
              <w:rPr/>
            </w:pPr>
            <w:r>
              <w:rPr/>
              <w:t xml:space="preserve">Any Annual Bonus paid or payable to any recipient pursuant to the Plan shall be subject to forfeiture, repayment, reimbursement or other recoupment (i) to the extent provided in the Company’s Amended and Restated Compensation Recoupment Policy, as it may be amended from time to time (the “Current Recoupment Policy”), (ii) to the extent that such recipient in the future becomes subject to any other recoupment or clawback policy hereafter adopted by the Company, including any such policy (or amended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final rules and final Nasdaq listing standards, the “Dodd-Frank Clawback Requirements”) (such policies referenced in clause (i) or this clause (ii), collectively, the “Policies”), and (iii) to the extent otherwise provided under applicable legal requirements, SEC rules or Nasdaq listing standards which impose mandatory recoupment, as in effect from time to time (including pursuant to the Dodd-Frank Clawback Requirements). The Company may utilize any method of recovery specified in the Policies in connection with any such recoupment </w:t>
            </w:r>
            <w:r>
              <w:rPr>
                <w:u w:val="single"/>
              </w:rPr>
              <w:t>pursuant to</w:t>
            </w:r>
            <w:r>
              <w:rPr/>
              <w:t xml:space="preserve"> the terms of the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1" w:name="ex_762764.htm"/>
      <w:bookmarkStart w:id="22" w:name="ksex_762764"/>
      <w:bookmarkEnd w:id="21"/>
      <w:bookmarkEnd w:id="22"/>
      <w:r>
        <w:rPr>
          <w:rFonts w:ascii="Times New Roman" w:hAnsi="Times New Roman"/>
          <w:caps w:val="false"/>
          <w:smallCaps w:val="false"/>
          <w:sz w:val="20"/>
        </w:rPr>
        <w:t>EXHIBIT 31.1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Robert A. Frist, Jr.,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HealthStream,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28" w:type="dxa"/>
          <w:right w:w="0" w:type="dxa"/>
        </w:tblCellMar>
      </w:tblPr>
      <w:tblGrid>
        <w:gridCol w:w="1535"/>
        <w:gridCol w:w="60"/>
        <w:gridCol w:w="1985"/>
      </w:tblGrid>
      <w:tr>
        <w:trPr/>
        <w:tc>
          <w:tcPr>
            <w:tcW w:w="153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9, 2025</w:t>
            </w:r>
          </w:p>
        </w:tc>
        <w:tc>
          <w:tcPr>
            <w:tcW w:w="60" w:type="dxa"/>
            <w:tcBorders>
              <w:bottom w:val="single" w:sz="2" w:space="0" w:color="000000"/>
            </w:tcBorders>
            <w:vAlign w:val="center"/>
          </w:tcPr>
          <w:p>
            <w:pPr>
              <w:pStyle w:val="TableContents"/>
              <w:bidi w:val="0"/>
              <w:spacing w:before="0" w:after="283"/>
              <w:jc w:val="both"/>
              <w:rPr/>
            </w:pPr>
            <w:r>
              <w:rPr/>
              <w:t> </w:t>
            </w:r>
          </w:p>
        </w:tc>
        <w:tc>
          <w:tcPr>
            <w:tcW w:w="198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Robert A. Frist, Jr.</w:t>
            </w:r>
          </w:p>
        </w:tc>
      </w:tr>
      <w:tr>
        <w:trPr/>
        <w:tc>
          <w:tcPr>
            <w:tcW w:w="15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98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15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98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3" w:name="ex_762765.htm"/>
      <w:bookmarkStart w:id="24" w:name="ksex_762765"/>
      <w:bookmarkEnd w:id="23"/>
      <w:bookmarkEnd w:id="24"/>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Scott A. Roberts,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HealthStream,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28" w:type="dxa"/>
          <w:right w:w="0" w:type="dxa"/>
        </w:tblCellMar>
      </w:tblPr>
      <w:tblGrid>
        <w:gridCol w:w="1535"/>
        <w:gridCol w:w="60"/>
        <w:gridCol w:w="1880"/>
      </w:tblGrid>
      <w:tr>
        <w:trPr/>
        <w:tc>
          <w:tcPr>
            <w:tcW w:w="153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9, 2025</w:t>
            </w:r>
          </w:p>
        </w:tc>
        <w:tc>
          <w:tcPr>
            <w:tcW w:w="60" w:type="dxa"/>
            <w:tcBorders>
              <w:bottom w:val="single" w:sz="2" w:space="0" w:color="000000"/>
            </w:tcBorders>
            <w:vAlign w:val="center"/>
          </w:tcPr>
          <w:p>
            <w:pPr>
              <w:pStyle w:val="TableContents"/>
              <w:bidi w:val="0"/>
              <w:spacing w:before="0" w:after="283"/>
              <w:jc w:val="both"/>
              <w:rPr/>
            </w:pPr>
            <w:r>
              <w:rPr/>
              <w:t> </w:t>
            </w:r>
          </w:p>
        </w:tc>
        <w:tc>
          <w:tcPr>
            <w:tcW w:w="188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Scott A. Roberts</w:t>
            </w:r>
          </w:p>
        </w:tc>
      </w:tr>
      <w:tr>
        <w:trPr/>
        <w:tc>
          <w:tcPr>
            <w:tcW w:w="15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8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5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8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25" w:name="ex_762766.htm"/>
      <w:bookmarkStart w:id="26" w:name="ksex_762766"/>
      <w:bookmarkEnd w:id="25"/>
      <w:bookmarkEnd w:id="26"/>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HealthStream, Inc. (the “Company”) on Form 10-Q for the period ending </w:t>
      </w:r>
      <w:bookmarkStart w:id="27" w:name="led176023F2021891631222411188"/>
      <w:bookmarkEnd w:id="27"/>
      <w:r>
        <w:rPr>
          <w:rFonts w:ascii="Times New Roman" w:hAnsi="Times New Roman"/>
          <w:caps w:val="false"/>
          <w:smallCaps w:val="false"/>
          <w:sz w:val="20"/>
        </w:rPr>
        <w:t>March 31, 2025, as filed with the Securities and Exchange Commission on the date hereof (the “Report”), Robert A. Frist, Jr., Chief Executive Officer of the Company,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28" w:type="dxa"/>
          <w:right w:w="0" w:type="dxa"/>
        </w:tblCellMar>
      </w:tblPr>
      <w:tblGrid>
        <w:gridCol w:w="1985"/>
      </w:tblGrid>
      <w:tr>
        <w:trPr/>
        <w:tc>
          <w:tcPr>
            <w:tcW w:w="198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Robert A. Frist, Jr.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9,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28" w:name="ex_762767.htm"/>
      <w:bookmarkStart w:id="29" w:name="ksex_762767"/>
      <w:bookmarkEnd w:id="28"/>
      <w:bookmarkEnd w:id="29"/>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HealthStream, Inc. (the “Company”) on Form 10-Q for the period ending </w:t>
      </w:r>
      <w:bookmarkStart w:id="30" w:name="led176021F2022271646689229750"/>
      <w:bookmarkEnd w:id="30"/>
      <w:r>
        <w:rPr>
          <w:rFonts w:ascii="Times New Roman" w:hAnsi="Times New Roman"/>
          <w:caps w:val="false"/>
          <w:smallCaps w:val="false"/>
          <w:sz w:val="20"/>
        </w:rPr>
        <w:t>March 31, 2025, as filed with the Securities and Exchange Commission on the date hereof (the “Report”), Scott A. Roberts, Chief Financial Officer of the Company,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28" w:type="dxa"/>
          <w:right w:w="0" w:type="dxa"/>
        </w:tblCellMar>
      </w:tblPr>
      <w:tblGrid>
        <w:gridCol w:w="1880"/>
      </w:tblGrid>
      <w:tr>
        <w:trPr/>
        <w:tc>
          <w:tcPr>
            <w:tcW w:w="188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Scott A. Roberts</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9,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14005</Words>
  <Characters>78361</Characters>
  <CharactersWithSpaces>93211</CharactersWithSpaces>
  <Paragraphs>3117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