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79"/>
              </w:rPr>
              <w:t>Tennessee</w:t>
            </w:r>
          </w:p>
        </w:tc>
        <w:tc>
          <w:tcPr>
            <w:tcW w:w="552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62-1443555</w:t>
            </w: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6"/>
        </w:trPr>
        <w:tc>
          <w:tcPr>
            <w:tcW w:w="2520" w:type="dxa"/>
            <w:vAlign w:val="bottom"/>
            <w:gridSpan w:val="5"/>
          </w:tcPr>
          <w:p>
            <w:pPr>
              <w:jc w:val="center"/>
              <w:ind w:right="20"/>
              <w:spacing w:after="0" w:line="156" w:lineRule="exact"/>
              <w:rPr>
                <w:sz w:val="20"/>
                <w:szCs w:val="20"/>
                <w:color w:val="auto"/>
              </w:rPr>
            </w:pPr>
            <w:r>
              <w:rPr>
                <w:rFonts w:ascii="Arial" w:cs="Arial" w:eastAsia="Arial" w:hAnsi="Arial"/>
                <w:sz w:val="14"/>
                <w:szCs w:val="14"/>
                <w:b w:val="1"/>
                <w:bCs w:val="1"/>
                <w:color w:val="auto"/>
                <w:w w:val="88"/>
              </w:rPr>
              <w:t>(State or other jurisdiction of</w:t>
            </w: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20" w:type="dxa"/>
            <w:vAlign w:val="bottom"/>
            <w:gridSpan w:val="5"/>
          </w:tcPr>
          <w:p>
            <w:pPr>
              <w:jc w:val="center"/>
              <w:ind w:left="1292"/>
              <w:spacing w:after="0" w:line="156"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05"/>
        </w:trPr>
        <w:tc>
          <w:tcPr>
            <w:tcW w:w="25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7"/>
              </w:rPr>
              <w:t>209 10th Avenue South, Suite 450</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0"/>
        </w:trPr>
        <w:tc>
          <w:tcPr>
            <w:tcW w:w="480" w:type="dxa"/>
            <w:vAlign w:val="bottom"/>
          </w:tcPr>
          <w:p>
            <w:pPr>
              <w:spacing w:after="0"/>
              <w:rPr>
                <w:sz w:val="16"/>
                <w:szCs w:val="16"/>
                <w:color w:val="auto"/>
              </w:rPr>
            </w:pPr>
          </w:p>
        </w:tc>
        <w:tc>
          <w:tcPr>
            <w:tcW w:w="2040" w:type="dxa"/>
            <w:vAlign w:val="bottom"/>
            <w:gridSpan w:val="4"/>
          </w:tcPr>
          <w:p>
            <w:pPr>
              <w:jc w:val="center"/>
              <w:ind w:right="500"/>
              <w:spacing w:after="0" w:line="170" w:lineRule="exact"/>
              <w:rPr>
                <w:sz w:val="20"/>
                <w:szCs w:val="20"/>
                <w:color w:val="auto"/>
              </w:rPr>
            </w:pPr>
            <w:r>
              <w:rPr>
                <w:rFonts w:ascii="Arial" w:cs="Arial" w:eastAsia="Arial" w:hAnsi="Arial"/>
                <w:sz w:val="18"/>
                <w:szCs w:val="18"/>
                <w:b w:val="1"/>
                <w:bCs w:val="1"/>
                <w:color w:val="auto"/>
                <w:w w:val="84"/>
              </w:rPr>
              <w:t>Nashville, Tennessee</w:t>
            </w:r>
          </w:p>
        </w:tc>
        <w:tc>
          <w:tcPr>
            <w:tcW w:w="4720" w:type="dxa"/>
            <w:vAlign w:val="bottom"/>
            <w:gridSpan w:val="5"/>
          </w:tcPr>
          <w:p>
            <w:pPr>
              <w:jc w:val="right"/>
              <w:spacing w:after="0" w:line="170" w:lineRule="exact"/>
              <w:rPr>
                <w:sz w:val="20"/>
                <w:szCs w:val="20"/>
                <w:color w:val="auto"/>
              </w:rPr>
            </w:pPr>
            <w:r>
              <w:rPr>
                <w:rFonts w:ascii="Arial" w:cs="Arial" w:eastAsia="Arial" w:hAnsi="Arial"/>
                <w:sz w:val="18"/>
                <w:szCs w:val="18"/>
                <w:b w:val="1"/>
                <w:bCs w:val="1"/>
                <w:color w:val="auto"/>
              </w:rPr>
              <w:t>37203</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7"/>
        </w:trPr>
        <w:tc>
          <w:tcPr>
            <w:tcW w:w="2520" w:type="dxa"/>
            <w:vAlign w:val="bottom"/>
            <w:gridSpan w:val="5"/>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gridSpan w:val="2"/>
          </w:tcPr>
          <w:p>
            <w:pPr>
              <w:spacing w:after="0"/>
              <w:rPr>
                <w:sz w:val="2"/>
                <w:szCs w:val="2"/>
                <w:color w:val="auto"/>
              </w:rPr>
            </w:pPr>
          </w:p>
        </w:tc>
      </w:tr>
      <w:tr>
        <w:trPr>
          <w:trHeight w:val="189"/>
        </w:trPr>
        <w:tc>
          <w:tcPr>
            <w:tcW w:w="2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(Zip Code)</w:t>
            </w:r>
          </w:p>
        </w:tc>
      </w:tr>
      <w:tr>
        <w:trPr>
          <w:trHeight w:val="325"/>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(615) 301-3100</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520" w:type="dxa"/>
            <w:vAlign w:val="bottom"/>
            <w:gridSpan w:val="7"/>
          </w:tcPr>
          <w:p>
            <w:pPr>
              <w:jc w:val="center"/>
              <w:ind w:right="2420"/>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As of July 25, 2013, there were 26,818,956 shares of the registrant’s common stock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9960" w:type="dxa"/>
            <w:vAlign w:val="bottom"/>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56"/>
        </w:trPr>
        <w:tc>
          <w:tcPr>
            <w:tcW w:w="880" w:type="dxa"/>
            <w:vAlign w:val="bottom"/>
            <w:gridSpan w:val="2"/>
            <w:vMerge w:val="continue"/>
          </w:tcPr>
          <w:p>
            <w:pPr>
              <w:spacing w:after="0"/>
              <w:rPr>
                <w:sz w:val="13"/>
                <w:szCs w:val="13"/>
                <w:color w:val="auto"/>
              </w:rPr>
            </w:pPr>
          </w:p>
        </w:tc>
        <w:tc>
          <w:tcPr>
            <w:tcW w:w="9960" w:type="dxa"/>
            <w:vAlign w:val="bottom"/>
            <w:gridSpan w:val="1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0" w:type="dxa"/>
            <w:vAlign w:val="bottom"/>
            <w:tcBorders>
              <w:top w:val="single" w:sz="8" w:color="0000EE"/>
            </w:tcBorders>
          </w:tcPr>
          <w:p>
            <w:pPr>
              <w:spacing w:after="0"/>
              <w:rPr>
                <w:sz w:val="24"/>
                <w:szCs w:val="24"/>
                <w:color w:val="auto"/>
              </w:rPr>
            </w:pPr>
          </w:p>
        </w:tc>
        <w:tc>
          <w:tcPr>
            <w:tcW w:w="842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2013 (Unaudited) and December 31, 2012</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Income (Unaudited) - Three and Six Months ended June 30, 2013 and 2012</w:t>
              </w:r>
            </w:hyperlink>
          </w:p>
        </w:tc>
        <w:tc>
          <w:tcPr>
            <w:tcW w:w="184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14"/>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(Unaudited) - Three and Six Months ended June 30, 2013 and 2012</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 - Six Months ended June 30, 2013</w:t>
              </w:r>
            </w:hyperlink>
          </w:p>
        </w:tc>
        <w:tc>
          <w:tcPr>
            <w:tcW w:w="7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Six Months ended June 30, 2013 and 2012</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 (Unaudited)</w:t>
              </w:r>
            </w:hyperlink>
          </w:p>
        </w:tc>
        <w:tc>
          <w:tcPr>
            <w:tcW w:w="2860" w:type="dxa"/>
            <w:vAlign w:val="bottom"/>
            <w:tcBorders>
              <w:top w:val="single" w:sz="8" w:color="0000EE"/>
            </w:tcBorders>
            <w:gridSpan w:val="4"/>
          </w:tcPr>
          <w:p>
            <w:pPr>
              <w:spacing w:after="0"/>
              <w:rPr>
                <w:sz w:val="17"/>
                <w:szCs w:val="17"/>
                <w:color w:val="auto"/>
              </w:rPr>
            </w:pPr>
          </w:p>
        </w:tc>
        <w:tc>
          <w:tcPr>
            <w:tcW w:w="230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6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Controls and Procedures</w:t>
              </w:r>
            </w:hyperlink>
          </w:p>
        </w:tc>
        <w:tc>
          <w:tcPr>
            <w:tcW w:w="82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960" w:type="dxa"/>
            <w:vAlign w:val="bottom"/>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86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5"/>
        </w:trPr>
        <w:tc>
          <w:tcPr>
            <w:tcW w:w="600" w:type="dxa"/>
            <w:vAlign w:val="bottom"/>
          </w:tcPr>
          <w:p>
            <w:pPr>
              <w:spacing w:after="0"/>
              <w:rPr>
                <w:sz w:val="24"/>
                <w:szCs w:val="24"/>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9"/>
              </w:rPr>
              <w:t>HEALTHSTREAM,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876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600" w:type="dxa"/>
            <w:vAlign w:val="bottom"/>
          </w:tcPr>
          <w:p>
            <w:pPr>
              <w:spacing w:after="0"/>
              <w:rPr>
                <w:sz w:val="19"/>
                <w:szCs w:val="19"/>
                <w:color w:val="auto"/>
              </w:rPr>
            </w:pPr>
          </w:p>
        </w:tc>
        <w:tc>
          <w:tcPr>
            <w:tcW w:w="876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6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0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60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41,365</w:t>
            </w: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Marketable securities - short-term</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46,777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51,952</w:t>
            </w:r>
          </w:p>
        </w:tc>
      </w:tr>
      <w:tr>
        <w:trPr>
          <w:trHeight w:val="208"/>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2"/>
              </w:rPr>
              <w:t>Accounts receivable, net of allowance for doubtful accounts of $234 and $142 at June 30, 2013 and December 31, 2012,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00" w:type="dxa"/>
            <w:vAlign w:val="bottom"/>
            <w:shd w:val="clear" w:color="auto" w:fill="CCEEFF"/>
          </w:tcPr>
          <w:p>
            <w:pPr>
              <w:spacing w:after="0"/>
              <w:rPr>
                <w:sz w:val="19"/>
                <w:szCs w:val="19"/>
                <w:color w:val="auto"/>
              </w:rPr>
            </w:pPr>
          </w:p>
        </w:tc>
        <w:tc>
          <w:tcPr>
            <w:tcW w:w="8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21,778</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15,348</w:t>
            </w: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r>
      <w:tr>
        <w:trPr>
          <w:trHeight w:val="221"/>
        </w:trPr>
        <w:tc>
          <w:tcPr>
            <w:tcW w:w="60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129,775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118,291</w:t>
            </w: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19,241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18,108</w:t>
            </w: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w:t>
            </w: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26,526</w:t>
            </w:r>
          </w:p>
        </w:tc>
      </w:tr>
      <w:tr>
        <w:trPr>
          <w:trHeight w:val="223"/>
        </w:trPr>
        <w:tc>
          <w:tcPr>
            <w:tcW w:w="600" w:type="dxa"/>
            <w:vAlign w:val="bottom"/>
          </w:tcPr>
          <w:p>
            <w:pPr>
              <w:spacing w:after="0"/>
              <w:rPr>
                <w:sz w:val="19"/>
                <w:szCs w:val="19"/>
                <w:color w:val="auto"/>
              </w:rPr>
            </w:pPr>
          </w:p>
        </w:tc>
        <w:tc>
          <w:tcPr>
            <w:tcW w:w="8760" w:type="dxa"/>
            <w:vAlign w:val="bottom"/>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(20,279)</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(18,706)</w:t>
            </w: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CEEFF"/>
          </w:tcPr>
          <w:p>
            <w:pPr>
              <w:spacing w:after="0"/>
              <w:rPr>
                <w:sz w:val="18"/>
                <w:szCs w:val="18"/>
                <w:color w:val="auto"/>
              </w:rPr>
            </w:pPr>
          </w:p>
        </w:tc>
      </w:tr>
      <w:tr>
        <w:trPr>
          <w:trHeight w:val="208"/>
        </w:trPr>
        <w:tc>
          <w:tcPr>
            <w:tcW w:w="9360" w:type="dxa"/>
            <w:vAlign w:val="bottom"/>
            <w:gridSpan w:val="2"/>
          </w:tcPr>
          <w:p>
            <w:pPr>
              <w:spacing w:after="0"/>
              <w:rPr>
                <w:sz w:val="20"/>
                <w:szCs w:val="20"/>
                <w:color w:val="auto"/>
              </w:rPr>
            </w:pPr>
            <w:r>
              <w:rPr>
                <w:rFonts w:ascii="Arial" w:cs="Arial" w:eastAsia="Arial" w:hAnsi="Arial"/>
                <w:sz w:val="18"/>
                <w:szCs w:val="18"/>
                <w:color w:val="auto"/>
                <w:w w:val="91"/>
              </w:rPr>
              <w:t>Capitalized software development, net of accumulated amortization of $12,342 and $10,987 at June 30, 2013 and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360" w:type="dxa"/>
            <w:vAlign w:val="bottom"/>
            <w:gridSpan w:val="2"/>
          </w:tcPr>
          <w:p>
            <w:pPr>
              <w:ind w:left="220"/>
              <w:spacing w:after="0"/>
              <w:rPr>
                <w:sz w:val="20"/>
                <w:szCs w:val="20"/>
                <w:color w:val="auto"/>
              </w:rPr>
            </w:pPr>
            <w:r>
              <w:rPr>
                <w:rFonts w:ascii="Arial" w:cs="Arial" w:eastAsia="Arial" w:hAnsi="Arial"/>
                <w:sz w:val="18"/>
                <w:szCs w:val="18"/>
                <w:color w:val="auto"/>
              </w:rPr>
              <w:t>2012, respectively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10,391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9,732</w:t>
            </w: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29,299</w:t>
            </w:r>
          </w:p>
        </w:tc>
      </w:tr>
      <w:tr>
        <w:trPr>
          <w:trHeight w:val="208"/>
        </w:trPr>
        <w:tc>
          <w:tcPr>
            <w:tcW w:w="9360" w:type="dxa"/>
            <w:vAlign w:val="bottom"/>
            <w:gridSpan w:val="2"/>
          </w:tcPr>
          <w:p>
            <w:pPr>
              <w:spacing w:after="0"/>
              <w:rPr>
                <w:sz w:val="20"/>
                <w:szCs w:val="20"/>
                <w:color w:val="auto"/>
              </w:rPr>
            </w:pPr>
            <w:r>
              <w:rPr>
                <w:rFonts w:ascii="Arial" w:cs="Arial" w:eastAsia="Arial" w:hAnsi="Arial"/>
                <w:sz w:val="18"/>
                <w:szCs w:val="18"/>
                <w:color w:val="auto"/>
                <w:w w:val="99"/>
              </w:rPr>
              <w:t>Intangible assets, net of accumulated amortization of $10,803 and $10,036 at June 30, 2013 and December 31, 2012,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360" w:type="dxa"/>
            <w:vAlign w:val="bottom"/>
            <w:gridSpan w:val="2"/>
          </w:tcPr>
          <w:p>
            <w:pPr>
              <w:ind w:left="22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8,805</w:t>
            </w: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185,886</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174,528</w:t>
            </w:r>
          </w:p>
        </w:tc>
      </w:tr>
      <w:tr>
        <w:trPr>
          <w:trHeight w:val="20"/>
        </w:trPr>
        <w:tc>
          <w:tcPr>
            <w:tcW w:w="6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60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8,530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9,708</w:t>
            </w: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w:t>
            </w:r>
          </w:p>
        </w:tc>
        <w:tc>
          <w:tcPr>
            <w:tcW w:w="100" w:type="dxa"/>
            <w:vAlign w:val="bottom"/>
          </w:tcPr>
          <w:p>
            <w:pPr>
              <w:spacing w:after="0"/>
              <w:rPr>
                <w:sz w:val="19"/>
                <w:szCs w:val="19"/>
                <w:color w:val="auto"/>
              </w:rPr>
            </w:pP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35,032</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Deferred tax liabilities, noncurrent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360" w:type="dxa"/>
            <w:vAlign w:val="bottom"/>
            <w:gridSpan w:val="2"/>
          </w:tcPr>
          <w:p>
            <w:pPr>
              <w:ind w:left="440"/>
              <w:spacing w:after="0"/>
              <w:rPr>
                <w:sz w:val="20"/>
                <w:szCs w:val="20"/>
                <w:color w:val="auto"/>
              </w:rPr>
            </w:pPr>
            <w:r>
              <w:rPr>
                <w:rFonts w:ascii="Arial" w:cs="Arial" w:eastAsia="Arial" w:hAnsi="Arial"/>
                <w:sz w:val="18"/>
                <w:szCs w:val="18"/>
                <w:color w:val="auto"/>
                <w:w w:val="89"/>
              </w:rPr>
              <w:t>Common stock, no par value, 75,000 shares authorized; 26,805 and 26,233 shares issued and outstanding at June 30, 2013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0" w:type="dxa"/>
            <w:vAlign w:val="bottom"/>
          </w:tcPr>
          <w:p>
            <w:pPr>
              <w:spacing w:after="0"/>
              <w:rPr>
                <w:sz w:val="19"/>
                <w:szCs w:val="19"/>
                <w:color w:val="auto"/>
              </w:rPr>
            </w:pPr>
          </w:p>
        </w:tc>
        <w:tc>
          <w:tcPr>
            <w:tcW w:w="8760" w:type="dxa"/>
            <w:vAlign w:val="bottom"/>
          </w:tcPr>
          <w:p>
            <w:pPr>
              <w:ind w:left="60"/>
              <w:spacing w:after="0"/>
              <w:rPr>
                <w:sz w:val="20"/>
                <w:szCs w:val="20"/>
                <w:color w:val="auto"/>
              </w:rPr>
            </w:pPr>
            <w:r>
              <w:rPr>
                <w:rFonts w:ascii="Arial" w:cs="Arial" w:eastAsia="Arial" w:hAnsi="Arial"/>
                <w:sz w:val="18"/>
                <w:szCs w:val="18"/>
                <w:color w:val="auto"/>
              </w:rPr>
              <w:t>and December 31, 2012, respectively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160,254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158,020</w:t>
            </w:r>
          </w:p>
        </w:tc>
      </w:tr>
      <w:tr>
        <w:trPr>
          <w:trHeight w:val="217"/>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(21,480)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(25,842)</w:t>
            </w:r>
          </w:p>
        </w:tc>
      </w:tr>
      <w:tr>
        <w:trPr>
          <w:trHeight w:val="223"/>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00" w:type="dxa"/>
            <w:vAlign w:val="bottom"/>
            <w:shd w:val="clear" w:color="auto" w:fill="CCEEFF"/>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138,739</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132,196</w:t>
            </w:r>
          </w:p>
        </w:tc>
        <w:tc>
          <w:tcPr>
            <w:tcW w:w="100" w:type="dxa"/>
            <w:vAlign w:val="bottom"/>
            <w:shd w:val="clear" w:color="auto" w:fill="CCEEFF"/>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185,886</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174,528</w:t>
            </w:r>
          </w:p>
        </w:tc>
      </w:tr>
      <w:tr>
        <w:trPr>
          <w:trHeight w:val="20"/>
        </w:trPr>
        <w:tc>
          <w:tcPr>
            <w:tcW w:w="6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2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25,841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12,871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10,167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4,817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3,201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27,813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21,800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54,287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income, net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1,640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Basic</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26,722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26,127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26,531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27,649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27,501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34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14"/>
                <w:szCs w:val="14"/>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3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3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80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$2,427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$4,362</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marketable securities</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2"/>
            <w:vMerge w:val="continue"/>
          </w:tcPr>
          <w:p>
            <w:pPr>
              <w:spacing w:after="0"/>
              <w:rPr>
                <w:sz w:val="20"/>
                <w:szCs w:val="20"/>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(43)</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(53)</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2,379</w:t>
            </w: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2,437</w:t>
            </w: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4,309</w:t>
            </w: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60" w:type="dxa"/>
            <w:vAlign w:val="bottom"/>
            <w:gridSpan w:val="5"/>
          </w:tcPr>
          <w:p>
            <w:pPr>
              <w:ind w:left="400"/>
              <w:spacing w:after="0" w:line="149" w:lineRule="exact"/>
              <w:rPr>
                <w:sz w:val="20"/>
                <w:szCs w:val="20"/>
                <w:color w:val="auto"/>
              </w:rPr>
            </w:pPr>
            <w:r>
              <w:rPr>
                <w:rFonts w:ascii="Arial" w:cs="Arial" w:eastAsia="Arial" w:hAnsi="Arial"/>
                <w:sz w:val="14"/>
                <w:szCs w:val="14"/>
                <w:b w:val="1"/>
                <w:bCs w:val="1"/>
                <w:color w:val="auto"/>
              </w:rPr>
              <w:t>Common Stock</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Shares</w:t>
            </w:r>
          </w:p>
        </w:tc>
        <w:tc>
          <w:tcPr>
            <w:tcW w:w="46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26,233</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$158,020</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(25,842)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79"/>
              </w:rPr>
              <w:t>18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color w:val="auto"/>
                <w:w w:val="87"/>
              </w:rPr>
              <w:t>(53)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8"/>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under stock plans, net of shares withheld for</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taxes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572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Balance at June 30, 2013</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vMerge w:val="continue"/>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26,805</w:t>
            </w:r>
          </w:p>
        </w:tc>
        <w:tc>
          <w:tcPr>
            <w:tcW w:w="20" w:type="dxa"/>
            <w:vAlign w:val="bottom"/>
          </w:tcPr>
          <w:p>
            <w:pPr>
              <w:spacing w:after="0"/>
              <w:rPr>
                <w:sz w:val="19"/>
                <w:szCs w:val="19"/>
                <w:color w:val="auto"/>
              </w:rPr>
            </w:pPr>
          </w:p>
        </w:tc>
        <w:tc>
          <w:tcPr>
            <w:tcW w:w="160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160,254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(21,480)</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95"/>
              <w:spacing w:after="0"/>
              <w:rPr>
                <w:sz w:val="20"/>
                <w:szCs w:val="20"/>
                <w:color w:val="auto"/>
              </w:rPr>
            </w:pPr>
            <w:r>
              <w:rPr>
                <w:rFonts w:ascii="Arial" w:cs="Arial" w:eastAsia="Arial" w:hAnsi="Arial"/>
                <w:sz w:val="18"/>
                <w:szCs w:val="18"/>
                <w:color w:val="auto"/>
                <w:w w:val="87"/>
              </w:rPr>
              <w:t>(35)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138,739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4,362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based compensation expense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and unbilled receivables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Prepaid royalties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prepaid expenses and other current assets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11,041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other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55,947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in marketable securities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(51,539)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(59,218)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(49,563)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41,365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76,904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54,651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2013 are not necessarily indicative of the results that may be expected for the year ending December 31, 2013.</w:t>
      </w:r>
    </w:p>
    <w:p>
      <w:pPr>
        <w:spacing w:after="0" w:line="12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balance sheet at December 31, 2012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2012 (included in the Company’s Annual Report on Form 10-K, filed with the Securities and Exchange Commission on March 1,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During the six months ended June 30, 2013 and 2012, the Company recorded a provision for income taxes of $3.0 million and $2.6 million, respectively. The Company’s effective tax rate for the six months ended June 30, 2013 and 2012 was 40.7% and 40.1%, respectively. The Company’s effective tax rate primarily reflects the statutory corporate income tax rate, the net effect of state taxes, and the effect of various permanent tax differences.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maintains two stock incentive plans. The Company accounts for its stock based compensation plans using the fair-value based method for costs related to share-based payments, including stock options and restricted share units (RSUs). During the six months ended June 30, 2013, the Company issued 77,750 RSUs with a weighted average grant date fair value of $21.70 per share, measured based on the closing fair market value of the Company’s stock on the date of grant. During the six months ended June 30, 2012, the Company issued 69,950 RSUs with a weighted average grant date fair value of $23.00 per share, measured based on the closing fair market value of the Company’s stock on the date of grant.</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Total stock based compensation expense recorded for the three and six months ended June 30, 2013 and 2012, which is recorded in the condensed consolidated statements of income, is as follows (in thousands):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color w:val="auto"/>
                <w:w w:val="87"/>
              </w:rPr>
              <w:t>Three Months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6"/>
          </w:tcPr>
          <w:p>
            <w:pPr>
              <w:jc w:val="center"/>
              <w:ind w:right="180"/>
              <w:spacing w:after="0"/>
              <w:rPr>
                <w:sz w:val="20"/>
                <w:szCs w:val="20"/>
                <w:color w:val="auto"/>
              </w:rPr>
            </w:pPr>
            <w:r>
              <w:rPr>
                <w:rFonts w:ascii="Arial" w:cs="Arial" w:eastAsia="Arial" w:hAnsi="Arial"/>
                <w:sz w:val="14"/>
                <w:szCs w:val="14"/>
                <w:color w:val="auto"/>
                <w:w w:val="89"/>
              </w:rPr>
              <w:t>Six Months</w:t>
            </w:r>
          </w:p>
        </w:tc>
      </w:tr>
      <w:tr>
        <w:trPr>
          <w:trHeight w:val="149"/>
        </w:trPr>
        <w:tc>
          <w:tcPr>
            <w:tcW w:w="7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gridSpan w:val="2"/>
          </w:tcPr>
          <w:p>
            <w:pPr>
              <w:jc w:val="center"/>
              <w:ind w:right="12"/>
              <w:spacing w:after="0" w:line="149" w:lineRule="exact"/>
              <w:rPr>
                <w:sz w:val="20"/>
                <w:szCs w:val="20"/>
                <w:color w:val="auto"/>
              </w:rPr>
            </w:pPr>
            <w:r>
              <w:rPr>
                <w:rFonts w:ascii="Arial" w:cs="Arial" w:eastAsia="Arial" w:hAnsi="Arial"/>
                <w:sz w:val="14"/>
                <w:szCs w:val="14"/>
                <w:color w:val="auto"/>
                <w:w w:val="83"/>
              </w:rPr>
              <w:t>Ended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center"/>
              <w:ind w:right="23"/>
              <w:spacing w:after="0" w:line="149" w:lineRule="exact"/>
              <w:rPr>
                <w:sz w:val="20"/>
                <w:szCs w:val="20"/>
                <w:color w:val="auto"/>
              </w:rPr>
            </w:pPr>
            <w:r>
              <w:rPr>
                <w:rFonts w:ascii="Arial" w:cs="Arial" w:eastAsia="Arial" w:hAnsi="Arial"/>
                <w:sz w:val="14"/>
                <w:szCs w:val="14"/>
                <w:color w:val="auto"/>
                <w:w w:val="83"/>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7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center"/>
              <w:ind w:left="98"/>
              <w:spacing w:after="0" w:line="159" w:lineRule="exact"/>
              <w:rPr>
                <w:sz w:val="20"/>
                <w:szCs w:val="20"/>
                <w:color w:val="auto"/>
              </w:rPr>
            </w:pPr>
            <w:r>
              <w:rPr>
                <w:rFonts w:ascii="Arial" w:cs="Arial" w:eastAsia="Arial" w:hAnsi="Arial"/>
                <w:sz w:val="14"/>
                <w:szCs w:val="14"/>
                <w:color w:val="auto"/>
                <w:w w:val="85"/>
              </w:rPr>
              <w:t>June 30,</w:t>
            </w:r>
          </w:p>
        </w:tc>
        <w:tc>
          <w:tcPr>
            <w:tcW w:w="2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jc w:val="center"/>
              <w:ind w:left="98"/>
              <w:spacing w:after="0" w:line="159" w:lineRule="exact"/>
              <w:rPr>
                <w:sz w:val="20"/>
                <w:szCs w:val="20"/>
                <w:color w:val="auto"/>
              </w:rPr>
            </w:pPr>
            <w:r>
              <w:rPr>
                <w:rFonts w:ascii="Arial" w:cs="Arial" w:eastAsia="Arial" w:hAnsi="Arial"/>
                <w:sz w:val="14"/>
                <w:szCs w:val="14"/>
                <w:color w:val="auto"/>
                <w:w w:val="85"/>
              </w:rPr>
              <w:t>June 30,</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7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2013</w:t>
            </w: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r>
      <w:tr>
        <w:trPr>
          <w:trHeight w:val="210"/>
        </w:trPr>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 (excluding depreciation and amortization)</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372</w:t>
            </w:r>
          </w:p>
        </w:tc>
        <w:tc>
          <w:tcPr>
            <w:tcW w:w="100" w:type="dxa"/>
            <w:vAlign w:val="bottom"/>
          </w:tcPr>
          <w:p>
            <w:pPr>
              <w:spacing w:after="0"/>
              <w:rPr>
                <w:sz w:val="18"/>
                <w:szCs w:val="18"/>
                <w:color w:val="auto"/>
              </w:rPr>
            </w:pPr>
          </w:p>
        </w:tc>
      </w:tr>
      <w:tr>
        <w:trPr>
          <w:trHeight w:val="27"/>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 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541</w:t>
            </w:r>
          </w:p>
        </w:tc>
        <w:tc>
          <w:tcPr>
            <w:tcW w:w="100" w:type="dxa"/>
            <w:vAlign w:val="bottom"/>
            <w:shd w:val="clear" w:color="auto" w:fill="CCEEFF"/>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common and common equivalent shares outstanding during the period. Common equivalent shares, composed of incremental common shares issuable upon the exercise of stock options and restricted share units subject to vesting are included in diluted earnings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earnings per share, due to their anti-dilutive effect, was approximately 0.1 million for both the three and six months ended June 30, 2013 and 2012.</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 (continued)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 2013 and 2012 (in thousands, except per share data):</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640" w:type="dxa"/>
            <w:vAlign w:val="bottom"/>
            <w:gridSpan w:val="5"/>
          </w:tcPr>
          <w:p>
            <w:pPr>
              <w:ind w:left="2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w w:val="78"/>
              </w:rPr>
              <w:t>June 30,</w:t>
            </w:r>
          </w:p>
        </w:tc>
        <w:tc>
          <w:tcPr>
            <w:tcW w:w="5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w w:val="81"/>
              </w:rPr>
              <w:t>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2,427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4,362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26,722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26,127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26,531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 of dilutive shares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880"/>
              <w:spacing w:after="0"/>
              <w:rPr>
                <w:sz w:val="20"/>
                <w:szCs w:val="20"/>
                <w:color w:val="auto"/>
              </w:rPr>
            </w:pPr>
            <w:r>
              <w:rPr>
                <w:rFonts w:ascii="Arial" w:cs="Arial" w:eastAsia="Arial" w:hAnsi="Arial"/>
                <w:sz w:val="18"/>
                <w:szCs w:val="18"/>
                <w:color w:val="auto"/>
              </w:rPr>
              <w:t>Weighted-average diluted shares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27,649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27,501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27,529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June 30, 2013 and December 31, 2012, the fair value of marketable securities, which were all classified as available for sale, included the following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83"/>
              </w:rPr>
              <w:t>June 30, 2013</w:t>
            </w: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20" w:type="dxa"/>
            <w:vAlign w:val="bottom"/>
            <w:gridSpan w:val="3"/>
          </w:tcPr>
          <w:p>
            <w:pPr>
              <w:jc w:val="center"/>
              <w:ind w:right="540"/>
              <w:spacing w:after="0" w:line="131" w:lineRule="exact"/>
              <w:rPr>
                <w:sz w:val="20"/>
                <w:szCs w:val="20"/>
                <w:color w:val="auto"/>
              </w:rPr>
            </w:pPr>
            <w:r>
              <w:rPr>
                <w:rFonts w:ascii="Arial" w:cs="Arial" w:eastAsia="Arial" w:hAnsi="Arial"/>
                <w:sz w:val="14"/>
                <w:szCs w:val="14"/>
                <w:color w:val="auto"/>
                <w:w w:val="91"/>
              </w:rPr>
              <w:t>Adjusted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jc w:val="center"/>
              <w:ind w:right="17"/>
              <w:spacing w:after="0" w:line="131"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Gains</w:t>
            </w:r>
          </w:p>
        </w:tc>
        <w:tc>
          <w:tcPr>
            <w:tcW w:w="120" w:type="dxa"/>
            <w:vAlign w:val="bottom"/>
          </w:tcPr>
          <w:p>
            <w:pPr>
              <w:spacing w:after="0"/>
              <w:rPr>
                <w:sz w:val="13"/>
                <w:szCs w:val="13"/>
                <w:color w:val="auto"/>
              </w:rPr>
            </w:pPr>
          </w:p>
        </w:tc>
        <w:tc>
          <w:tcPr>
            <w:tcW w:w="102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76"/>
              </w:rPr>
              <w:t>Losses</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2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5,059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debt securities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39,496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41,753</w:t>
            </w:r>
          </w:p>
        </w:tc>
        <w:tc>
          <w:tcPr>
            <w:tcW w:w="12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46,812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December 31, 2012</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20" w:type="dxa"/>
            <w:vAlign w:val="bottom"/>
            <w:gridSpan w:val="3"/>
          </w:tcPr>
          <w:p>
            <w:pPr>
              <w:jc w:val="center"/>
              <w:ind w:right="540"/>
              <w:spacing w:after="0" w:line="131" w:lineRule="exact"/>
              <w:rPr>
                <w:sz w:val="20"/>
                <w:szCs w:val="20"/>
                <w:color w:val="auto"/>
              </w:rPr>
            </w:pPr>
            <w:r>
              <w:rPr>
                <w:rFonts w:ascii="Arial" w:cs="Arial" w:eastAsia="Arial" w:hAnsi="Arial"/>
                <w:sz w:val="14"/>
                <w:szCs w:val="14"/>
                <w:color w:val="auto"/>
                <w:w w:val="91"/>
              </w:rPr>
              <w:t>Adjusted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jc w:val="center"/>
              <w:ind w:right="17"/>
              <w:spacing w:after="0" w:line="131"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Gains</w:t>
            </w:r>
          </w:p>
        </w:tc>
        <w:tc>
          <w:tcPr>
            <w:tcW w:w="120" w:type="dxa"/>
            <w:vAlign w:val="bottom"/>
          </w:tcPr>
          <w:p>
            <w:pPr>
              <w:spacing w:after="0"/>
              <w:rPr>
                <w:sz w:val="13"/>
                <w:szCs w:val="13"/>
                <w:color w:val="auto"/>
              </w:rPr>
            </w:pPr>
          </w:p>
        </w:tc>
        <w:tc>
          <w:tcPr>
            <w:tcW w:w="102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76"/>
              </w:rPr>
              <w:t>Losses</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2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5,042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Corporate debt securities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27,017</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14,499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46,892</w:t>
            </w:r>
          </w:p>
        </w:tc>
        <w:tc>
          <w:tcPr>
            <w:tcW w:w="12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51,934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June 30, 2013, the Company does not consider any of its marketable securities to be other than temporarily impaired. During the six months ended June 30, 2013 and 2012, the Company did not reclassify any items out of accumulated other comprehensive income to net income.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primarily provides services to healthcare organizations and other members within the healthcare industry. The Company’s services are primarily focused on the delivery of learning and talent management products and services (HealthStream Learning &amp; Talent Management), as well as survey and research services (HealthStream Research). The accounting policies of the segments are the same as those described in the summary of significant accounting policies in the Company’s Annual Report on Form 10-K for the year ended December 31, 2012.</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following is the Company’s business segment information as of and for the three and six months ended June 30, 2013 and 2012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9"/>
          </w:tcPr>
          <w:p>
            <w:pPr>
              <w:jc w:val="right"/>
              <w:ind w:right="38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jc w:val="right"/>
              <w:ind w:righ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6"/>
          </w:tcPr>
          <w:p>
            <w:pPr>
              <w:jc w:val="right"/>
              <w:spacing w:after="0" w:line="159" w:lineRule="exact"/>
              <w:rPr>
                <w:sz w:val="20"/>
                <w:szCs w:val="20"/>
                <w:color w:val="auto"/>
              </w:rPr>
            </w:pPr>
            <w:r>
              <w:rPr>
                <w:rFonts w:ascii="Arial" w:cs="Arial" w:eastAsia="Arial" w:hAnsi="Arial"/>
                <w:sz w:val="14"/>
                <w:szCs w:val="14"/>
                <w:color w:val="auto"/>
              </w:rPr>
              <w:t>June 30,</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5"/>
          </w:tcPr>
          <w:p>
            <w:pPr>
              <w:jc w:val="right"/>
              <w:spacing w:after="0" w:line="159" w:lineRule="exact"/>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8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Learning &amp; Talent Management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25,126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19,305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$48,267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Research</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6,793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12,411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31,919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25,841</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49,514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Learning &amp; Talent Management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10,865</w:t>
            </w: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Research</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(4,317)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(2,983)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(5,678)</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4,041</w:t>
            </w:r>
          </w:p>
        </w:tc>
        <w:tc>
          <w:tcPr>
            <w:tcW w:w="1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880" w:type="dxa"/>
            <w:vAlign w:val="bottom"/>
            <w:gridSpan w:val="2"/>
            <w:vMerge w:val="restart"/>
          </w:tcPr>
          <w:p>
            <w:pPr>
              <w:ind w:left="920"/>
              <w:spacing w:after="0"/>
              <w:rPr>
                <w:sz w:val="20"/>
                <w:szCs w:val="20"/>
                <w:color w:val="auto"/>
              </w:rPr>
            </w:pPr>
            <w:r>
              <w:rPr>
                <w:rFonts w:ascii="Arial" w:cs="Arial" w:eastAsia="Arial" w:hAnsi="Arial"/>
                <w:sz w:val="18"/>
                <w:szCs w:val="18"/>
                <w:color w:val="auto"/>
              </w:rPr>
              <w:t>Segment assets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5"/>
          </w:tcPr>
          <w:p>
            <w:pPr>
              <w:jc w:val="right"/>
              <w:ind w:right="500"/>
              <w:spacing w:after="0"/>
              <w:rPr>
                <w:sz w:val="20"/>
                <w:szCs w:val="20"/>
                <w:color w:val="auto"/>
              </w:rPr>
            </w:pPr>
            <w:r>
              <w:rPr>
                <w:rFonts w:ascii="Arial" w:cs="Arial" w:eastAsia="Arial" w:hAnsi="Arial"/>
                <w:sz w:val="14"/>
                <w:szCs w:val="14"/>
                <w:color w:val="auto"/>
                <w:w w:val="81"/>
              </w:rPr>
              <w:t>June 30,</w:t>
            </w:r>
          </w:p>
        </w:tc>
        <w:tc>
          <w:tcPr>
            <w:tcW w:w="1000" w:type="dxa"/>
            <w:vAlign w:val="bottom"/>
            <w:gridSpan w:val="6"/>
          </w:tcPr>
          <w:p>
            <w:pPr>
              <w:ind w:left="140"/>
              <w:spacing w:after="0"/>
              <w:rPr>
                <w:sz w:val="20"/>
                <w:szCs w:val="20"/>
                <w:color w:val="auto"/>
              </w:rPr>
            </w:pPr>
            <w:r>
              <w:rPr>
                <w:rFonts w:ascii="Arial" w:cs="Arial" w:eastAsia="Arial" w:hAnsi="Arial"/>
                <w:sz w:val="14"/>
                <w:szCs w:val="14"/>
                <w:color w:val="auto"/>
                <w:w w:val="95"/>
              </w:rPr>
              <w:t>December 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35"/>
              <w:spacing w:after="0" w:line="159"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9"/>
              <w:spacing w:after="0" w:line="159"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Learning &amp; Talent Management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48,758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tcPr>
          <w:p>
            <w:pPr>
              <w:ind w:left="440"/>
              <w:spacing w:after="0"/>
              <w:rPr>
                <w:sz w:val="20"/>
                <w:szCs w:val="20"/>
                <w:color w:val="auto"/>
              </w:rPr>
            </w:pPr>
            <w:r>
              <w:rPr>
                <w:rFonts w:ascii="Arial" w:cs="Arial" w:eastAsia="Arial" w:hAnsi="Arial"/>
                <w:sz w:val="18"/>
                <w:szCs w:val="18"/>
                <w:color w:val="auto"/>
              </w:rPr>
              <w:t>Research</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27,113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23,978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110,015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103,857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24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185,886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174,528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4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COLLABORATIVE ARRANGEMENT</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participates in a collaborative arrangement, SimVentures</w:t>
      </w:r>
      <w:r>
        <w:rPr>
          <w:rFonts w:ascii="Arial" w:cs="Arial" w:eastAsia="Arial" w:hAnsi="Arial"/>
          <w:sz w:val="11"/>
          <w:szCs w:val="11"/>
          <w:color w:val="auto"/>
        </w:rPr>
        <w:t>TM</w:t>
      </w:r>
      <w:r>
        <w:rPr>
          <w:rFonts w:ascii="Arial" w:cs="Arial" w:eastAsia="Arial" w:hAnsi="Arial"/>
          <w:sz w:val="18"/>
          <w:szCs w:val="18"/>
          <w:color w:val="auto"/>
        </w:rPr>
        <w:t>, with Laerdal Medical A/S (Laerdal Medical). The Company receives 50 percent of the profits or losses generated from this collaborative arrangement. For the six months ended June 30, 2013, the Company has recorded approximately $1.2 million of revenues and $1.0 million of expenses related to the collaborative arrangement. For the six months ended June 30, 2012, the Company recorded $0.8 million of revenues and $0.9 million of expenses related to the collaborative arrangement. The Company has also recorded approximately $0.5 million of capitalized software development for SimVentures during 2013.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2012, appearing in our Annual Report on Form 10-K that was filed with the Securities and Exchange Commission (“SEC”) on March 1, 2013, (the “2012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“Item 1A. Risk Factors” in our 2012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HealthStream provides Internet-based learning, talent management and research solutions for healthcare organizations - all designed to assess and develop the people that deliver patient care which, in turn, supports the improvement of business and clinical outcomes. Our learning and talent management products are used by healthcare organizations to meet a broad range of their training, certification, assessment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second quarter of 2013 include:</w:t>
      </w:r>
    </w:p>
    <w:p>
      <w:pPr>
        <w:spacing w:after="0" w:line="21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of $31.9 million in the second quarter of 2013, up 24% from revenues of $25.8 million in the second quarter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income of $4.1 million in the second quarter of 2013, up 2% from operating income of $4.0 million in the second quarter of 2012</w:t>
      </w:r>
    </w:p>
    <w:p>
      <w:pPr>
        <w:spacing w:after="0" w:line="113"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$2.4 million in both the second quarter of 2013 and the second quarter of 2012, and earnings per share (EPS) of $0.09 per share (diluted) in both the second quarter of 2013 and the second quarter of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1"/>
          <w:szCs w:val="11"/>
          <w:color w:val="auto"/>
        </w:rPr>
        <w:t>(1)</w:t>
      </w:r>
      <w:r>
        <w:rPr>
          <w:rFonts w:ascii="Arial" w:cs="Arial" w:eastAsia="Arial" w:hAnsi="Arial"/>
          <w:sz w:val="18"/>
          <w:szCs w:val="18"/>
          <w:color w:val="auto"/>
        </w:rPr>
        <w:t xml:space="preserve"> of $6.4 million in the second quarter of 2013, up 8% from $5.9 million in the second quarter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Annualized revenue per implemented subscriber</w:t>
      </w:r>
      <w:r>
        <w:rPr>
          <w:rFonts w:ascii="Arial" w:cs="Arial" w:eastAsia="Arial" w:hAnsi="Arial"/>
          <w:sz w:val="10"/>
          <w:szCs w:val="10"/>
          <w:color w:val="auto"/>
        </w:rPr>
        <w:t>(2)</w:t>
      </w:r>
      <w:r>
        <w:rPr>
          <w:rFonts w:ascii="Arial" w:cs="Arial" w:eastAsia="Arial" w:hAnsi="Arial"/>
          <w:sz w:val="16"/>
          <w:szCs w:val="16"/>
          <w:color w:val="auto"/>
        </w:rPr>
        <w:t xml:space="preserve"> of $29.40 in the second quarter of 2013, up 13% from $25.95 in the second quarter of 2012</w:t>
      </w:r>
    </w:p>
    <w:p>
      <w:pPr>
        <w:spacing w:after="0" w:line="194" w:lineRule="exact"/>
        <w:rPr>
          <w:rFonts w:ascii="Arial" w:cs="Arial" w:eastAsia="Arial" w:hAnsi="Arial"/>
          <w:sz w:val="16"/>
          <w:szCs w:val="16"/>
          <w:color w:val="auto"/>
        </w:rPr>
      </w:pPr>
    </w:p>
    <w:p>
      <w:pPr>
        <w:ind w:left="1480" w:hanging="567"/>
        <w:spacing w:after="0"/>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Adjusted EBITDA is a non-GAAP financial measure. A reconciliation of adjusted EBITDA to net income is included in this report.</w:t>
      </w:r>
    </w:p>
    <w:p>
      <w:pPr>
        <w:spacing w:after="0" w:line="113" w:lineRule="exact"/>
        <w:rPr>
          <w:rFonts w:ascii="Arial" w:cs="Arial" w:eastAsia="Arial" w:hAnsi="Arial"/>
          <w:sz w:val="16"/>
          <w:szCs w:val="16"/>
          <w:color w:val="auto"/>
        </w:rPr>
      </w:pPr>
    </w:p>
    <w:p>
      <w:pPr>
        <w:ind w:left="1480" w:right="180" w:hanging="567"/>
        <w:spacing w:after="0" w:line="268"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Annualized revenue per implemented subscriber represents the quarter’s revenue for internet-based subscription products, annualized, then divided by the quarter’s average total implemented subscribers.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accounting policies and estimates that we believe are the most critical in fully understanding and evaluating our reported financial results include the following:</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171"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2012 Form 10-K, which contains additional information regarding our accounting policies and other disclosures required by US GAAP. There have been no changes in our critical accounting policies and estimates from those reported in our 2012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2013 Compared to Three Months Ended June 30, 2012</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$6.1 million, or 23.5%, to $31.9 million for the three months ended June 30, 2013 from $25.8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2012. Revenues for 2013 consisted of $25.1 million, or 79% of total revenue, for HealthStream Learning &amp; Talent Management and $6.8 million, or 21% of total revenue, for HealthStream Research. In 2012, revenues consisted of $19.3 million, or 75% of total revenue, for HealthStream Learning &amp; Talent Management and $6.5 million, or 25% of total revenue, for HealthStream Research.</w:t>
      </w:r>
    </w:p>
    <w:p>
      <w:pPr>
        <w:spacing w:after="0" w:line="11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Revenues for HealthStream Learning &amp; Talent Management increased $5.8 million, or 30.2%, over the second quarter of 2012. Revenues from our Internet-based subscription learning and talent management products increased by $5.0 million, or 28.3%, over the prior year second quarter due to a higher number of subscribers and more courseware consumption by subscribers. Revenues for 2013 were positively influenced by courseware subscriptions associated with International Classification of Diseases, 10</w:t>
      </w:r>
      <w:r>
        <w:rPr>
          <w:rFonts w:ascii="Arial" w:cs="Arial" w:eastAsia="Arial" w:hAnsi="Arial"/>
          <w:sz w:val="10"/>
          <w:szCs w:val="10"/>
          <w:color w:val="auto"/>
        </w:rPr>
        <w:t>th</w:t>
      </w:r>
      <w:r>
        <w:rPr>
          <w:rFonts w:ascii="Arial" w:cs="Arial" w:eastAsia="Arial" w:hAnsi="Arial"/>
          <w:sz w:val="16"/>
          <w:szCs w:val="16"/>
          <w:color w:val="auto"/>
        </w:rPr>
        <w:t xml:space="preserve"> Edition (ICD-10) training. Our subscriber base increased to 3.12 million fully-implemented subscribers and</w:t>
      </w:r>
    </w:p>
    <w:p>
      <w:pPr>
        <w:spacing w:after="0" w:line="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3.26 million contracted subscribers at June 30, 2013 compared to 2.78 million fully-implemented subscribers and 2.91 million contracted subscribers at June 30, 2012. Revenues from SimVentures, our collaborative arrangement with Laerdal Medical, increased by $410,000, due, in part, to the fulfillment of backorders of a recently upgraded product, and approximated $802,000 during the second quarter of 2013 compared to $392,000 during the second quarter of 2012. Revenues from our credentialing software product (which was acquired through the Sy.Med Development, Inc. acquisition in October 2012 and is not an internet-based product) contributed $1.1 million during the second quarter of 2013. Revenues from project-based services decreased by $636,000 compared to the prior year second quarter due to the completion of a large content development project.</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Revenues for HealthStream Research increased $257,000, or 3.9%, over the second quarter of 2012. Revenues from Patient Insights™ surveys, our survey research product that generates recurring revenues, increased by $606,000, or 12.8%, over the prior year second quarter. Revenues from other surveys, which are conducted on annual or bi-annual cycles, decreased $349,000, or 19.2%, compared to the prior year second quarter.</w:t>
      </w:r>
    </w:p>
    <w:p>
      <w:pPr>
        <w:spacing w:after="0" w:line="10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$2.7 million, or 26.6%, to $12.9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2013 from $10.2 million for the three months ended June 30, 2012. Cost of revenues as a percentage of revenues was 40.3% of revenues for the three months ended June 30, 2013 compared to 39.3% of revenues for the three months ended June 30, 2012. Cost of revenues for HealthStream Learning &amp; Talent Management increased approximately $2.3 million to $9.3 million and approximated 36.9% and 36.4% of revenues for HealthStream Learning &amp; Talent Management for the three months ended June 30, 2013 and 2012, respectively. The increase is primarily associated with increased royalties paid by us resulting from growth in courseware subscription revenues and increased personnel costs, but was partially offset by lower costs associated with project-based services. Cost of revenues for HealthStream Research increased approximately $450,000 to $3.6 million and approximated 52.9% and 48.1% of revenues for HealthStream Research for the three months ended June 30, 2013 and 2012, respectively. The increase in both amount and as a percentage of revenue is primarily the result of additional costs associated with the growth in patient survey volume over the prior year second quarter. In addition, the decline in other survey revenues contributed to the increase as a percentage of revenue.</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$596,000, or 27.3%, to $2.8 million for the three months ended June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from $2.2 million for the three months ended June 30, 2012. Product development expenses as a percentage of revenues were 8.7% and 8.4% of revenues for the three months ended June 30, 2013 and 2012, respectively.</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Product development expenses for HealthStream Learning &amp; Talent Management increased approximately $665,000 and approximated 9.7% and 9.1% of revenues for HealthStream Learning &amp; Talent Management for the three months ended June 30, 2013 and 2012, respectively. The increase is due to additional personnel expenses associated with the maintenance of our platform and new product development initiatives. Product development expenses for HealthStream Research decreased approximately $69,000 and approximated 5.2% and 6.4% of revenues for HealthStream Research for the three months ended June 30, 2013 and 2012, respectively. This expense decrease was due to lower personnel expenses.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2" w:name="page13"/>
    <w:bookmarkEnd w:id="12"/>
    <w:p>
      <w:pPr>
        <w:jc w:val="both"/>
        <w:ind w:right="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Sales and Marketing. </w:t>
      </w:r>
      <w:r>
        <w:rPr>
          <w:rFonts w:ascii="Arial" w:cs="Arial" w:eastAsia="Arial" w:hAnsi="Arial"/>
          <w:sz w:val="18"/>
          <w:szCs w:val="18"/>
          <w:color w:val="auto"/>
        </w:rPr>
        <w:t>Sales and marketing expenses, including personnel costs, increased approximately $772,000, or 16.5%, to $5.5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2013 from $4.7 million for the three months ended June 30, 2012. Sales and marketing expenses were 17.1% and 18.1% of revenues for the three months ended June 30, 2013 and 2012, respectively.</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Sales and marketing expenses for HealthStream Learning &amp; Talent Management increased $834,000 and approximated 15.8% and 16.3% of revenues for HealthStream Learning &amp; Talent Management for the three months ended June 30, 2013 and 2012, respectively. This increase was associated with additional personnel and related expenses and increased commissions associated with higher sales performance compared to the prior year second quarter. Sales and marketing expenses for HealthStream Research decreased approximately $17,000, and approximated 20.5% and 21.6% of revenues for HealthStream Research for the three months ended June 30, 2013 and 2012, respectively.</w:t>
      </w:r>
    </w:p>
    <w:p>
      <w:pPr>
        <w:spacing w:after="0" w:line="1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$1.6 million, or 50.5%, to $4.8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2013 from $3.2 million for the three months ended June 30, 2012. Other general and administrative expenses as a percentage of revenues were 15.1% and 12.4% of revenues for the three months ended June 30, 2013 and 2012, respectively.</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Other general and administrative expenses for HealthStream Learning &amp; Talent Management increased $425,000 over the prior year second quarter primarily due to additional personnel, rent, and other support costs, while other general and administrative expenses for HealthStream Research decreased $13,000 compared to the prior year second quarter. The unallocated corporate portion of other general and administrative expenses increased $1.2 million over the prior year second quarter, primarily associated with additional personnel, professional fees, software maintenance renewal fees, taxes, contingent earn-out accruals associated with prior business combinations, and other general expenses.</w:t>
      </w:r>
    </w:p>
    <w:p>
      <w:pPr>
        <w:spacing w:after="0" w:line="1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$325,000, or 20.7%, to $1.9 million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2013 from $1.6 million for the three months ended June 30, 2012. The increase primarily resulted from amortization of intangible assets within HealthStream Learning &amp; Talent Management and higher depreciation expense associated with leasehold improvements to our Nashville, Tennessee office space.</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$28,000 for the three months ended June 30, 2013 compared to $26,000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2012.</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$1.7 million for the three months ended June 30, 2013 compared to $1.6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2012. The Company’s effective tax rate was 41.4% for the second quarter of 2013 compared to 40.3% for the second quarter of 2012.</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approximated $2.4 million for both the three months ended June 30, 2013 and 2012. Earnings per diluted share were $0.09 per share for</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three months ended June 30, 2013 and 2012.</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Adjusted EBITDA (which we define as net income before interest, income taxes, stock based compensation, and depreciation and amortization) increased by 8.0% to approximately $6.4 million for the three months ended June 30, 2013 compared to $5.9 million for the three months ended June 30, 2012.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2013 Compared to Six Months Ended June 30, 2012</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$12.1 million, or 24.3%, to $61.6 million for the six months ended June 30, 2013 from $49.5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2012. Revenues for 2013 consisted of $48.3 million, or 78% of total revenue, for HealthStream Learning &amp; Talent Management and $13.3 million, or 22% of total revenue, for HealthStream Research. In 2012, revenues consisted of $37.1 million, or 75% of total revenue, for HealthStream Learning &amp; Talent Management and $12.4 million, or 25% of total revenue, for HealthStream Research.</w:t>
      </w:r>
    </w:p>
    <w:p>
      <w:pPr>
        <w:spacing w:after="0" w:line="11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Revenues for HealthStream Learning &amp; Talent Management increased $11.2 million, or 30.1%, over 2012. Revenues from our Internet-based subscription learning and talent management products increased by $10.1 million, or 29.9%, over the prior year due to a higher number of subscribers and more courseware consumption by subscribers. 2013 revenues were positively influenced by courseware subscriptions associated with ICD-10 training. Revenues from SimVentures, our collaborative arrangement with Laerdal Medical, increased by $463,000 and approximated $1.2 million during 2013 compared to $766,000 during 2012. Revenues from our credentialing software product contributed $2.0 million during 2013. Revenues from project-based services decreased by $1.4 million compared to the prior year due to the completion of a large content development project.</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for HealthStream Research increased $887,000, or 7.1%, over 2012. Revenues from Patient Insights™ surveys, our survey research product that generates recurring revenues, increased by $1.2 million, or 12.7%, over the prior year. Revenues from other surveys, which are conducted on annual or bi-annual cycles, decreased $326,000, or 11.3%, compared to the prior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3" w:name="page14"/>
    <w:bookmarkEnd w:id="13"/>
    <w:p>
      <w:pPr>
        <w:ind w:right="40"/>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Cost of Revenues (excluding depreciation and amortization). </w:t>
      </w:r>
      <w:r>
        <w:rPr>
          <w:rFonts w:ascii="Arial" w:cs="Arial" w:eastAsia="Arial" w:hAnsi="Arial"/>
          <w:sz w:val="16"/>
          <w:szCs w:val="16"/>
          <w:color w:val="auto"/>
        </w:rPr>
        <w:t>Cost of revenues increased approximately $5.7 million, or 28.6%, to $25.4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2013 from $19.7 million for the six months ended June 30, 2012. Cost of revenues as a percentage of revenues was 41.2% of revenues for the six months ended June 30, 2013 compared to 39.9% of revenues for the six months ended June 30, 2012. Cost of revenues for HealthStream Learning &amp; Talent Management increased approximately $4.4 million to $17.8 million and approximated 36.9% and 36.0% of revenues for HealthStream Learning &amp; Talent Management for the six months ended June 30, 2013 and 2012, respectively. The increase is primarily associated with increased royalties paid by us resulting from growth in courseware subscription revenues and increased personnel costs, but was partially offset by lower costs associated with project-based services. Cost of revenues for HealthStream Research increased approximately $1.2 million to $7.6 million and approximated 57.0% and 51.3% of revenues for HealthStream Research for the six months ended June 30, 2013 and 2012, respectively. The increase in both amount and as a percentage of revenue is primarily the result of additional costs associated with the growth in patient survey volume over the prior year. In addition, the decline in other survey revenues contributed to the increase as a percentage of revenue.</w:t>
      </w:r>
    </w:p>
    <w:p>
      <w:pPr>
        <w:spacing w:after="0" w:line="12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$1.3 million, or 32.9%, to $5.4 million for the six months ended June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from $4.1 million for the six months ended June 30, 2012. Product development expenses as a percentage of revenues were 8.7 % and 8.2% of revenues for the six months ended June 30, 2013 and 2012, respectively.</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Product development expenses for HealthStream Learning &amp; Talent Management increased approximately $1.4 million and approximated 9.7% and 8.7% of revenues for HealthStream Learning &amp; Talent Management for the six months ended June 30, 2013 and 2012, respectively. The increase is due to additional personnel expenses associated with the maintenance of our platform and new product development initiatives. Product development expenses for HealthStream Research decreased approximately $121,000 and approximated 5.2 % and 6.6% of revenues for HealthStream Research for the six months ended June 30, 2013 and 2012, respectively. This expense decrease was due to lower personnel expenses.</w:t>
      </w:r>
    </w:p>
    <w:p>
      <w:pPr>
        <w:spacing w:after="0" w:line="1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$436,000, or 4.3%, to $10.6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2013 from $10.2 million for the six months ended June 30, 2012. Sales and marketing expenses were 17.3% and 20.6% of revenues for the six months ended June 30, 2013 and 2012, respectively. The increase in amount was primarily due to additional personnel and related expenses and increased commissions associated with higher sales performance compared to the prior year. These expense increases were partially offset by a reduction of expenses associated with the timing of our customer Summit, which was held in the first quarter of 2012, but is scheduled for the fourth quarter of 2013. Sales and marketing expenses for 2012 included approximately $870,000 of expenses associated with Summit.</w:t>
      </w:r>
    </w:p>
    <w:p>
      <w:pPr>
        <w:spacing w:after="0" w:line="12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Sales and marketing expenses for HealthStream Learning &amp; Talent Management increased $595,000 and approximated 16.2% and 19.5% of revenues for HealthStream Learning &amp; Talent Management for the six months ended June 30, 2013 and 2012, respectively. This increase was associated with additional personnel and related expenses and increased commissions associated with higher sales performance compared to the prior year, but was partially offset by the timing of our customer Summit. Sales and marketing expenses for HealthStream Research decreased approximately $107,000, and approximated 20.0% and 22.3% of revenues for HealthStream Research for the six months ended June 30, 2013 and 2012, respectively. The expense decrease was primarily due to the costs associated with our customer Summit, but was partially offset by increased commissions.</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$3.1 million, or 51.0%, to $9.1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30, 2013 from $6.0 million for the six months ended June 30, 2012. Other general and administrative expenses as a percentage of revenues were 14.8% and 12.2% of revenues for the six months ended June 30, 2013 and 2012, respectively.</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general and administrative expenses for HealthStream Learning &amp; Talent Management increased $793,000 over the prior year primarily due to additional personnel, rent, and other support costs, while other general and administrative expenses for HealthStream Research decreased $26,000 compared to the prior year. The unallocated corporate portion of other general and administrative expenses increased $2.3 million over the prior year, primarily associated with additional personnel, software maintenance renewal fees, professional fees, taxes, contingent earn-out accruals associated with prior business combinations, and other general expenses.</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$667,000, or 21.5%, to $3.8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from $3.1 million for the six months ended June 30, 2012. The increase primarily resulted from amortization of intangible assets within HealthStream Learning &amp; Talent Management and higher depreciation expense associated with capital expenditures and leasehold improvements to our Nashville, Tennessee office space.</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Other Income, Net</w:t>
      </w:r>
      <w:r>
        <w:rPr>
          <w:rFonts w:ascii="Arial" w:cs="Arial" w:eastAsia="Arial" w:hAnsi="Arial"/>
          <w:sz w:val="16"/>
          <w:szCs w:val="16"/>
          <w:color w:val="auto"/>
        </w:rPr>
        <w:t>. Other income, net was approximately $75,000 for the six months ended June 30, 2013 compared to $45,000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2012. The improvement over the prior year is associated with higher interest income from investments in marketable securities.</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$3.0 million for the six months ended June 30, 2013 compared to $2.6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2012. The Company’s effective tax rate was 40.7% for 2013 compared to 40.1% for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4" w:name="page15"/>
    <w:bookmarkEnd w:id="14"/>
    <w:p>
      <w:pPr>
        <w:ind w:right="6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Income. </w:t>
      </w:r>
      <w:r>
        <w:rPr>
          <w:rFonts w:ascii="Arial" w:cs="Arial" w:eastAsia="Arial" w:hAnsi="Arial"/>
          <w:sz w:val="18"/>
          <w:szCs w:val="18"/>
          <w:color w:val="auto"/>
        </w:rPr>
        <w:t>Net income increased approximately $515,000, or 13.4%, to $4.4 million for the six months ended June 30, 2013 from $3.8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2012. Earnings per diluted share were $0.16 per share for the six months ended June 30, 2013, compared to $0.14 per diluted share for the six months ended June 30, 2012.</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Adjusted EBITDA (which we define as net income before interest, income taxes, stock based compensation, and depreciation and amortization) increased by 17.1% to approximately $11.7 million for the six months ended June 30, 2013 compared to $10.0 million for the six months ended June 30, 2012.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2012 and 2013,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8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color w:val="auto"/>
                <w:w w:val="94"/>
              </w:rPr>
              <w:t>Three Months Ended</w:t>
            </w:r>
          </w:p>
        </w:tc>
        <w:tc>
          <w:tcPr>
            <w:tcW w:w="100" w:type="dxa"/>
            <w:vAlign w:val="bottom"/>
          </w:tcPr>
          <w:p>
            <w:pPr>
              <w:spacing w:after="0"/>
              <w:rPr>
                <w:sz w:val="14"/>
                <w:szCs w:val="14"/>
                <w:color w:val="auto"/>
              </w:rPr>
            </w:pPr>
          </w:p>
        </w:tc>
        <w:tc>
          <w:tcPr>
            <w:tcW w:w="1580" w:type="dxa"/>
            <w:vAlign w:val="bottom"/>
            <w:gridSpan w:val="6"/>
          </w:tcPr>
          <w:p>
            <w:pPr>
              <w:jc w:val="right"/>
              <w:ind w:righ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3"/>
              <w:spacing w:after="0" w:line="159" w:lineRule="exact"/>
              <w:rPr>
                <w:sz w:val="20"/>
                <w:szCs w:val="20"/>
                <w:color w:val="auto"/>
              </w:rPr>
            </w:pPr>
            <w:r>
              <w:rPr>
                <w:rFonts w:ascii="Arial" w:cs="Arial" w:eastAsia="Arial" w:hAnsi="Arial"/>
                <w:sz w:val="14"/>
                <w:szCs w:val="14"/>
                <w:color w:val="auto"/>
              </w:rPr>
              <w:t>June 30,</w:t>
            </w:r>
          </w:p>
        </w:tc>
        <w:tc>
          <w:tcPr>
            <w:tcW w:w="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6"/>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GAAP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11,741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10,029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GAAP revenues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31,919</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25,841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61,565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49,514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deferred revenue write-down</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32,087</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25,841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62,065</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49,514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Adjustment for deferred revenue write-down</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2,427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4,362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deferred revenue write-down, net of tax</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2,520</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2,427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4,659</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Net cash provided by operating activities was approximately $11.0 million and $8.9 million during the six months ended June 30, 2013 and 2012, respectively. The number of days sales outstanding (DSO) was 63 days for the second quarter of 2013 compared to 65 days for the second quarter of 2012. The Company calculates DSO by dividing the average accounts receivable balance, excluding unbilled and other receivables,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Net cash provided by investing activities was approximately $721,000 for the six months ended June 30, 2013 while $59.2 million of cash was used in investing activities for the six months ended June 30, 2012. During 2013, the Company purchased $51.5 million of marketable securities, spent $2.0 million for capitalized software development, and purchased $1.2 million of property and equipment. These uses of cash were partially offset by maturities of marketable securities of $55.9 million. During 2012, the Company purchased $72.3 million of marketable securities, utilized $2.9 million (net of cash acquired) to acquire Decision Critical, Inc. (DCI), spent $2.0 million for capitalized software development, and purchased $2.0 million of property and equipment. These uses of cash were partially offset by maturities of marketable securities of $20.0 million.</w:t>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Cash provided by financing activities was approximately $1.5 million and $722,000 for the six months ended June 30, 2013 and 2012, respectively. The primary source of cash from financing activities for 2013 and 2012 resulted from proceeds associated with the exercise of stock options.</w:t>
      </w:r>
    </w:p>
    <w:p>
      <w:pPr>
        <w:spacing w:after="0" w:line="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Revenues increased and operating income improved over the prior year period, and our balance sheet reflects positive working capital of $89.8 million at June 30, 2013 compared to $83.3 million at December 31, 2012. The increase in working capital was primarily due to the cash generated from operations and increases in accounts receivable balances. The Company’s primary source of liquidity is $101.4 million of cash and cash equivalents and marketable securities. The Company also has a $20.0 million revolving credit facility loan agreement, all of which was available at June 30, 2013.</w:t>
      </w:r>
    </w:p>
    <w:p>
      <w:pPr>
        <w:spacing w:after="0" w:line="11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eight years, we have utilized our federal and state net operating loss carryforwards to offset taxable income. We anticipate our remaining net operating loss carryforwards will become fully utilized within the next 12 to 18 months. Our actual tax payments may increase significantly once the net operating loss carryforwards are fully utilized. As part of our growth strategy, we review possible acquisitions that complement our products and services. We anticipate that future acquisitions, if any, would be effected through a combination of stock and cash consideration. The issuance of our stock as consideration for an acquisition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65" w:right="259" w:bottom="1440" w:gutter="0" w:footer="0" w:header="0"/>
        </w:sectPr>
      </w:pPr>
    </w:p>
    <w:bookmarkStart w:id="16" w:name="page17"/>
    <w:bookmarkEnd w:id="1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leverage ratio of outstanding debt to equity. Therefore, if we were to borrow against our revolving credit facility, our debt capacity would be dependent on the covenant values at the time of borrowing. As of June 30, 2013, we believe we were in compliance with all covenants. The credit markets have been experiencing extreme volatility and disruption, and we cannot provide assurances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June 30, 2013,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$101.4 million at June 30, 2013. Assuming a hypothetical 10% decrease in interest rates, interest income from cash and investments would decrease on an annualized basis by approximately $49,000.</w:t>
      </w:r>
    </w:p>
    <w:p>
      <w:pPr>
        <w:spacing w:after="0" w:line="14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INS* - XBRL Instance Document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SCH* - XBRL Taxonomy Extension Schema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CAL* - XBRL Taxonomy Extension Calculation Linkbase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DEF* - XBRL Taxonomy Extension Definition Linkbase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LAB* - XBRL Taxonomy Extension Label Linkbase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PRE* - XBRL Taxonomy Extension Presentation Linkbase</w:t>
      </w:r>
    </w:p>
    <w:p>
      <w:pPr>
        <w:spacing w:after="0" w:line="205" w:lineRule="exact"/>
        <w:rPr>
          <w:sz w:val="20"/>
          <w:szCs w:val="20"/>
          <w:color w:val="auto"/>
        </w:rPr>
      </w:pPr>
    </w:p>
    <w:p>
      <w:pPr>
        <w:ind w:lef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The XBRL-related information in Exhibit No. 101 to this Quarterly Report on Form 10-Q is furnished and not filed for purposes of Sections 11 and 12 of the Securities Act of 1933 and Section 18 of the Securities Exchange Act of 1934.</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4"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19"/>
                <w:szCs w:val="19"/>
                <w:color w:val="auto"/>
              </w:rPr>
            </w:pPr>
          </w:p>
        </w:tc>
        <w:tc>
          <w:tcPr>
            <w:tcW w:w="8120" w:type="dxa"/>
            <w:vAlign w:val="bottom"/>
            <w:gridSpan w:val="2"/>
          </w:tcPr>
          <w:p>
            <w:pPr>
              <w:ind w:left="2620"/>
              <w:spacing w:after="0"/>
              <w:rPr>
                <w:sz w:val="20"/>
                <w:szCs w:val="20"/>
                <w:color w:val="auto"/>
              </w:rPr>
            </w:pPr>
            <w:r>
              <w:rPr>
                <w:rFonts w:ascii="Arial" w:cs="Arial" w:eastAsia="Arial" w:hAnsi="Arial"/>
                <w:sz w:val="18"/>
                <w:szCs w:val="18"/>
                <w:color w:val="auto"/>
              </w:rPr>
              <w:t>HEALTHSTREAM, INC.</w:t>
            </w:r>
          </w:p>
        </w:tc>
      </w:tr>
      <w:tr>
        <w:trPr>
          <w:trHeight w:val="433"/>
        </w:trPr>
        <w:tc>
          <w:tcPr>
            <w:tcW w:w="3300" w:type="dxa"/>
            <w:vAlign w:val="bottom"/>
          </w:tcPr>
          <w:p>
            <w:pPr>
              <w:spacing w:after="0"/>
              <w:rPr>
                <w:sz w:val="20"/>
                <w:szCs w:val="20"/>
                <w:color w:val="auto"/>
              </w:rPr>
            </w:pPr>
            <w:r>
              <w:rPr>
                <w:rFonts w:ascii="Arial" w:cs="Arial" w:eastAsia="Arial" w:hAnsi="Arial"/>
                <w:sz w:val="18"/>
                <w:szCs w:val="18"/>
                <w:color w:val="auto"/>
              </w:rPr>
              <w:t>July 30, 2013</w:t>
            </w:r>
          </w:p>
        </w:tc>
        <w:tc>
          <w:tcPr>
            <w:tcW w:w="8120" w:type="dxa"/>
            <w:vAlign w:val="bottom"/>
            <w:gridSpan w:val="2"/>
          </w:tcPr>
          <w:p>
            <w:pPr>
              <w:ind w:left="2620"/>
              <w:spacing w:after="0"/>
              <w:rPr>
                <w:sz w:val="20"/>
                <w:szCs w:val="20"/>
                <w:color w:val="auto"/>
              </w:rPr>
            </w:pPr>
            <w:r>
              <w:rPr>
                <w:rFonts w:ascii="Arial" w:cs="Arial" w:eastAsia="Arial" w:hAnsi="Arial"/>
                <w:sz w:val="18"/>
                <w:szCs w:val="18"/>
                <w:color w:val="auto"/>
              </w:rPr>
              <w:t>By: /s/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02"/>
        </w:trPr>
        <w:tc>
          <w:tcPr>
            <w:tcW w:w="3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Gerard M. Hayden, Jr.</w:t>
            </w:r>
          </w:p>
        </w:tc>
      </w:tr>
      <w:tr>
        <w:trPr>
          <w:trHeight w:val="222"/>
        </w:trPr>
        <w:tc>
          <w:tcPr>
            <w:tcW w:w="3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594"/>
        </w:trPr>
        <w:tc>
          <w:tcPr>
            <w:tcW w:w="3300" w:type="dxa"/>
            <w:vAlign w:val="bottom"/>
          </w:tcPr>
          <w:p>
            <w:pPr>
              <w:spacing w:after="0"/>
              <w:rPr>
                <w:sz w:val="24"/>
                <w:szCs w:val="24"/>
                <w:color w:val="auto"/>
              </w:rPr>
            </w:pPr>
          </w:p>
        </w:tc>
        <w:tc>
          <w:tcPr>
            <w:tcW w:w="2880" w:type="dxa"/>
            <w:vAlign w:val="bottom"/>
          </w:tcPr>
          <w:p>
            <w:pPr>
              <w:jc w:val="right"/>
              <w:ind w:right="292"/>
              <w:spacing w:after="0"/>
              <w:rPr>
                <w:sz w:val="20"/>
                <w:szCs w:val="20"/>
                <w:color w:val="auto"/>
              </w:rPr>
            </w:pPr>
            <w:r>
              <w:rPr>
                <w:rFonts w:ascii="Arial" w:cs="Arial" w:eastAsia="Arial" w:hAnsi="Arial"/>
                <w:sz w:val="18"/>
                <w:szCs w:val="18"/>
                <w:color w:val="auto"/>
              </w:rPr>
              <w:t>17</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80" w:type="dxa"/>
            <w:vAlign w:val="bottom"/>
          </w:tcPr>
          <w:p>
            <w:pPr>
              <w:ind w:left="3620"/>
              <w:spacing w:after="0"/>
              <w:rPr>
                <w:sz w:val="20"/>
                <w:szCs w:val="20"/>
                <w:color w:val="auto"/>
              </w:rPr>
            </w:pPr>
            <w:r>
              <w:rPr>
                <w:rFonts w:ascii="Arial" w:cs="Arial" w:eastAsia="Arial" w:hAnsi="Arial"/>
                <w:sz w:val="18"/>
                <w:szCs w:val="18"/>
                <w:b w:val="1"/>
                <w:bCs w:val="1"/>
                <w:color w:val="auto"/>
              </w:rPr>
              <w:t>HEALTHSTREAM, INC.</w:t>
            </w:r>
          </w:p>
        </w:tc>
      </w:tr>
      <w:tr>
        <w:trPr>
          <w:trHeight w:val="378"/>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8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8780" w:type="dxa"/>
            <w:vAlign w:val="bottom"/>
            <w:gridSpan w:val="2"/>
          </w:tcPr>
          <w:p>
            <w:pPr>
              <w:ind w:left="26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31.2</w:t>
            </w:r>
          </w:p>
        </w:tc>
        <w:tc>
          <w:tcPr>
            <w:tcW w:w="8780" w:type="dxa"/>
            <w:vAlign w:val="bottom"/>
            <w:gridSpan w:val="2"/>
          </w:tcPr>
          <w:p>
            <w:pPr>
              <w:ind w:left="26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32.1</w:t>
            </w:r>
          </w:p>
        </w:tc>
        <w:tc>
          <w:tcPr>
            <w:tcW w:w="8780" w:type="dxa"/>
            <w:vAlign w:val="bottom"/>
            <w:gridSpan w:val="2"/>
          </w:tcPr>
          <w:p>
            <w:pPr>
              <w:ind w:left="26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32.2</w:t>
            </w:r>
          </w:p>
        </w:tc>
        <w:tc>
          <w:tcPr>
            <w:tcW w:w="8780" w:type="dxa"/>
            <w:vAlign w:val="bottom"/>
            <w:gridSpan w:val="2"/>
          </w:tcPr>
          <w:p>
            <w:pPr>
              <w:ind w:left="26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700" w:type="dxa"/>
            <w:vAlign w:val="bottom"/>
          </w:tcPr>
          <w:p>
            <w:pPr>
              <w:ind w:left="20"/>
              <w:spacing w:after="0"/>
              <w:rPr>
                <w:sz w:val="20"/>
                <w:szCs w:val="20"/>
                <w:color w:val="auto"/>
              </w:rPr>
            </w:pPr>
            <w:r>
              <w:rPr>
                <w:rFonts w:ascii="Arial" w:cs="Arial" w:eastAsia="Arial" w:hAnsi="Arial"/>
                <w:sz w:val="18"/>
                <w:szCs w:val="18"/>
                <w:color w:val="auto"/>
              </w:rPr>
              <w:t>INS*</w:t>
            </w:r>
          </w:p>
        </w:tc>
        <w:tc>
          <w:tcPr>
            <w:tcW w:w="80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297"/>
        </w:trPr>
        <w:tc>
          <w:tcPr>
            <w:tcW w:w="112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808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700" w:type="dxa"/>
            <w:vAlign w:val="bottom"/>
          </w:tcPr>
          <w:p>
            <w:pPr>
              <w:ind w:left="20"/>
              <w:spacing w:after="0"/>
              <w:rPr>
                <w:sz w:val="20"/>
                <w:szCs w:val="20"/>
                <w:color w:val="auto"/>
              </w:rPr>
            </w:pPr>
            <w:r>
              <w:rPr>
                <w:rFonts w:ascii="Arial" w:cs="Arial" w:eastAsia="Arial" w:hAnsi="Arial"/>
                <w:sz w:val="18"/>
                <w:szCs w:val="18"/>
                <w:color w:val="auto"/>
              </w:rPr>
              <w:t>CAL*</w:t>
            </w:r>
          </w:p>
        </w:tc>
        <w:tc>
          <w:tcPr>
            <w:tcW w:w="80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700" w:type="dxa"/>
            <w:vAlign w:val="bottom"/>
          </w:tcPr>
          <w:p>
            <w:pPr>
              <w:ind w:left="20"/>
              <w:spacing w:after="0"/>
              <w:rPr>
                <w:sz w:val="20"/>
                <w:szCs w:val="20"/>
                <w:color w:val="auto"/>
              </w:rPr>
            </w:pPr>
            <w:r>
              <w:rPr>
                <w:rFonts w:ascii="Arial" w:cs="Arial" w:eastAsia="Arial" w:hAnsi="Arial"/>
                <w:sz w:val="18"/>
                <w:szCs w:val="18"/>
                <w:color w:val="auto"/>
              </w:rPr>
              <w:t>DEF*</w:t>
            </w:r>
          </w:p>
        </w:tc>
        <w:tc>
          <w:tcPr>
            <w:tcW w:w="80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12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80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700" w:type="dxa"/>
            <w:vAlign w:val="bottom"/>
          </w:tcPr>
          <w:p>
            <w:pPr>
              <w:ind w:left="20"/>
              <w:spacing w:after="0"/>
              <w:rPr>
                <w:sz w:val="20"/>
                <w:szCs w:val="20"/>
                <w:color w:val="auto"/>
              </w:rPr>
            </w:pPr>
            <w:r>
              <w:rPr>
                <w:rFonts w:ascii="Arial" w:cs="Arial" w:eastAsia="Arial" w:hAnsi="Arial"/>
                <w:sz w:val="18"/>
                <w:szCs w:val="18"/>
                <w:color w:val="auto"/>
              </w:rPr>
              <w:t>PRE*</w:t>
            </w:r>
          </w:p>
        </w:tc>
        <w:tc>
          <w:tcPr>
            <w:tcW w:w="80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XBRL-related information in Exhibit No. 101 to this Quarterly Report on Form 10-Q is furnished and not filed for purposes of Sections 11 and 12 of the Securities Act of 1933 and Section 18 of the Securities Exchange Act of 1934.</w:t>
      </w:r>
    </w:p>
    <w:p>
      <w:pPr>
        <w:sectPr>
          <w:pgSz w:w="11900" w:h="16838" w:orient="portrait"/>
          <w:cols w:equalWidth="0" w:num="1">
            <w:col w:w="11340"/>
          </w:cols>
          <w:pgMar w:left="240" w:top="274"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u w:val="single" w:color="auto"/>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9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July 30,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ROBERT A</w:t>
            </w:r>
            <w:r>
              <w:rPr>
                <w:rFonts w:ascii="Arial" w:cs="Arial" w:eastAsia="Arial" w:hAnsi="Arial"/>
                <w:sz w:val="18"/>
                <w:szCs w:val="18"/>
                <w:color w:val="auto"/>
              </w:rPr>
              <w:t xml:space="preserve">. </w:t>
            </w:r>
            <w:r>
              <w:rPr>
                <w:rFonts w:ascii="Arial" w:cs="Arial" w:eastAsia="Arial" w:hAnsi="Arial"/>
                <w:sz w:val="14"/>
                <w:szCs w:val="14"/>
                <w:color w:val="auto"/>
              </w:rPr>
              <w:t>FRIST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Robert A. Frist, Jr.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u w:val="single" w:color="auto"/>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9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July 30,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Gerard M. Hayden, Jr.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1" w:right="239" w:bottom="1440" w:gutter="0" w:footer="0" w:header="0"/>
        </w:sectPr>
      </w:pPr>
    </w:p>
    <w:bookmarkStart w:id="22" w:name="page23"/>
    <w:bookmarkEnd w:id="22"/>
    <w:p>
      <w:pPr>
        <w:ind w:left="5280"/>
        <w:spacing w:after="0"/>
        <w:rPr>
          <w:sz w:val="20"/>
          <w:szCs w:val="20"/>
          <w:color w:val="auto"/>
        </w:rPr>
      </w:pPr>
      <w:r>
        <w:rPr>
          <w:rFonts w:ascii="Arial" w:cs="Arial" w:eastAsia="Arial" w:hAnsi="Arial"/>
          <w:sz w:val="18"/>
          <w:szCs w:val="18"/>
          <w:u w:val="single" w:color="auto"/>
          <w:color w:val="auto"/>
        </w:rPr>
        <w:t>Exhibit 32.1</w:t>
      </w:r>
    </w:p>
    <w:p>
      <w:pPr>
        <w:spacing w:after="0" w:line="16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2013,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ROBERT A</w:t>
      </w:r>
      <w:r>
        <w:rPr>
          <w:rFonts w:ascii="Arial" w:cs="Arial" w:eastAsia="Arial" w:hAnsi="Arial"/>
          <w:sz w:val="18"/>
          <w:szCs w:val="18"/>
          <w:color w:val="auto"/>
        </w:rPr>
        <w:t xml:space="preserve">. </w:t>
      </w:r>
      <w:r>
        <w:rPr>
          <w:rFonts w:ascii="Arial" w:cs="Arial" w:eastAsia="Arial" w:hAnsi="Arial"/>
          <w:sz w:val="14"/>
          <w:szCs w:val="14"/>
          <w:color w:val="auto"/>
        </w:rPr>
        <w:t>FRIST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p>
      <w:pPr>
        <w:sectPr>
          <w:pgSz w:w="11900" w:h="16838" w:orient="portrait"/>
          <w:cols w:equalWidth="0" w:num="1">
            <w:col w:w="11180"/>
          </w:cols>
          <w:pgMar w:left="240" w:top="131" w:right="479" w:bottom="1440" w:gutter="0" w:footer="0" w:header="0"/>
        </w:sectPr>
      </w:pPr>
    </w:p>
    <w:bookmarkStart w:id="23" w:name="page24"/>
    <w:bookmarkEnd w:id="23"/>
    <w:p>
      <w:pPr>
        <w:ind w:left="5280"/>
        <w:spacing w:after="0"/>
        <w:rPr>
          <w:sz w:val="20"/>
          <w:szCs w:val="20"/>
          <w:color w:val="auto"/>
        </w:rPr>
      </w:pPr>
      <w:r>
        <w:rPr>
          <w:rFonts w:ascii="Arial" w:cs="Arial" w:eastAsia="Arial" w:hAnsi="Arial"/>
          <w:sz w:val="18"/>
          <w:szCs w:val="18"/>
          <w:u w:val="single" w:color="auto"/>
          <w:color w:val="auto"/>
        </w:rPr>
        <w:t>Exhibit 32.2</w:t>
      </w:r>
    </w:p>
    <w:p>
      <w:pPr>
        <w:spacing w:after="0" w:line="16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2013,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sectPr>
      <w:pgSz w:w="11900" w:h="16838" w:orient="portrait"/>
      <w:cols w:equalWidth="0" w:num="1">
        <w:col w:w="11180"/>
      </w:cols>
      <w:pgMar w:left="240" w:top="13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2)"/>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2019-12-06T22:30:18Z</dcterms:created>
  <dcterms:modified xsi:type="dcterms:W3CDTF">2019-12-06T22:30:18Z</dcterms:modified>
</cp:coreProperties>
</file>