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Quarterly Report pursuant to Section 13 or 15(d) of</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the Securities Exchange Act of 1934</w:t>
      </w:r>
    </w:p>
    <w:p>
      <w:pPr>
        <w:spacing w:after="0" w:line="14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 the quarterly period ended September 30, 2012</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HealthStream,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79"/>
              </w:rPr>
              <w:t>Tennessee</w:t>
            </w:r>
          </w:p>
        </w:tc>
        <w:tc>
          <w:tcPr>
            <w:tcW w:w="5020" w:type="dxa"/>
            <w:vAlign w:val="bottom"/>
          </w:tcPr>
          <w:p>
            <w:pPr>
              <w:jc w:val="right"/>
              <w:ind w:right="24"/>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20" w:type="dxa"/>
            <w:vAlign w:val="bottom"/>
          </w:tcPr>
          <w:p>
            <w:pPr>
              <w:jc w:val="center"/>
              <w:ind w:left="38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20" w:type="dxa"/>
            <w:vAlign w:val="bottom"/>
          </w:tcPr>
          <w:p>
            <w:pPr>
              <w:jc w:val="center"/>
              <w:ind w:left="38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7"/>
              </w:rPr>
              <w:t>209 10th Avenue South, Suite 450</w:t>
            </w:r>
          </w:p>
        </w:tc>
        <w:tc>
          <w:tcPr>
            <w:tcW w:w="5020" w:type="dxa"/>
            <w:vAlign w:val="bottom"/>
          </w:tcPr>
          <w:p>
            <w:pPr>
              <w:spacing w:after="0"/>
              <w:rPr>
                <w:sz w:val="24"/>
                <w:szCs w:val="24"/>
                <w:color w:val="auto"/>
              </w:rPr>
            </w:pPr>
          </w:p>
        </w:tc>
      </w:tr>
      <w:tr>
        <w:trPr>
          <w:trHeight w:val="231"/>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4"/>
              </w:rPr>
              <w:t>Nashville, Tennessee</w:t>
            </w:r>
          </w:p>
        </w:tc>
        <w:tc>
          <w:tcPr>
            <w:tcW w:w="5020" w:type="dxa"/>
            <w:vAlign w:val="bottom"/>
          </w:tcPr>
          <w:p>
            <w:pPr>
              <w:jc w:val="right"/>
              <w:ind w:right="224"/>
              <w:spacing w:after="0"/>
              <w:rPr>
                <w:sz w:val="20"/>
                <w:szCs w:val="20"/>
                <w:color w:val="auto"/>
              </w:rPr>
            </w:pPr>
            <w:r>
              <w:rPr>
                <w:rFonts w:ascii="Arial" w:cs="Arial" w:eastAsia="Arial" w:hAnsi="Arial"/>
                <w:sz w:val="18"/>
                <w:szCs w:val="18"/>
                <w:b w:val="1"/>
                <w:bCs w:val="1"/>
                <w:color w:val="auto"/>
              </w:rPr>
              <w:t>37203</w:t>
            </w:r>
          </w:p>
        </w:tc>
      </w:tr>
      <w:tr>
        <w:trPr>
          <w:trHeight w:val="174"/>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20" w:type="dxa"/>
            <w:vAlign w:val="bottom"/>
          </w:tcPr>
          <w:p>
            <w:pPr>
              <w:jc w:val="center"/>
              <w:ind w:left="38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20" w:type="dxa"/>
            <w:vAlign w:val="bottom"/>
          </w:tcPr>
          <w:p>
            <w:pPr>
              <w:spacing w:after="0"/>
              <w:rPr>
                <w:sz w:val="24"/>
                <w:szCs w:val="24"/>
                <w:color w:val="auto"/>
              </w:rPr>
            </w:pPr>
          </w:p>
        </w:tc>
        <w:tc>
          <w:tcPr>
            <w:tcW w:w="5020" w:type="dxa"/>
            <w:vAlign w:val="bottom"/>
          </w:tcPr>
          <w:p>
            <w:pPr>
              <w:jc w:val="right"/>
              <w:ind w:right="2844"/>
              <w:spacing w:after="0"/>
              <w:rPr>
                <w:sz w:val="20"/>
                <w:szCs w:val="20"/>
                <w:color w:val="auto"/>
              </w:rPr>
            </w:pPr>
            <w:r>
              <w:rPr>
                <w:rFonts w:ascii="Arial" w:cs="Arial" w:eastAsia="Arial" w:hAnsi="Arial"/>
                <w:sz w:val="18"/>
                <w:szCs w:val="18"/>
                <w:b w:val="1"/>
                <w:bCs w:val="1"/>
                <w:color w:val="auto"/>
              </w:rPr>
              <w:t>(615) 301-3100</w:t>
            </w:r>
          </w:p>
        </w:tc>
      </w:tr>
      <w:tr>
        <w:trPr>
          <w:trHeight w:val="174"/>
        </w:trPr>
        <w:tc>
          <w:tcPr>
            <w:tcW w:w="2520" w:type="dxa"/>
            <w:vAlign w:val="bottom"/>
          </w:tcPr>
          <w:p>
            <w:pPr>
              <w:spacing w:after="0"/>
              <w:rPr>
                <w:sz w:val="15"/>
                <w:szCs w:val="15"/>
                <w:color w:val="auto"/>
              </w:rPr>
            </w:pPr>
          </w:p>
        </w:tc>
        <w:tc>
          <w:tcPr>
            <w:tcW w:w="5020" w:type="dxa"/>
            <w:vAlign w:val="bottom"/>
          </w:tcPr>
          <w:p>
            <w:pPr>
              <w:jc w:val="center"/>
              <w:ind w:right="18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360"/>
          </w:cols>
          <w:pgMar w:left="240" w:top="230" w:right="299" w:bottom="1440" w:gutter="0" w:footer="0" w:header="0"/>
        </w:sectPr>
      </w:pPr>
    </w:p>
    <w:p>
      <w:pPr>
        <w:spacing w:after="0" w:line="33" w:lineRule="exact"/>
        <w:rPr>
          <w:sz w:val="24"/>
          <w:szCs w:val="24"/>
          <w:color w:val="auto"/>
        </w:rPr>
      </w:pPr>
    </w:p>
    <w:p>
      <w:pPr>
        <w:ind w:left="9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ind w:right="860"/>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2500" w:space="80"/>
            <w:col w:w="5020" w:space="720"/>
            <w:col w:w="1300" w:space="720"/>
            <w:col w:w="1020"/>
          </w:cols>
          <w:pgMar w:left="240" w:top="230" w:right="299" w:bottom="1440" w:gutter="0" w:footer="0" w:header="0"/>
          <w:type w:val="continuous"/>
        </w:sectPr>
      </w:pPr>
    </w:p>
    <w:p>
      <w:pPr>
        <w:spacing w:after="0" w:line="32" w:lineRule="exact"/>
        <w:rPr>
          <w:sz w:val="24"/>
          <w:szCs w:val="24"/>
          <w:color w:val="auto"/>
        </w:rPr>
      </w:pPr>
    </w:p>
    <w:p>
      <w:pPr>
        <w:ind w:left="9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2420" w:space="160"/>
            <w:col w:w="160" w:space="100"/>
            <w:col w:w="4760" w:space="720"/>
            <w:col w:w="1920" w:space="100"/>
            <w:col w:w="1020"/>
          </w:cols>
          <w:pgMar w:left="240" w:top="230" w:right="299" w:bottom="1440" w:gutter="0" w:footer="0" w:header="0"/>
          <w:type w:val="continuous"/>
        </w:sectPr>
      </w:pPr>
    </w:p>
    <w:p>
      <w:pPr>
        <w:ind w:left="460" w:right="162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22, 2012, there were 26,224,619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Part I.</w:t>
            </w:r>
          </w:p>
        </w:tc>
        <w:tc>
          <w:tcPr>
            <w:tcW w:w="99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80" w:type="dxa"/>
            <w:vAlign w:val="bottom"/>
          </w:tcPr>
          <w:p>
            <w:pPr>
              <w:spacing w:after="0"/>
              <w:rPr>
                <w:sz w:val="22"/>
                <w:szCs w:val="22"/>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0" w:type="dxa"/>
            <w:vAlign w:val="bottom"/>
            <w:tcBorders>
              <w:top w:val="single" w:sz="8" w:color="0000EE"/>
            </w:tcBorders>
          </w:tcPr>
          <w:p>
            <w:pPr>
              <w:spacing w:after="0"/>
              <w:rPr>
                <w:sz w:val="24"/>
                <w:szCs w:val="24"/>
                <w:color w:val="auto"/>
              </w:rPr>
            </w:pPr>
          </w:p>
        </w:tc>
        <w:tc>
          <w:tcPr>
            <w:tcW w:w="842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r>
      <w:tr>
        <w:trPr>
          <w:trHeight w:val="304"/>
        </w:trPr>
        <w:tc>
          <w:tcPr>
            <w:tcW w:w="880" w:type="dxa"/>
            <w:vAlign w:val="bottom"/>
          </w:tcPr>
          <w:p>
            <w:pPr>
              <w:spacing w:after="0"/>
              <w:rPr>
                <w:sz w:val="24"/>
                <w:szCs w:val="24"/>
                <w:color w:val="auto"/>
              </w:rPr>
            </w:pPr>
          </w:p>
        </w:tc>
        <w:tc>
          <w:tcPr>
            <w:tcW w:w="706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 September 30, 2012 (Unaudited) and December 31, 2011</w:t>
              </w:r>
            </w:hyperlink>
          </w:p>
        </w:tc>
        <w:tc>
          <w:tcPr>
            <w:tcW w:w="290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880" w:type="dxa"/>
            <w:vAlign w:val="bottom"/>
          </w:tcPr>
          <w:p>
            <w:pPr>
              <w:spacing w:after="0"/>
              <w:rPr>
                <w:sz w:val="24"/>
                <w:szCs w:val="24"/>
                <w:color w:val="auto"/>
              </w:rPr>
            </w:pPr>
          </w:p>
        </w:tc>
        <w:tc>
          <w:tcPr>
            <w:tcW w:w="99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and Nine Months ended September 30, 2012 and 2011</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960" w:type="dxa"/>
            <w:vAlign w:val="bottom"/>
            <w:gridSpan w:val="1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Income (Unaudited) - Three and Nine Months ended September 30, 2012 and</w:t>
              </w:r>
            </w:hyperlink>
          </w:p>
        </w:tc>
        <w:tc>
          <w:tcPr>
            <w:tcW w:w="48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2011</w:t>
              </w:r>
            </w:hyperlink>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880" w:type="dxa"/>
            <w:vAlign w:val="bottom"/>
          </w:tcPr>
          <w:p>
            <w:pPr>
              <w:spacing w:after="0"/>
              <w:rPr>
                <w:sz w:val="24"/>
                <w:szCs w:val="24"/>
                <w:color w:val="auto"/>
              </w:rPr>
            </w:pPr>
          </w:p>
        </w:tc>
        <w:tc>
          <w:tcPr>
            <w:tcW w:w="99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(Unaudited) - Nine Months ended September 30, 2012</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82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(Unaudited) - Nine Months ended September 30, 2012 and 2011</w:t>
              </w:r>
            </w:hyperlink>
          </w:p>
        </w:tc>
        <w:tc>
          <w:tcPr>
            <w:tcW w:w="176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80" w:type="dxa"/>
            <w:vAlign w:val="bottom"/>
          </w:tcPr>
          <w:p>
            <w:pPr>
              <w:spacing w:after="0"/>
              <w:rPr>
                <w:sz w:val="24"/>
                <w:szCs w:val="24"/>
                <w:color w:val="auto"/>
              </w:rPr>
            </w:pPr>
          </w:p>
        </w:tc>
        <w:tc>
          <w:tcPr>
            <w:tcW w:w="48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Condensed Consolidated Financial Statements (Unaudited)</w:t>
              </w:r>
            </w:hyperlink>
          </w:p>
        </w:tc>
        <w:tc>
          <w:tcPr>
            <w:tcW w:w="516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66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18">
              <w:r>
                <w:rPr>
                  <w:rFonts w:ascii="Arial" w:cs="Arial" w:eastAsia="Arial" w:hAnsi="Arial"/>
                  <w:sz w:val="18"/>
                  <w:szCs w:val="18"/>
                  <w:color w:val="0000EE"/>
                  <w:w w:val="86"/>
                </w:rPr>
                <w:t>Controls and Procedures</w:t>
              </w:r>
            </w:hyperlink>
          </w:p>
        </w:tc>
        <w:tc>
          <w:tcPr>
            <w:tcW w:w="822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996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48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68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880" w:type="dxa"/>
            <w:vAlign w:val="bottom"/>
          </w:tcPr>
          <w:p>
            <w:pPr>
              <w:spacing w:after="0"/>
              <w:rPr>
                <w:sz w:val="24"/>
                <w:szCs w:val="24"/>
                <w:color w:val="auto"/>
              </w:rPr>
            </w:pPr>
          </w:p>
        </w:tc>
        <w:tc>
          <w:tcPr>
            <w:tcW w:w="6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0">
              <w:r>
                <w:rPr>
                  <w:rFonts w:ascii="Arial" w:cs="Arial" w:eastAsia="Arial" w:hAnsi="Arial"/>
                  <w:sz w:val="18"/>
                  <w:szCs w:val="18"/>
                  <w:color w:val="0000EE"/>
                  <w:w w:val="85"/>
                </w:rPr>
                <w:t>Signature</w:t>
              </w:r>
            </w:hyperlink>
          </w:p>
        </w:tc>
        <w:tc>
          <w:tcPr>
            <w:tcW w:w="928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Marketable securities – short-term</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72,232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Accounts receivable, net of allowance for doubtful accounts of $124 and $149 at September 30, 2012 and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2011, respectively</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15,766</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Accounts receivable - unbilled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Prepaid royalties, net of amortization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prepaid expenses and other current assets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117,942</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Equipment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17,480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(18,275)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0" w:type="dxa"/>
            <w:vAlign w:val="bottom"/>
            <w:gridSpan w:val="2"/>
          </w:tcPr>
          <w:p>
            <w:pPr>
              <w:spacing w:after="0"/>
              <w:rPr>
                <w:sz w:val="20"/>
                <w:szCs w:val="20"/>
                <w:color w:val="auto"/>
              </w:rPr>
            </w:pPr>
            <w:r>
              <w:rPr>
                <w:rFonts w:ascii="Arial" w:cs="Arial" w:eastAsia="Arial" w:hAnsi="Arial"/>
                <w:sz w:val="18"/>
                <w:szCs w:val="18"/>
                <w:color w:val="auto"/>
              </w:rPr>
              <w:t>Marketable securities – long-term</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2"/>
              </w:rPr>
              <w:t>Capitalized software development, net of accumulated amortization of $10,320 and $8,344 at September 30, 2012 and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2011, respectively</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24,110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0"/>
              </w:rPr>
              <w:t>Intangible assets, net of accumulated amortization of $9,633 and $8,930 at September 30, 2012 and December 31, 2011,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161,858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44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555</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8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31,105</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32,448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88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no par value, 75,000 shares authorized; 26,190 and 25,896 shares issued and outstanding at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September 30, 2012 and December 31, 2011, respectively</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156,612</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(27,663)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1280"/>
              <w:spacing w:after="0"/>
              <w:rPr>
                <w:sz w:val="20"/>
                <w:szCs w:val="20"/>
                <w:color w:val="auto"/>
              </w:rPr>
            </w:pPr>
            <w:r>
              <w:rPr>
                <w:rFonts w:ascii="Arial" w:cs="Arial" w:eastAsia="Arial" w:hAnsi="Arial"/>
                <w:sz w:val="18"/>
                <w:szCs w:val="18"/>
                <w:color w:val="auto"/>
              </w:rPr>
              <w:t>Total shareholders’ equity</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128,977</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120,915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shareholders’ equity</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161,858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1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4"/>
                <w:szCs w:val="14"/>
                <w:color w:val="auto"/>
              </w:rPr>
            </w:pPr>
          </w:p>
        </w:tc>
        <w:tc>
          <w:tcPr>
            <w:tcW w:w="1480" w:type="dxa"/>
            <w:vAlign w:val="bottom"/>
            <w:gridSpan w:val="6"/>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20,618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75,894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2,782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22,649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17,924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65,781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0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26,173</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22,164</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27,591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23,496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27,476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$ 1,977</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$ 1,796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$5,824</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82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taxes:</w:t>
            </w:r>
          </w:p>
        </w:tc>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marketable securities</w:t>
            </w:r>
          </w:p>
        </w:tc>
        <w:tc>
          <w:tcPr>
            <w:tcW w:w="2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income</w:t>
            </w:r>
          </w:p>
        </w:tc>
        <w:tc>
          <w:tcPr>
            <w:tcW w:w="2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gridSpan w:val="2"/>
            <w:vMerge w:val="continue"/>
          </w:tcPr>
          <w:p>
            <w:pPr>
              <w:spacing w:after="0"/>
              <w:rPr>
                <w:sz w:val="19"/>
                <w:szCs w:val="19"/>
                <w:color w:val="auto"/>
              </w:rPr>
            </w:pPr>
          </w:p>
        </w:tc>
        <w:tc>
          <w:tcPr>
            <w:tcW w:w="2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35</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$ 2,002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$ 1,797</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160" w:type="dxa"/>
            <w:vAlign w:val="bottom"/>
            <w:gridSpan w:val="5"/>
          </w:tcPr>
          <w:p>
            <w:pPr>
              <w:ind w:left="400"/>
              <w:spacing w:after="0" w:line="149" w:lineRule="exact"/>
              <w:rPr>
                <w:sz w:val="20"/>
                <w:szCs w:val="20"/>
                <w:color w:val="auto"/>
              </w:rPr>
            </w:pPr>
            <w:r>
              <w:rPr>
                <w:rFonts w:ascii="Arial" w:cs="Arial" w:eastAsia="Arial" w:hAnsi="Arial"/>
                <w:sz w:val="14"/>
                <w:szCs w:val="14"/>
                <w:b w:val="1"/>
                <w:bCs w:val="1"/>
                <w:color w:val="auto"/>
              </w:rPr>
              <w:t>Common Stock</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Deficit</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85"/>
              </w:rPr>
              <w:t>$154,409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5,824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Issuance of common stock in acquisition</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26,190</w:t>
            </w:r>
          </w:p>
        </w:tc>
        <w:tc>
          <w:tcPr>
            <w:tcW w:w="1380" w:type="dxa"/>
            <w:vAlign w:val="bottom"/>
            <w:gridSpan w:val="3"/>
            <w:shd w:val="clear" w:color="auto" w:fill="CCEEFF"/>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156,612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(27,663)</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6"/>
              </w:rPr>
              <w:t>Nine Months Ended September 30,</w:t>
            </w:r>
          </w:p>
        </w:tc>
      </w:tr>
      <w:tr>
        <w:trPr>
          <w:trHeight w:val="161"/>
        </w:trPr>
        <w:tc>
          <w:tcPr>
            <w:tcW w:w="20" w:type="dxa"/>
            <w:vAlign w:val="bottom"/>
          </w:tcPr>
          <w:p>
            <w:pPr>
              <w:spacing w:after="0"/>
              <w:rPr>
                <w:sz w:val="14"/>
                <w:szCs w:val="14"/>
                <w:color w:val="auto"/>
              </w:rPr>
            </w:pPr>
          </w:p>
        </w:tc>
        <w:tc>
          <w:tcPr>
            <w:tcW w:w="90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5,824</w:t>
            </w:r>
          </w:p>
        </w:tc>
        <w:tc>
          <w:tcPr>
            <w:tcW w:w="2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5,152</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3,868</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 expense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2,902</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acquisition: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and unbilled receivables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w:t>
            </w:r>
          </w:p>
        </w:tc>
      </w:tr>
      <w:tr>
        <w:trPr>
          <w:trHeight w:val="216"/>
        </w:trPr>
        <w:tc>
          <w:tcPr>
            <w:tcW w:w="20" w:type="dxa"/>
            <w:vAlign w:val="bottom"/>
          </w:tcPr>
          <w:p>
            <w:pPr>
              <w:spacing w:after="0"/>
              <w:rPr>
                <w:sz w:val="18"/>
                <w:szCs w:val="18"/>
                <w:color w:val="auto"/>
              </w:rPr>
            </w:pPr>
          </w:p>
        </w:tc>
        <w:tc>
          <w:tcPr>
            <w:tcW w:w="9020" w:type="dxa"/>
            <w:vAlign w:val="bottom"/>
          </w:tcPr>
          <w:p>
            <w:pPr>
              <w:ind w:left="1280"/>
              <w:spacing w:after="0"/>
              <w:rPr>
                <w:sz w:val="20"/>
                <w:szCs w:val="20"/>
                <w:color w:val="auto"/>
              </w:rPr>
            </w:pPr>
            <w:r>
              <w:rPr>
                <w:rFonts w:ascii="Arial" w:cs="Arial" w:eastAsia="Arial" w:hAnsi="Arial"/>
                <w:sz w:val="18"/>
                <w:szCs w:val="18"/>
                <w:color w:val="auto"/>
              </w:rPr>
              <w:t>Prepaid royalties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prepaid expenses and other current assets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r>
      <w:tr>
        <w:trPr>
          <w:trHeight w:val="216"/>
        </w:trPr>
        <w:tc>
          <w:tcPr>
            <w:tcW w:w="20" w:type="dxa"/>
            <w:vAlign w:val="bottom"/>
          </w:tcPr>
          <w:p>
            <w:pPr>
              <w:spacing w:after="0"/>
              <w:rPr>
                <w:sz w:val="18"/>
                <w:szCs w:val="18"/>
                <w:color w:val="auto"/>
              </w:rPr>
            </w:pPr>
          </w:p>
        </w:tc>
        <w:tc>
          <w:tcPr>
            <w:tcW w:w="902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w:t>
            </w:r>
          </w:p>
        </w:tc>
      </w:tr>
      <w:tr>
        <w:trPr>
          <w:trHeight w:val="216"/>
        </w:trPr>
        <w:tc>
          <w:tcPr>
            <w:tcW w:w="20" w:type="dxa"/>
            <w:vAlign w:val="bottom"/>
          </w:tcPr>
          <w:p>
            <w:pPr>
              <w:spacing w:after="0"/>
              <w:rPr>
                <w:sz w:val="18"/>
                <w:szCs w:val="18"/>
                <w:color w:val="auto"/>
              </w:rPr>
            </w:pPr>
          </w:p>
        </w:tc>
        <w:tc>
          <w:tcPr>
            <w:tcW w:w="9020" w:type="dxa"/>
            <w:vAlign w:val="bottom"/>
          </w:tcPr>
          <w:p>
            <w:pPr>
              <w:ind w:left="1280"/>
              <w:spacing w:after="0"/>
              <w:rPr>
                <w:sz w:val="20"/>
                <w:szCs w:val="20"/>
                <w:color w:val="auto"/>
              </w:rPr>
            </w:pPr>
            <w:r>
              <w:rPr>
                <w:rFonts w:ascii="Arial" w:cs="Arial" w:eastAsia="Arial" w:hAnsi="Arial"/>
                <w:sz w:val="18"/>
                <w:szCs w:val="18"/>
                <w:color w:val="auto"/>
                <w:w w:val="99"/>
              </w:rPr>
              <w:t>Accrued liabilities and accrued compensation and related expenses and other long-term liabilities</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15,602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14,488</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Acquisition, net of cash acquired</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investments in marketable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8,130</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Proceeds from sales of investments in marketable securities</w:t>
            </w: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2,221</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 in marketable securities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(4,728)</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Changes in other investments</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(5,199)</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(3,560)</w:t>
            </w:r>
          </w:p>
        </w:tc>
      </w:tr>
      <w:tr>
        <w:trPr>
          <w:trHeight w:val="27"/>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(3,136)</w:t>
            </w:r>
          </w:p>
        </w:tc>
      </w:tr>
      <w:tr>
        <w:trPr>
          <w:trHeight w:val="221"/>
        </w:trPr>
        <w:tc>
          <w:tcPr>
            <w:tcW w:w="90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12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8"/>
                <w:szCs w:val="18"/>
                <w:color w:val="auto"/>
              </w:rPr>
            </w:pPr>
          </w:p>
        </w:tc>
      </w:tr>
      <w:tr>
        <w:trPr>
          <w:trHeight w:val="221"/>
        </w:trPr>
        <w:tc>
          <w:tcPr>
            <w:tcW w:w="90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(53,201)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12,368</w:t>
            </w: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17,868</w:t>
            </w:r>
          </w:p>
        </w:tc>
        <w:tc>
          <w:tcPr>
            <w:tcW w:w="100" w:type="dxa"/>
            <w:vAlign w:val="bottom"/>
            <w:shd w:val="clear" w:color="auto" w:fill="CCEEFF"/>
          </w:tcPr>
          <w:p>
            <w:pPr>
              <w:spacing w:after="0"/>
              <w:rPr>
                <w:sz w:val="18"/>
                <w:szCs w:val="18"/>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23,703</w:t>
            </w:r>
          </w:p>
        </w:tc>
        <w:tc>
          <w:tcPr>
            <w:tcW w:w="26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30,236</w:t>
            </w: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nine months ended September 30, 2012 are not necessarily indicative of the results that may be expected for the year ending December 31, 2012.</w:t>
      </w:r>
    </w:p>
    <w:p>
      <w:pPr>
        <w:spacing w:after="0" w:line="12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balance sheet at December 31, 2011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2011 (included in the Company's Annual Report on Form 10-K, filed with the Securities and Exchange Commission on February 28,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nine months ended September 30, 2012 and 2011, the Company recorded a provision for income taxes of $4.4 million and $3.2 million, respectively. The Company’s effective tax rate for the nine months ended September 30, 2012 and 2011 was 42.9% and 38.4%, respectively. The Company’s effective tax rate primarily reflects the statutory corporate income tax rate, the net effect of state taxes, and the effect of various permanent tax differences. The increase in the Company’s effective tax rate during 2012 was due to several factors, including changes in estimated state apportionment factors, stock based compensation, and other permanent tax differences.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 BASED COMPENSATION</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maintains two stock incentive plans. The Company accounts for its stock based compensation plans using the fair-value based method for costs related to share-based payments, including stock options and restricted share units. During the nine months ended September 30, 2012, the Company issued 73,150 restricted share units with a weighted average grant date fair value of $23.13 per share, measured based on the closing fair market value of the Company’s stock on the date of grant. During the nine months ended September 30, 2011, the Company granted 362,750 stock options with a weighted average grant date fair value of $4.67. The fair value of stock options granted during the nine months ended September 30, 2011 was estimated using the Black Scholes option pricing model, with the assumptions as follows:</w:t>
      </w:r>
    </w:p>
    <w:p>
      <w:pPr>
        <w:spacing w:after="0" w:line="14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580" w:type="dxa"/>
            <w:vAlign w:val="bottom"/>
            <w:gridSpan w:val="2"/>
          </w:tcPr>
          <w:p>
            <w:pPr>
              <w:jc w:val="center"/>
              <w:ind w:left="2379"/>
              <w:spacing w:after="0"/>
              <w:rPr>
                <w:sz w:val="20"/>
                <w:szCs w:val="20"/>
                <w:color w:val="auto"/>
              </w:rPr>
            </w:pPr>
            <w:r>
              <w:rPr>
                <w:rFonts w:ascii="Arial" w:cs="Arial" w:eastAsia="Arial" w:hAnsi="Arial"/>
                <w:sz w:val="14"/>
                <w:szCs w:val="14"/>
                <w:color w:val="auto"/>
                <w:w w:val="87"/>
              </w:rPr>
              <w:t>Nine Months Ended</w:t>
            </w:r>
          </w:p>
        </w:tc>
      </w:tr>
      <w:tr>
        <w:trPr>
          <w:trHeight w:val="159"/>
        </w:trPr>
        <w:tc>
          <w:tcPr>
            <w:tcW w:w="4180" w:type="dxa"/>
            <w:vAlign w:val="bottom"/>
            <w:tcBorders>
              <w:bottom w:val="single" w:sz="8" w:color="CCEEFF"/>
            </w:tcBorders>
          </w:tcPr>
          <w:p>
            <w:pPr>
              <w:spacing w:after="0"/>
              <w:rPr>
                <w:sz w:val="13"/>
                <w:szCs w:val="13"/>
                <w:color w:val="auto"/>
              </w:rPr>
            </w:pPr>
          </w:p>
        </w:tc>
        <w:tc>
          <w:tcPr>
            <w:tcW w:w="24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September 30, 2011</w:t>
            </w:r>
          </w:p>
        </w:tc>
      </w:tr>
      <w:tr>
        <w:trPr>
          <w:trHeight w:val="210"/>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1.05 – 2.39%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580" w:type="dxa"/>
            <w:vAlign w:val="bottom"/>
            <w:gridSpan w:val="2"/>
          </w:tcPr>
          <w:p>
            <w:pPr>
              <w:jc w:val="center"/>
              <w:ind w:left="2379"/>
              <w:spacing w:after="0"/>
              <w:rPr>
                <w:sz w:val="20"/>
                <w:szCs w:val="20"/>
                <w:color w:val="auto"/>
              </w:rPr>
            </w:pPr>
            <w:r>
              <w:rPr>
                <w:rFonts w:ascii="Arial" w:cs="Arial" w:eastAsia="Arial" w:hAnsi="Arial"/>
                <w:sz w:val="18"/>
                <w:szCs w:val="18"/>
                <w:color w:val="auto"/>
                <w:w w:val="87"/>
              </w:rPr>
              <w:t>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 – 7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24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0 – 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580" w:type="dxa"/>
            <w:vAlign w:val="bottom"/>
            <w:gridSpan w:val="2"/>
            <w:shd w:val="clear" w:color="auto" w:fill="CCEEFF"/>
          </w:tcPr>
          <w:p>
            <w:pPr>
              <w:jc w:val="center"/>
              <w:ind w:left="2379"/>
              <w:spacing w:after="0"/>
              <w:rPr>
                <w:sz w:val="20"/>
                <w:szCs w:val="20"/>
                <w:color w:val="auto"/>
              </w:rPr>
            </w:pPr>
            <w:r>
              <w:rPr>
                <w:rFonts w:ascii="Arial" w:cs="Arial" w:eastAsia="Arial" w:hAnsi="Arial"/>
                <w:sz w:val="18"/>
                <w:szCs w:val="18"/>
                <w:color w:val="auto"/>
                <w:w w:val="88"/>
              </w:rPr>
              <w:t>50%</w:t>
            </w:r>
          </w:p>
        </w:tc>
      </w:tr>
    </w:tbl>
    <w:p>
      <w:pPr>
        <w:spacing w:after="0" w:line="15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Total stock based compensation expense recorded for the three and nine months ended September 30, 2012 and 2011, which is recorded in the condensed consolidated statements of income, is as follows (in thousands):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480"/>
              <w:spacing w:after="0"/>
              <w:rPr>
                <w:sz w:val="20"/>
                <w:szCs w:val="20"/>
                <w:color w:val="auto"/>
              </w:rPr>
            </w:pPr>
            <w:r>
              <w:rPr>
                <w:rFonts w:ascii="Arial" w:cs="Arial" w:eastAsia="Arial" w:hAnsi="Arial"/>
                <w:sz w:val="14"/>
                <w:szCs w:val="14"/>
                <w:color w:val="auto"/>
                <w:w w:val="85"/>
              </w:rPr>
              <w:t>Three Months Ended</w:t>
            </w:r>
          </w:p>
        </w:tc>
        <w:tc>
          <w:tcPr>
            <w:tcW w:w="100" w:type="dxa"/>
            <w:vAlign w:val="bottom"/>
          </w:tcPr>
          <w:p>
            <w:pPr>
              <w:spacing w:after="0"/>
              <w:rPr>
                <w:sz w:val="14"/>
                <w:szCs w:val="14"/>
                <w:color w:val="auto"/>
              </w:rPr>
            </w:pPr>
          </w:p>
        </w:tc>
        <w:tc>
          <w:tcPr>
            <w:tcW w:w="1300" w:type="dxa"/>
            <w:vAlign w:val="bottom"/>
            <w:gridSpan w:val="5"/>
          </w:tcPr>
          <w:p>
            <w:pPr>
              <w:jc w:val="right"/>
              <w:ind w:right="200"/>
              <w:spacing w:after="0"/>
              <w:rPr>
                <w:sz w:val="20"/>
                <w:szCs w:val="20"/>
                <w:color w:val="auto"/>
              </w:rPr>
            </w:pPr>
            <w:r>
              <w:rPr>
                <w:rFonts w:ascii="Arial" w:cs="Arial" w:eastAsia="Arial" w:hAnsi="Arial"/>
                <w:sz w:val="14"/>
                <w:szCs w:val="14"/>
                <w:color w:val="auto"/>
                <w:w w:val="87"/>
              </w:rPr>
              <w:t>Nine Months Ended</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180"/>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1300" w:type="dxa"/>
            <w:vAlign w:val="bottom"/>
            <w:gridSpan w:val="5"/>
          </w:tcPr>
          <w:p>
            <w:pPr>
              <w:ind w:left="16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4700" w:type="dxa"/>
            <w:vAlign w:val="bottom"/>
            <w:tcBorders>
              <w:bottom w:val="single" w:sz="8" w:color="CCEEFF"/>
            </w:tcBorders>
          </w:tcPr>
          <w:p>
            <w:pPr>
              <w:spacing w:after="0"/>
              <w:rPr>
                <w:sz w:val="13"/>
                <w:szCs w:val="13"/>
                <w:color w:val="auto"/>
              </w:rPr>
            </w:pPr>
          </w:p>
        </w:tc>
        <w:tc>
          <w:tcPr>
            <w:tcW w:w="26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0"/>
              <w:spacing w:after="0" w:line="159" w:lineRule="exact"/>
              <w:rPr>
                <w:sz w:val="20"/>
                <w:szCs w:val="20"/>
                <w:color w:val="auto"/>
              </w:rPr>
            </w:pPr>
            <w:r>
              <w:rPr>
                <w:rFonts w:ascii="Arial" w:cs="Arial" w:eastAsia="Arial" w:hAnsi="Arial"/>
                <w:sz w:val="14"/>
                <w:szCs w:val="14"/>
                <w:color w:val="auto"/>
                <w:w w:val="76"/>
              </w:rPr>
              <w:t>2012</w:t>
            </w: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6"/>
              <w:spacing w:after="0" w:line="159" w:lineRule="exact"/>
              <w:rPr>
                <w:sz w:val="20"/>
                <w:szCs w:val="20"/>
                <w:color w:val="auto"/>
              </w:rPr>
            </w:pPr>
            <w:r>
              <w:rPr>
                <w:rFonts w:ascii="Arial" w:cs="Arial" w:eastAsia="Arial" w:hAnsi="Arial"/>
                <w:sz w:val="14"/>
                <w:szCs w:val="14"/>
                <w:color w:val="auto"/>
                <w:w w:val="83"/>
              </w:rPr>
              <w:t>2011</w:t>
            </w:r>
          </w:p>
        </w:tc>
        <w:tc>
          <w:tcPr>
            <w:tcW w:w="3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Cost of revenues (excluding depreciation and amortization)</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Product development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 based compensation expense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80" w:type="dxa"/>
            <w:vAlign w:val="bottom"/>
            <w:vMerge w:val="restart"/>
          </w:tcPr>
          <w:p>
            <w:pPr>
              <w:jc w:val="right"/>
              <w:ind w:right="199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common and common equivalent shares outstanding during the period. Common equivalent shares, composed of incremental common shares issuable upon the exercise of stock options and restricted share units subject to vesting are included in diluted earnings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earnings per share, due to their anti-dilutive effect, was approximately 0.1 million for both the three and nine months ended September 30, 2012, respectively, and approximately 0.1 million and 0.3 million for the three and nine months ended September 30, 2011, respectively.</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 September 30, 2012 and 2011 (in thousands, except per share data):</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center"/>
              <w:ind w:right="540"/>
              <w:spacing w:after="0"/>
              <w:rPr>
                <w:sz w:val="20"/>
                <w:szCs w:val="20"/>
                <w:color w:val="auto"/>
              </w:rPr>
            </w:pPr>
            <w:r>
              <w:rPr>
                <w:rFonts w:ascii="Arial" w:cs="Arial" w:eastAsia="Arial" w:hAnsi="Arial"/>
                <w:sz w:val="14"/>
                <w:szCs w:val="14"/>
                <w:color w:val="auto"/>
                <w:w w:val="87"/>
              </w:rPr>
              <w:t>Three Months Ended</w:t>
            </w:r>
          </w:p>
        </w:tc>
        <w:tc>
          <w:tcPr>
            <w:tcW w:w="8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color w:val="auto"/>
                <w:w w:val="89"/>
              </w:rPr>
              <w:t>Nine Months Ended</w:t>
            </w:r>
          </w:p>
        </w:tc>
        <w:tc>
          <w:tcPr>
            <w:tcW w:w="0" w:type="dxa"/>
            <w:vAlign w:val="bottom"/>
          </w:tcPr>
          <w:p>
            <w:pPr>
              <w:spacing w:after="0"/>
              <w:rPr>
                <w:sz w:val="1"/>
                <w:szCs w:val="1"/>
                <w:color w:val="auto"/>
              </w:rPr>
            </w:pPr>
          </w:p>
        </w:tc>
      </w:tr>
      <w:tr>
        <w:trPr>
          <w:trHeight w:val="159"/>
        </w:trPr>
        <w:tc>
          <w:tcPr>
            <w:tcW w:w="6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5"/>
          </w:tcPr>
          <w:p>
            <w:pPr>
              <w:jc w:val="center"/>
              <w:ind w:right="560"/>
              <w:spacing w:after="0" w:line="159" w:lineRule="exact"/>
              <w:rPr>
                <w:sz w:val="20"/>
                <w:szCs w:val="20"/>
                <w:color w:val="auto"/>
              </w:rPr>
            </w:pPr>
            <w:r>
              <w:rPr>
                <w:rFonts w:ascii="Arial" w:cs="Arial" w:eastAsia="Arial" w:hAnsi="Arial"/>
                <w:sz w:val="14"/>
                <w:szCs w:val="14"/>
                <w:color w:val="auto"/>
                <w:w w:val="87"/>
              </w:rPr>
              <w:t>September 30,</w:t>
            </w:r>
          </w:p>
        </w:tc>
        <w:tc>
          <w:tcPr>
            <w:tcW w:w="80" w:type="dxa"/>
            <w:vAlign w:val="bottom"/>
          </w:tcPr>
          <w:p>
            <w:pPr>
              <w:spacing w:after="0"/>
              <w:rPr>
                <w:sz w:val="13"/>
                <w:szCs w:val="13"/>
                <w:color w:val="auto"/>
              </w:rPr>
            </w:pPr>
          </w:p>
        </w:tc>
        <w:tc>
          <w:tcPr>
            <w:tcW w:w="1640" w:type="dxa"/>
            <w:vAlign w:val="bottom"/>
            <w:gridSpan w:val="5"/>
          </w:tcPr>
          <w:p>
            <w:pPr>
              <w:jc w:val="center"/>
              <w:ind w:right="180"/>
              <w:spacing w:after="0" w:line="159" w:lineRule="exact"/>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2011</w:t>
            </w: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1,977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1,796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5,824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26,173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22,164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Effect of dilutive shares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880"/>
              <w:spacing w:after="0"/>
              <w:rPr>
                <w:sz w:val="20"/>
                <w:szCs w:val="20"/>
                <w:color w:val="auto"/>
              </w:rPr>
            </w:pPr>
            <w:r>
              <w:rPr>
                <w:rFonts w:ascii="Arial" w:cs="Arial" w:eastAsia="Arial" w:hAnsi="Arial"/>
                <w:sz w:val="18"/>
                <w:szCs w:val="18"/>
                <w:color w:val="auto"/>
              </w:rPr>
              <w:t>Weighted-average diluted shares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27,591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23,496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27,476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 September 30, 2012 and December 31, 2011, the fair value of marketable securities, which were all classified as available for sale, included the following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color w:val="auto"/>
              </w:rPr>
              <w:t>September 30, 2012</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380"/>
              <w:spacing w:after="0" w:line="131"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400"/>
              <w:spacing w:after="0" w:line="131" w:lineRule="exact"/>
              <w:rPr>
                <w:sz w:val="20"/>
                <w:szCs w:val="20"/>
                <w:color w:val="auto"/>
              </w:rPr>
            </w:pPr>
            <w:r>
              <w:rPr>
                <w:rFonts w:ascii="Arial" w:cs="Arial" w:eastAsia="Arial" w:hAnsi="Arial"/>
                <w:sz w:val="14"/>
                <w:szCs w:val="14"/>
                <w:color w:val="auto"/>
                <w:w w:val="89"/>
              </w:rPr>
              <w:t>Unrealized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spacing w:after="0" w:line="159" w:lineRule="exact"/>
              <w:rPr>
                <w:sz w:val="20"/>
                <w:szCs w:val="20"/>
                <w:color w:val="auto"/>
              </w:rPr>
            </w:pPr>
            <w:r>
              <w:rPr>
                <w:rFonts w:ascii="Arial" w:cs="Arial" w:eastAsia="Arial" w:hAnsi="Arial"/>
                <w:sz w:val="14"/>
                <w:szCs w:val="14"/>
                <w:color w:val="auto"/>
              </w:rPr>
              <w:t>Adjusted Cost</w:t>
            </w:r>
          </w:p>
        </w:tc>
        <w:tc>
          <w:tcPr>
            <w:tcW w:w="140" w:type="dxa"/>
            <w:vAlign w:val="bottom"/>
          </w:tcPr>
          <w:p>
            <w:pPr>
              <w:spacing w:after="0"/>
              <w:rPr>
                <w:sz w:val="13"/>
                <w:szCs w:val="13"/>
                <w:color w:val="auto"/>
              </w:rPr>
            </w:pPr>
          </w:p>
        </w:tc>
        <w:tc>
          <w:tcPr>
            <w:tcW w:w="1060" w:type="dxa"/>
            <w:vAlign w:val="bottom"/>
            <w:gridSpan w:val="2"/>
          </w:tcPr>
          <w:p>
            <w:pPr>
              <w:jc w:val="center"/>
              <w:ind w:right="380"/>
              <w:spacing w:after="0" w:line="159" w:lineRule="exact"/>
              <w:rPr>
                <w:sz w:val="20"/>
                <w:szCs w:val="20"/>
                <w:color w:val="auto"/>
              </w:rPr>
            </w:pPr>
            <w:r>
              <w:rPr>
                <w:rFonts w:ascii="Arial" w:cs="Arial" w:eastAsia="Arial" w:hAnsi="Arial"/>
                <w:sz w:val="14"/>
                <w:szCs w:val="14"/>
                <w:color w:val="auto"/>
                <w:w w:val="87"/>
              </w:rPr>
              <w:t>Gains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1"/>
              </w:rPr>
              <w:t>Losses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5,033</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Municipal debt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26,911</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67,171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color w:val="auto"/>
              </w:rPr>
              <w:t>December 31, 2011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380"/>
              <w:spacing w:after="0" w:line="131"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400"/>
              <w:spacing w:after="0" w:line="131" w:lineRule="exact"/>
              <w:rPr>
                <w:sz w:val="20"/>
                <w:szCs w:val="20"/>
                <w:color w:val="auto"/>
              </w:rPr>
            </w:pPr>
            <w:r>
              <w:rPr>
                <w:rFonts w:ascii="Arial" w:cs="Arial" w:eastAsia="Arial" w:hAnsi="Arial"/>
                <w:sz w:val="14"/>
                <w:szCs w:val="14"/>
                <w:color w:val="auto"/>
                <w:w w:val="89"/>
              </w:rPr>
              <w:t>Unrealized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spacing w:after="0" w:line="159" w:lineRule="exact"/>
              <w:rPr>
                <w:sz w:val="20"/>
                <w:szCs w:val="20"/>
                <w:color w:val="auto"/>
              </w:rPr>
            </w:pPr>
            <w:r>
              <w:rPr>
                <w:rFonts w:ascii="Arial" w:cs="Arial" w:eastAsia="Arial" w:hAnsi="Arial"/>
                <w:sz w:val="14"/>
                <w:szCs w:val="14"/>
                <w:color w:val="auto"/>
              </w:rPr>
              <w:t>Adjusted Cost</w:t>
            </w:r>
          </w:p>
        </w:tc>
        <w:tc>
          <w:tcPr>
            <w:tcW w:w="140" w:type="dxa"/>
            <w:vAlign w:val="bottom"/>
          </w:tcPr>
          <w:p>
            <w:pPr>
              <w:spacing w:after="0"/>
              <w:rPr>
                <w:sz w:val="13"/>
                <w:szCs w:val="13"/>
                <w:color w:val="auto"/>
              </w:rPr>
            </w:pPr>
          </w:p>
        </w:tc>
        <w:tc>
          <w:tcPr>
            <w:tcW w:w="1060" w:type="dxa"/>
            <w:vAlign w:val="bottom"/>
            <w:gridSpan w:val="2"/>
          </w:tcPr>
          <w:p>
            <w:pPr>
              <w:jc w:val="center"/>
              <w:ind w:right="380"/>
              <w:spacing w:after="0" w:line="159" w:lineRule="exact"/>
              <w:rPr>
                <w:sz w:val="20"/>
                <w:szCs w:val="20"/>
                <w:color w:val="auto"/>
              </w:rPr>
            </w:pPr>
            <w:r>
              <w:rPr>
                <w:rFonts w:ascii="Arial" w:cs="Arial" w:eastAsia="Arial" w:hAnsi="Arial"/>
                <w:sz w:val="14"/>
                <w:szCs w:val="14"/>
                <w:color w:val="auto"/>
                <w:w w:val="87"/>
              </w:rPr>
              <w:t>Gains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1"/>
              </w:rPr>
              <w:t>Losses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2,504</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September 30, 2012, the Company does not consider any of its marketable securities to be other than temporarily impaired.</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June 29, 2012, the Company acquired all of the stock of Decision Critical, Inc. (DCI), an Austin, Texas based company that specializes in learning and competency management products for acute-care hospitals. The Company acquired DCI to further advance its suite of talent management solutions. The consideration paid for DCI consisted of approximately $3.4 million in cash and 22,124 shares of our common stock. Also, the Company may make additional payments of up to $300,000, contingent upon achievement of certain financial targets and business outcomes. The Company incurred approximately $165,000 in transaction costs associated with the DCI acquisition. In allocating the purchase price, the Company recorded approximately $2.9 million of goodwill, $1.5 million of identifiable intangible assets, $346,000 of net tangible assets and $595,000 of deferred tax liabilities. The net tangible assets include deferred revenue, which in accordance with US GAAP, was adjusted down from a book value $573,000 to an estimated fair value of $373,000. The deferred revenue recorded represents the estimated fair value of the contractual obligation assumed as of the acquisition date. The $200,000 write-down of deferred revenue will result in lower revenues than would have otherwise been recognized for such services. The allocation of purchase price is preliminary and may be subject to change within the measurement period of one year from the acquisition date. The primary areas of the preliminary purchase price allocation that are not finalized include the composition and valuation of intangible assets, goodwill and deferred revenue. The results of operations for DCI have been included in the Company’s condensed consolidated financial statements from the date of acquisition.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primarily provides services to healthcare organizations and other members within the healthcare industry. The Company’s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the Company’s Annual Report on Form 10-K for the year ended December 31, 2011.</w:t>
      </w:r>
    </w:p>
    <w:p>
      <w:pPr>
        <w:spacing w:after="0" w:line="14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following is the Company’s business segment information as of and for the three and nine months ended September 30, 2012 and 2011 (in thousands).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color w:val="auto"/>
                <w:w w:val="93"/>
              </w:rPr>
              <w:t>Three Months Ended</w:t>
            </w:r>
          </w:p>
        </w:tc>
        <w:tc>
          <w:tcPr>
            <w:tcW w:w="1680" w:type="dxa"/>
            <w:vAlign w:val="bottom"/>
            <w:gridSpan w:val="7"/>
          </w:tcPr>
          <w:p>
            <w:pPr>
              <w:jc w:val="right"/>
              <w:ind w:righ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tcPr>
          <w:p>
            <w:pPr>
              <w:jc w:val="right"/>
              <w:ind w:right="760"/>
              <w:spacing w:after="0" w:line="159" w:lineRule="exact"/>
              <w:rPr>
                <w:sz w:val="20"/>
                <w:szCs w:val="20"/>
                <w:color w:val="auto"/>
              </w:rPr>
            </w:pPr>
            <w:r>
              <w:rPr>
                <w:rFonts w:ascii="Arial" w:cs="Arial" w:eastAsia="Arial" w:hAnsi="Arial"/>
                <w:sz w:val="14"/>
                <w:szCs w:val="14"/>
                <w:color w:val="auto"/>
              </w:rPr>
              <w:t>September 30,</w:t>
            </w:r>
          </w:p>
        </w:tc>
        <w:tc>
          <w:tcPr>
            <w:tcW w:w="1680" w:type="dxa"/>
            <w:vAlign w:val="bottom"/>
            <w:gridSpan w:val="7"/>
          </w:tcPr>
          <w:p>
            <w:pPr>
              <w:jc w:val="right"/>
              <w:ind w:right="480"/>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2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w w:val="96"/>
              </w:rPr>
              <w:t>2012</w:t>
            </w:r>
          </w:p>
        </w:tc>
        <w:tc>
          <w:tcPr>
            <w:tcW w:w="1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w w:val="96"/>
              </w:rPr>
              <w:t>2011</w:t>
            </w:r>
          </w:p>
        </w:tc>
        <w:tc>
          <w:tcPr>
            <w:tcW w:w="3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Learning</w:t>
            </w:r>
          </w:p>
        </w:tc>
        <w:tc>
          <w:tcPr>
            <w:tcW w:w="2860" w:type="dxa"/>
            <w:vAlign w:val="bottom"/>
            <w:gridSpan w:val="5"/>
          </w:tcPr>
          <w:p>
            <w:pPr>
              <w:jc w:val="right"/>
              <w:ind w:right="100"/>
              <w:spacing w:after="0"/>
              <w:rPr>
                <w:sz w:val="20"/>
                <w:szCs w:val="20"/>
                <w:color w:val="auto"/>
              </w:rPr>
            </w:pPr>
            <w:r>
              <w:rPr>
                <w:rFonts w:ascii="Arial" w:cs="Arial" w:eastAsia="Arial" w:hAnsi="Arial"/>
                <w:sz w:val="18"/>
                <w:szCs w:val="18"/>
                <w:color w:val="auto"/>
              </w:rPr>
              <w:t>$20,341</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$14,805</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$57,444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42,248</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w:t>
            </w: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17,927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net revenue</w:t>
            </w: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gridSpan w:val="2"/>
            <w:vMerge w:val="continue"/>
          </w:tcPr>
          <w:p>
            <w:pPr>
              <w:spacing w:after="0"/>
              <w:rPr>
                <w:sz w:val="19"/>
                <w:szCs w:val="19"/>
                <w:color w:val="auto"/>
              </w:rPr>
            </w:pPr>
          </w:p>
        </w:tc>
        <w:tc>
          <w:tcPr>
            <w:tcW w:w="2180" w:type="dxa"/>
            <w:vAlign w:val="bottom"/>
            <w:gridSpan w:val="2"/>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26,380</w:t>
            </w:r>
          </w:p>
        </w:tc>
        <w:tc>
          <w:tcPr>
            <w:tcW w:w="3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20,618</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75,894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60,175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Learning</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6,424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4,649</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13,124</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w:t>
            </w: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Unallocated</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(3,123)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(2,459)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(8,801)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(6,744)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income from operations</w:t>
            </w:r>
          </w:p>
        </w:tc>
        <w:tc>
          <w:tcPr>
            <w:tcW w:w="2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60" w:type="dxa"/>
            <w:vAlign w:val="bottom"/>
            <w:gridSpan w:val="6"/>
          </w:tcPr>
          <w:p>
            <w:pPr>
              <w:ind w:left="1760"/>
              <w:spacing w:after="0"/>
              <w:rPr>
                <w:sz w:val="20"/>
                <w:szCs w:val="20"/>
                <w:color w:val="auto"/>
              </w:rPr>
            </w:pPr>
            <w:r>
              <w:rPr>
                <w:rFonts w:ascii="Arial" w:cs="Arial" w:eastAsia="Arial" w:hAnsi="Arial"/>
                <w:sz w:val="14"/>
                <w:szCs w:val="14"/>
                <w:color w:val="auto"/>
              </w:rPr>
              <w:t>September 30, 2012</w:t>
            </w:r>
          </w:p>
        </w:tc>
        <w:tc>
          <w:tcPr>
            <w:tcW w:w="100" w:type="dxa"/>
            <w:vAlign w:val="bottom"/>
          </w:tcPr>
          <w:p>
            <w:pPr>
              <w:spacing w:after="0"/>
              <w:rPr>
                <w:sz w:val="24"/>
                <w:szCs w:val="24"/>
                <w:color w:val="auto"/>
              </w:rPr>
            </w:pPr>
          </w:p>
        </w:tc>
        <w:tc>
          <w:tcPr>
            <w:tcW w:w="1640" w:type="dxa"/>
            <w:vAlign w:val="bottom"/>
            <w:gridSpan w:val="5"/>
          </w:tcPr>
          <w:p>
            <w:pPr>
              <w:ind w:left="480"/>
              <w:spacing w:after="0"/>
              <w:rPr>
                <w:sz w:val="20"/>
                <w:szCs w:val="20"/>
                <w:color w:val="auto"/>
              </w:rPr>
            </w:pPr>
            <w:r>
              <w:rPr>
                <w:rFonts w:ascii="Arial" w:cs="Arial" w:eastAsia="Arial" w:hAnsi="Arial"/>
                <w:sz w:val="14"/>
                <w:szCs w:val="14"/>
                <w:color w:val="auto"/>
                <w:w w:val="92"/>
              </w:rPr>
              <w:t>December 31, 2011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17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80" w:type="dxa"/>
            <w:vAlign w:val="bottom"/>
          </w:tcPr>
          <w:p>
            <w:pPr>
              <w:ind w:left="440"/>
              <w:spacing w:after="0"/>
              <w:rPr>
                <w:sz w:val="20"/>
                <w:szCs w:val="20"/>
                <w:color w:val="auto"/>
              </w:rPr>
            </w:pPr>
            <w:r>
              <w:rPr>
                <w:rFonts w:ascii="Arial" w:cs="Arial" w:eastAsia="Arial" w:hAnsi="Arial"/>
                <w:sz w:val="18"/>
                <w:szCs w:val="18"/>
                <w:color w:val="auto"/>
              </w:rPr>
              <w:t>Learning</w:t>
            </w:r>
          </w:p>
        </w:tc>
        <w:tc>
          <w:tcPr>
            <w:tcW w:w="21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32,274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27,322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w:t>
            </w: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25,162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26,088</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780" w:type="dxa"/>
            <w:vAlign w:val="bottom"/>
          </w:tcPr>
          <w:p>
            <w:pPr>
              <w:ind w:left="440"/>
              <w:spacing w:after="0"/>
              <w:rPr>
                <w:sz w:val="20"/>
                <w:szCs w:val="20"/>
                <w:color w:val="auto"/>
              </w:rPr>
            </w:pPr>
            <w:r>
              <w:rPr>
                <w:rFonts w:ascii="Arial" w:cs="Arial" w:eastAsia="Arial" w:hAnsi="Arial"/>
                <w:sz w:val="18"/>
                <w:szCs w:val="18"/>
                <w:color w:val="auto"/>
              </w:rPr>
              <w:t>Unallocated</w:t>
            </w:r>
          </w:p>
        </w:tc>
        <w:tc>
          <w:tcPr>
            <w:tcW w:w="17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2"/>
              </w:rPr>
              <w:t>104,422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1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161,858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154,237</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220" w:right="260" w:hanging="212"/>
        <w:spacing w:after="0" w:line="306"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COLLABORATIVE ARRANGEMENT</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participates in a collaborative arrangement, SimVentures</w:t>
      </w:r>
      <w:r>
        <w:rPr>
          <w:rFonts w:ascii="Arial" w:cs="Arial" w:eastAsia="Arial" w:hAnsi="Arial"/>
          <w:sz w:val="10"/>
          <w:szCs w:val="10"/>
          <w:color w:val="auto"/>
        </w:rPr>
        <w:t>TM</w:t>
      </w:r>
      <w:r>
        <w:rPr>
          <w:rFonts w:ascii="Arial" w:cs="Arial" w:eastAsia="Arial" w:hAnsi="Arial"/>
          <w:sz w:val="16"/>
          <w:szCs w:val="16"/>
          <w:color w:val="auto"/>
        </w:rPr>
        <w:t>, with Laerdal Medical A/S (Laerdal Medical). The Company receives 50 percent of the profits or losses generated from this collaborative arrangement. For the nine months ended September 30, 2012, the Company has recorded approximately $1.2 million of revenues and $1.3 million of expenses related to the collaborative arrangement. For the nine months ended September 30, 2011, the Company recorded $0.5 million of revenues and $0.9 million of expenses related to the collaborative arrangement. The Company has also recorded approximately $1.0 million of capitalized software development for SimVentures during 2012.</w:t>
      </w:r>
    </w:p>
    <w:p>
      <w:pPr>
        <w:sectPr>
          <w:pgSz w:w="11900" w:h="16838" w:orient="portrait"/>
          <w:cols w:equalWidth="0" w:num="1">
            <w:col w:w="11400"/>
          </w:cols>
          <w:pgMar w:left="240" w:top="459" w:right="259" w:bottom="1440" w:gutter="0" w:footer="0" w:header="0"/>
        </w:sectPr>
      </w:pP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CONTENT RIGHTS AND DEFERRED SERVICE CREDITS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2012, the Company entered into a renewal agreement with a customer in which the Company was provided continued rights to distribute and resell courseware owned by the customer. In exchange for the receipt of an exclusive license to distribute and resell this courseware, the Company has provided, and will continue to provide, the customer with service credits that can be exchanged for future purchases of the Company’s products and services. The value assigned to the content rights and the deferred service credits was $500,000, which represents the estimated fair value of the assets relinquished. The content rights are classified within other prepaid expenses and other assets, and the deferred service credits are classified within accrued liabilities and other long-term liabilities on our condensed consolidated balance sheets.</w:t>
      </w:r>
    </w:p>
    <w:p>
      <w:pPr>
        <w:spacing w:after="0" w:line="12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These exchangeable service credits will be issued annually through December 31, 2016, and will expire twenty-four months after issuance. Any unused credits will be forfeited upon expiration. During 2012, the Company has issued exchangeable service credits of $100,000 in accordance with this agreement, and is obligated to issue remaining service credits of $100,000 annually through 2016. The content rights are being amortized on a straight-line basis through December 31, 2016. Revenues for products or services provided in exchange for these service credits will be recognized in accordance with the Company’s revenue recognition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19, 2012, the Company acquired all of the stock of Sy.Med Development, Inc., (Sy.Med) a Brentwood, Tennessee based company that specializes in credentialing related software products for healthcare providers. The Company acquired Sy.Med to further advance its suite of talent management solutions. The consideration paid for Sy.Med consisted of approximately $7.1 million in cash and 34,060 shares of our common stock, as well as a working capital adjustment payment of approximately $180,000. The Company may make additional payments of up to $1.5 million, contingent upon achievement of certain financial targets and business outcomes over the next two years. The Company does not expect the acquisition of Sy.Med to have a material impact on its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320"/>
        <w:spacing w:after="0" w:line="347"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2011, appearing in our Annual Report on Form 10-K that was filed with the Securities and Exchange Commission (“SEC”) on February 28, 2012, (the “2011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evaluating any forward-looking statement, you should specifically consider the information regarding forward-looking statements and the information set forth under the caption “Item 1A. Risk Factors” in our 2011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HealthStream provides Internet-based learning and research solutions for healthcare organizations—all designed to assess and develop the people that deliver patient care which, in turn, supports the improvement of business and clinical outcomes. Our learning products are used by healthcare organizations to meet a broad range of their training, certification, and development needs, while our research products provide our customers information about patients’ experiences, workforce engagement, physician relations, and community perceptions of their services. HealthStream’s customers include healthcare organizations, pharmaceutical and medical device companies, and other participants in the healthcare industry.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third quarter of 2012 include:</w:t>
      </w:r>
    </w:p>
    <w:p>
      <w:pPr>
        <w:spacing w:after="0" w:line="90"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of $26.4 million in the third quarter of 2012, up 28% from revenues of $20.6 million in the third quarter of 2011</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of $3.7 million in the third quarter of 2012, up 39% from operating income of $2.7 million in the third quarter of 2011</w:t>
      </w:r>
    </w:p>
    <w:p>
      <w:pPr>
        <w:spacing w:after="0" w:line="90" w:lineRule="exact"/>
        <w:rPr>
          <w:rFonts w:ascii="Arial" w:cs="Arial" w:eastAsia="Arial" w:hAnsi="Arial"/>
          <w:sz w:val="18"/>
          <w:szCs w:val="18"/>
          <w:color w:val="auto"/>
        </w:rPr>
      </w:pPr>
    </w:p>
    <w:p>
      <w:pPr>
        <w:ind w:left="440" w:right="14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$2.0 million in the third quarter of 2012, up 10% from net income of $1.8 million in the third quarter of 2011, and earnings per share (EPS) of $0.07 per share in the third quarter of 2012, compared to EPS of $0.08 per share in the third quarter of 2011</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1"/>
          <w:szCs w:val="11"/>
          <w:color w:val="auto"/>
        </w:rPr>
        <w:t>(1)</w:t>
      </w:r>
      <w:r>
        <w:rPr>
          <w:rFonts w:ascii="Arial" w:cs="Arial" w:eastAsia="Arial" w:hAnsi="Arial"/>
          <w:sz w:val="18"/>
          <w:szCs w:val="18"/>
          <w:color w:val="auto"/>
        </w:rPr>
        <w:t xml:space="preserve"> of $5.7 million in the third quarter of 2012, up 30% from $4.4 million in the third quarter of 2011</w:t>
      </w:r>
    </w:p>
    <w:p>
      <w:pPr>
        <w:spacing w:after="0" w:line="21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Adjusted EBITDA is a non-GAAP financial measure. A reconciliation of adjusted EBITDA to net income is included in this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5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Accrual for service credits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171"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2011 Form 10-K, which contains additional information regarding our accounting policies and other disclosures required by US GAAP. There have been no changes in our critical accounting policies and estimates from those reported in our 2011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June 29, 2012, the Company acquired all of the stock of Decision Critical, Inc. (DCI), an Austin, Texas based company that specializes in learning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competency management products for acute-care hospitals. The Company acquired DCI to further advance its suite of talent management solutions.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paid for DCI consisted of approximately $3.4 million in cash and 22,124 shares of our common stock. Also, the Company may make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of up to $300,000, contingent upon achievement of certain financial targets and business outcomes. In allocating the purchase price,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approximately $2.9 million of goodwill, $1.5 million of identifiable intangible assets, $346,000 of net tangible assets and $595,000 of deferred tax</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liabilities. The net tangible assets include deferred revenue, which in accordance with US GAAP, was adjusted down from a book value $573,000 to an estimated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fair value of $373,000. The deferred revenue recorded represents the estimated fair value of the contractual obligation assumed as of the acquisition date.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write-down of deferred revenue will result in lower revenues than would have otherwise been recognized for such services (See Reconciliation of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GAAP Financial Measures in Management’s Discussion and Analysis of Financial Condition and Results of Operations for a summary of the deferred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write-down impact on the 2012 financial results). The allocation of purchase price is preliminary and may be subject to change within the measurement period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year from the acquisition date. The primary areas of the preliminary purchase price allocation that are not finalized include the composition and valuation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goodwill and deferred revenue. The results of operations for DCI have been included in the Company’s condensed consolidated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from the date of acquisition.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2012 Compared to Three Months Ended September 30, 2011</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$5.8 million, or 27.9%, to $26.4 million for the three months ended September 30, 2012 from $20.6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2011. Revenues for 2012 consisted of $20.4 million, or 77% of total revenue, for HealthStream Learning and $6.0 million, or 23% of total revenue, for HealthStream Research. In 2011, revenues consisted of $14.8 million, or 72% of total revenue, for HealthStream Learning and $5.8 million, or 28% of total revenue, for HealthStream Research.</w:t>
      </w:r>
    </w:p>
    <w:p>
      <w:pPr>
        <w:spacing w:after="0" w:line="14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Revenues for HealthStream Learning increased $5.5 million, or 37.4%, over the third quarter of 2011. Revenues from our Internet-based subscription learning products increased by $4.9 million, or 34.9%, over the prior year third quarter due to a higher number of subscribers and more courseware consumption by subscribers. Our HLC subscriber base increased to 2,869,000 fully-implemented subscribers and 2,975,000 contracted subscribers at September 30, 2012 compared to 2,536,000 fully-implemented subscribers and 2,653,000 contracted subscribers at September 30, 2011. “Contracted subscribers” include both those already implemented (2,869,000 and 2,536,000 at September 30, 2012 and 2011, respectively) and those in the process of implementation (106,000 and 117,000 at September 30, 2012 and 2011, respectively). Revenues from SimVentures, our collaborative arrangement with Laerdal Medical, increased by $98,000 and approximated $419,000 during the third quarter of 2012 compared to $321,000 during the third quarter of 2011. Revenues from project-based services increased by $503,000 compared to the prior year third quarter.</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Revenues for HealthStream Research increased $227,000, or 3.9%, over the third quarter of 2011. Revenues from Patient Insights™ surveys, our survey research product that generates recurring revenues, increased by $371,000, or 8.2%, over the prior year third quarter. Revenues from other surveys, which are conducted on annual or bi-annual cycles, declined by $144,000, or 11.4%, compared to the prior year third quarter due to fewer survey engagements.</w:t>
      </w:r>
    </w:p>
    <w:p>
      <w:pPr>
        <w:spacing w:after="0" w:line="10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$2.9 million, or 36.5%, to $10.8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2012 from $7.9 million for the three months ended September 30, 2011. Cost of revenues as a percentage of revenues was 41.0% of revenues for the three months ended September 30, 2012 compared to 38.4% of revenues for the three months ended September 30, 2011. Cost of revenues for HealthStream Learning increased approximately $2.7 million to $7.5 million and approximated 37.0% and 32.5% of revenues for HealthStream Learning for the three months ended September 30, 2012 and 2011, respectively. The increase is primarily associated with increased royalties paid by us resulting from growth in courseware subscription revenues, increased personnel costs, and increased costs associated with project-based services. Cost of revenues for HealthStream Research increased approximately $164,000 to $3.3 million and approximated 54.2% and 53.5% of revenues for HealthStream Research for the three months ended September 30, 2012 and 2011, respectively. The increase in amount is primarily the result of additional costs associated with the growth in patient survey volume over the prior year third quarter.</w:t>
      </w:r>
    </w:p>
    <w:p>
      <w:pPr>
        <w:sectPr>
          <w:pgSz w:w="11900" w:h="16838" w:orient="portrait"/>
          <w:cols w:equalWidth="0" w:num="1">
            <w:col w:w="11360"/>
          </w:cols>
          <w:pgMar w:left="240" w:top="459" w:right="299" w:bottom="1440" w:gutter="0" w:footer="0" w:header="0"/>
        </w:sectPr>
      </w:pP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60"/>
          </w:cols>
          <w:pgMar w:left="240" w:top="459" w:right="2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$331,000, or 17.0%, to $2.3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2012 from $2.0 million for the three months ended September 30, 2011. Product development expenses as a percentage of revenues were 8.6% and 9.4% of revenues for the three months ended September 30, 2012 and 2011, respectively.</w:t>
      </w:r>
    </w:p>
    <w:p>
      <w:pPr>
        <w:spacing w:after="0" w:line="140"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Product development expenses for HealthStream Learning increased approximately $355,000 and approximated 9.2% and 10.3% of revenues for HealthStream Learning for the three months ended September 30, 2012 and 2011, respectively. The decrease as a percentage of revenue is the result of the growth in revenues over the prior year third quarter, while the increase in amount is due to additional personnel expenses associated with the maintenance of our platform, as well as working on new product development initiatives. Product development expenses for HealthStream Research decreased approximately $24,000 and approximated 6.7% and 7.3% of revenues for HealthStream Research for the three months ended September 30, 2012 and 2011, respectively.</w:t>
      </w:r>
    </w:p>
    <w:p>
      <w:pPr>
        <w:spacing w:after="0" w:line="1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$613,000, or 16.1%, to $4.4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2012 from $3.8 million for the three months ended September 30, 2011. Sales and marketing expenses were 16.8% and 18.5% of revenues for the three months ended September 30, 2012 and 2011, respectively.</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Sales and marketing expenses for HealthStream Learning increased $387,000 and approximated 15.0% and 18.0% of revenues for HealthStream Learning for the three months ended September 30, 2012 and 2011, respectively. This increase in amount was associated with additional personnel and related expenses and increased commissions associated with higher sales performance compared to the prior year. Sales and marketing expenses for HealthStream Research increased approximately $229,000, and approximated 21.3% and 18.2% of revenues for HealthStream Research for the three months ended September 30, 2012 and 2011, respectively. The expense increase was primarily due to additional personnel and related expenses and increased commissions associated with higher sales performance compared to the prior year.</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$690,000, or 24.8%, to $3.5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2012 from $2.8 million for the three months ended September 30, 2011. Other general and administrative expenses as a percentage of revenues were 13.2% and 13.5% of revenues for the three months ended September 30, 2012 and 2011, respectively.</w:t>
      </w:r>
    </w:p>
    <w:p>
      <w:pPr>
        <w:spacing w:after="0" w:line="1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Other general and administrative expenses for HealthStream Learning increased $200,000 over the prior year third quarter primarily due to employee recruiting costs and other support costs, while other general and administrative expenses for HealthStream Research decreased $67,000 compared to the prior year third quarter primarily due to lower personnel costs. The unallocated corporate portion of other general and administrative expenses increased $557,000 over the prior year third quarter, primarily associated with additional personnel, professional fees, stock based compensation expense, rent, franchise taxes, and other general expenses.</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$201,000, or 13.7%, to $1.7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2012 from $1.5 million for the three months ended September 30, 2011. The increase primarily resulted from amortization of capitalized software development assets and DCI intangible assets within HealthStream Learning and higher depreciation expense associated with leasehold improvements to our Nashville, Tennessee office space.</w:t>
      </w:r>
    </w:p>
    <w:p>
      <w:pPr>
        <w:spacing w:after="0" w:line="14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net was approximately $42,000 for the three months ended September 30, 2012 compared to a net expense of $8,000</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September 30, 2011. The improvement is associated with income from investments in marketable securities.</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$1.8 million for the three months ended September 30, 2012 compared to $890,000</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2011. The Company’s effective tax rate was 47.6% for the third quarter of 2012 compared to 33.1% for the third quarter of 2011. The increase in the effective tax rate compared to the prior year third quarter was due to several factors, including changes in estimated state apportionment factors, stock based compensation, and other permanent tax differences.</w:t>
      </w:r>
    </w:p>
    <w:p>
      <w:pPr>
        <w:spacing w:after="0" w:line="14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increased approximately $181,000, or 10.1%, to $2.0 million for the three months ended September 30, 2012 from $1.8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2011. Earnings per diluted share were $0.07 per share for the three months ended September 30, 2012, compared to $0.08 per diluted share for the three months ended September 30, 2011. A key factor impacting the comparison of EPS (diluted) for the third quarter of 2012 to EPS (diluted) for the third quarter of 2011 was the effect of additional shares of the Company’s common stock outstanding that were issued during the Company’s fourth quarter 2011 stock offering. The impact of the stock offering increased the outstanding share count by approximately 3.6 million shares for the three months ended September 30, 2012 compared to the three months ended September 30,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Adjusted EBITDA (which we define as net income before interest, income taxes, stock-based compensation, and depreciation and amortization) increased by 30.0% to approximately $5.7 million for the three months ended September 30, 2012 compared to $4.4 million for the three months ended September 30, 2011.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2012 Compared to Nine Months Ended September 30, 2011</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$15.7 million, or 26.1%, to $75.9 million for the nine months ended September 30, 2012 from $60.2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2011. Revenues for 2012 consisted of $57.4 million, or 76% of total revenue, for HealthStream Learning and $18.5 million, or 24% of total revenue, for HealthStream Research. In 2011, revenues consisted of $42.3 million, or 70% of total revenue, for HealthStream Learning and $17.9 million, or 30% of total revenue, for HealthStream Research.</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Revenues for the first nine months of 2012 for HealthStream Learning increased $15.2 million, or 36.0%, over the first nine months of 2011. Revenues from our Internet-based subscription learning products increased by $12.7 million, or 31.6% over the prior year period due to a higher number of subscribers and more courseware consumption by subscribers. Revenues from project-based services increased by $1.8 million compared to the prior year period due to more engagements than the prior year. Revenues from SimVentures, our collaborative arrangement with Laerdal Medical, increased approximately $716,000 over the prior year period.</w:t>
      </w:r>
    </w:p>
    <w:p>
      <w:pPr>
        <w:spacing w:after="0" w:line="14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Revenues for HealthStream Research increased $524,000, or 2.9%, over 2011. Revenues from Patient Insights™ surveys, our survey research product that generates recurring revenues, increased by $1.2 million, or 9.2%, over the prior year. Revenues from other surveys, which are conducted on annual or bi-annual cycles, declined by $692,000, or 14.7%, compared to the prior year due to fewer survey engagements.</w:t>
      </w:r>
    </w:p>
    <w:p>
      <w:pPr>
        <w:spacing w:after="0" w:line="10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$7.9 million, or 35.0%, to $30.5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2012 from $22.6 million for the nine months ended September 30, 2011. Cost of revenues as a percentage of revenues was 40.2% of revenues for the nine months ended September 30, 2012 compared to 37.6% of revenues for the nine months ended September 30, 2011. Cost of revenues for HealthStream Learning increased approximately $7.4 million to $20.1 million and approximated 36.4% and 32.0% of revenues for HealthStream Learning for the nine months ended September 30, 2012 and 2011, respectively. The increase is primarily associated with increased royalties paid by us resulting from growth in courseware subscription revenues, increased personnel expenses, and increased costs associated with project-based services. Cost of revenues for HealthStream Research increased approximately $519,000 to $9.6 million and approximated 52.3% and 50.9% of revenues for HealthStream Research for the nine months ended September 30, 2012 and 2011, respectively. The increase in amount is primarily the result of additional costs associated with the growth in patient survey volume over the prior year.</w:t>
      </w:r>
    </w:p>
    <w:p>
      <w:pPr>
        <w:spacing w:after="0" w:line="12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$684,000, or 12.1%, to $6.3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2012 from $5.6 million for the nine months ended September 30, 2011. Product development expenses as a percentage of revenues were 8.3% and 9.4% of revenues for the nine months ended September 30, 2012 and 2011, respectively.</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Product development expenses for HealthStream Learning increased approximately $629,000 and approximated 8.9% and 10.6% of revenues for HealthStream Learning for the nine months ended September 30, 2012 and 2011, respectively. The decrease as a percentage of revenue is the result of the growth in revenues over the prior year period, while the increase in amount is due to additional personnel expenses associated with the maintenance of our platform, as well as working on new product development initiatives. Product development expenses for HealthStream Research increased approximately $55,000 and approximated 6.6% and 6.5% of revenues for HealthStream Research for the nine months ended September 30, 2012 and 2011, respectively.</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$2.9 million, or 25.4%, to $14.6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2012 from $11.7 million for the nine months ended September 30, 2011. Sales and marketing expenses were 19.3% and 19.4% of revenues for the nine months ended September 30, 2012 and 2011,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expenses for HealthStream Learning increased approximately $2.4 million and approximated 17.9% and 18.6% of revenues for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HealthStream Learning for the nine months ended September 30, 2012 and 2011, respectively. This expense increase is primarily due to additional personnel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related expenses, increased travel expenses, increased marketing spending, increased expenses for our annual customer Summit, and increased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higher sales performance compared to the prior year period. Sales and marketing expenses for HealthStream Research increased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$553,000, and approximated 22.0% and 19.5% of revenues for HealthStream Research for the nine months ended September 30, 2012 and 2011, respectively.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expense increase was primarily due to additional personnel and related expenses and increased commissions.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$1.5 million, or 18.5%, to $9.5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2012 from $8.0 million for the nine months ended September 30, 2011. Other general and administrative expenses as a percentage of revenues were 12.5% and 13.3% of revenues for the nine months ended September 30, 2012 and 2011, respectively.</w:t>
      </w:r>
    </w:p>
    <w:p>
      <w:pPr>
        <w:spacing w:after="0" w:line="107"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Other general and administrative expenses for HealthStream Learning increased $302,000 over the prior year period primarily due to employee recruiting costs, rent, and other support costs, while other general and administrative expenses for HealthStream Research decreased $237,000 compared to the prior year period primarily due to lower personnel costs. The unallocated corporate portion of other general and administrative expenses increased $1.4 million over the prior year period, primarily associated with additional personnel, professional fees, stock based compensation expense, rent, franchise taxes, and other general expenses, as well as one-time expenses associated with the acquisition of DCI.</w:t>
      </w:r>
    </w:p>
    <w:p>
      <w:pPr>
        <w:spacing w:after="0" w:line="1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$911,000, or 23.5%, to $4.8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2012 from $3.9 million for the nine months ended September 30, 2011. The increase primarily resulted from amortization of capitalized software development assets and DCI intangible assets within HealthStream Learning and depreciation expense associated with leasehold improvements to our Nashville, Tennessee office space.</w:t>
      </w:r>
    </w:p>
    <w:p>
      <w:pPr>
        <w:spacing w:after="0" w:line="143"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net was approximately $87,000 for the nine months ended September 30, 2012 compared to $8,000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2011. The improvement over the prior year period was associated with higher interest income from investments in marketable securities.</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$4.4 million for the nine months ended September 30, 2012 compared to $3.2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2011. The Company’s effective tax rate was 42.9% for 2012 compared to 38.4% for 2011. The increase in the effective tax rate primarily resulted from changes in certain state apportionment factor estimates, which resulted in a higher proportion of income subject to taxation in those states and a reduction in our state operating loss carryforwards. We expect the full year 2012 effective tax rate to range between 41 and 44 percent, compared to the full year 2011 effective tax rate of 39%. Actual tax payments will be substantially less than our income tax provision until we utilize our federal and state net operating loss carry-forwards of approximately $14.5 million and $8.7 million, respectively, at December 31, 2011, to offset taxable income.</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increased approximately $672,000, or 13.0%, to $5.8 million for the nine months ended September 30, 2012 from $5.2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2011. Earnings per diluted share were $0.21 per share for the nine months ended September 30, 2012, compared to $0.22 per diluted share for the nine months ended September 30, 2011. A key factor impacting the comparison of EPS (diluted) for the first nine months of 2012 to EPS (diluted) for the first nine months of 2011 was the effect of additional shares of the Company’s common stock outstanding that were issued during the Company’s fourth quarter 2011 stock offering. The impact of the stock offering increased the outstanding share count by approximately 3.6 million shares for the nine months ended September 30, 2012 compared to the nine months ended September 30, 2011.</w:t>
      </w:r>
    </w:p>
    <w:p>
      <w:pPr>
        <w:spacing w:after="0" w:line="12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Adjusted EBITDA increased by 22.6% to approximately $15.7 million for the nine months ended September 30, 2012 compared to $12.8 million for the nine months ended September 30, 2011.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non-GAAP revenue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4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compensation; it does not reflect changes in, or cash requirements for, our working capital needs; and due to the Company’s utilization of federal and state net operating loss carryforwards in 2011 and 2012,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discussed elsewhere in this report, the Company completed the acquisition of DCI during June 2012. In accordance with US GAAP reporting requirements for fair value, we recorded a deferred revenue write-down of approximately $200,000. This write-down will result in lower revenues than would have otherwise been recognized for such services.</w:t>
      </w:r>
    </w:p>
    <w:p>
      <w:pPr>
        <w:spacing w:after="0" w:line="14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order to provide more accurate trends and comparisons of the Company’s revenues, operating income, and net income, management believes that adding back the deferred revenue write-down associated with fair value accounting for acquired businesses provides a better indication of the ongoing performance of the Company. The revenue for the acquired contracts is deferred and typically recognized over a one year period, so our US GAAP revenues for the one year period after the acquisition will not reflect the full amount of revenues that would have been reported if the acquired deferred revenue was not written down to fair value.</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color w:val="auto"/>
                <w:w w:val="94"/>
              </w:rPr>
              <w:t>Three Months Ended</w:t>
            </w:r>
          </w:p>
        </w:tc>
        <w:tc>
          <w:tcPr>
            <w:tcW w:w="100" w:type="dxa"/>
            <w:vAlign w:val="bottom"/>
          </w:tcPr>
          <w:p>
            <w:pPr>
              <w:spacing w:after="0"/>
              <w:rPr>
                <w:sz w:val="14"/>
                <w:szCs w:val="14"/>
                <w:color w:val="auto"/>
              </w:rPr>
            </w:pPr>
          </w:p>
        </w:tc>
        <w:tc>
          <w:tcPr>
            <w:tcW w:w="1580" w:type="dxa"/>
            <w:vAlign w:val="bottom"/>
            <w:gridSpan w:val="6"/>
          </w:tcPr>
          <w:p>
            <w:pPr>
              <w:jc w:val="right"/>
              <w:ind w:right="340"/>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6"/>
          </w:tcPr>
          <w:p>
            <w:pPr>
              <w:jc w:val="right"/>
              <w:ind w:right="800"/>
              <w:spacing w:after="0" w:line="15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3"/>
                <w:szCs w:val="13"/>
                <w:color w:val="auto"/>
              </w:rPr>
            </w:pPr>
          </w:p>
        </w:tc>
        <w:tc>
          <w:tcPr>
            <w:tcW w:w="1580" w:type="dxa"/>
            <w:vAlign w:val="bottom"/>
            <w:gridSpan w:val="6"/>
          </w:tcPr>
          <w:p>
            <w:pPr>
              <w:jc w:val="right"/>
              <w:ind w:right="500"/>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96"/>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GAAP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15,731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12,829</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GAAP revenues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26,380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20,618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75,894</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60,175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for deferred revenue write-down</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Non-GAAP revenues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26,472</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20,618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75,986</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10,113</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Adjustment for deferred revenue write-down</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10,205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8,357</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GAAP net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1,977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1,796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5,824</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for deferred revenue write-down, net of tax</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2,030</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1,796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5,877</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Net cash provided by operating activities was approximately $15.6 million and $14.5 million during the nine months ended September 30, 2012 and 2011, respectively. The Company’s primary sources of cash were receipts generated from the sales of our products and services. Days sales outstanding (“DSO”) which is calculated by dividing the accounts receivable balance, excluding unbilled and other receivables, by average daily revenues for the quarter, approximated 55 days for the third quarter of 2012 compared to 59 days for the third quarter of 2011.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4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Net cash used in investing activities was approximately $69.6 million and $3.1 million for the nine months ended September 30, 2012 and 2011, respectively. During 2012, the Company purchased $95.3 million of marketable securities, utilized $2.9 million (net of cash acquired) to acquire DCI, spent $3.1 million for capitalized software development, purchased $3.2 million of property and equipment, and made $0.3 million in other investments. These uses of cash were partially offset by maturities of marketable securities of $35.1 million. During 2011, the Company purchased $4.7 million of marketable securities, spent $5.2 million for capitalized software development, and purchased $3.6 million of property and equipment. These uses of cash were partially offset by maturities and sales of marketable securities of $10.4 million.</w:t>
      </w:r>
    </w:p>
    <w:p>
      <w:pPr>
        <w:spacing w:after="0" w:line="14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Cash provided by financing activities was approximately $791,000 and $1.0 million for the nine months ended September 30, 2012 and 2011, respectively. The primary source of cash from financing activities for 2012 and 2011 resulted from proceeds associated with the exercise of stock options.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Revenues increased and operating income improved over the prior year period, and our balance sheet reflects positive working capital of $86.8 million at September 30, 2012 compared to $78.6 million at December 31, 2011. The increase in working capital was primarily due to the cash generated from operations. The Company’s primary source of liquidity is $95.9 million of cash and cash equivalents and marketable securities. The Company also has a $20.0 million revolving credit facility loan agreement, all of which was available at September 30, 2012.</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seven years, we have utilized our federal and state net operating loss carryforwards to offset taxable income. We anticipate our remaining net operating loss carryforwards will become fully utilized within the next 12 months. Our actual tax payments may increase significantly once the net operating loss carryforwards are fully utilized. As part of our growth strategy, we review possible acquisitions that complement our products and services. We anticipate that future acquisitions, if any, would be effected through a combination of stock and cash consideration. The issuance of our stock as consideration for an acquisition could have a dilutive effect on earnings per share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As of September 30, 2012, we believe we were in compliance with all covenants. The credit markets have been experiencing extreme volatility and disruption, and we cannot provide assurances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exposed to market risk from changes in interest rates. We do not have any foreign currency exchange rate risk or commodity price risk. As of September 30, 2012, the Company had no outstanding debt.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exposed to market risk with respect to our cash and investment balances, which approximated $95.9 million at September 30, 2012. Assuming a hypothetical 10% decrease in interest rates, interest income from cash and investments would decrease on an annualized basis by approximately $28,000.</w:t>
      </w:r>
    </w:p>
    <w:p>
      <w:pPr>
        <w:spacing w:after="0" w:line="14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9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420" w:type="dxa"/>
            <w:vAlign w:val="bottom"/>
          </w:tcPr>
          <w:p>
            <w:pPr>
              <w:jc w:val="right"/>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19"/>
                <w:szCs w:val="19"/>
                <w:color w:val="auto"/>
              </w:rPr>
            </w:pPr>
          </w:p>
        </w:tc>
        <w:tc>
          <w:tcPr>
            <w:tcW w:w="8880" w:type="dxa"/>
            <w:vAlign w:val="bottom"/>
          </w:tcPr>
          <w:p>
            <w:pPr>
              <w:ind w:left="60"/>
              <w:spacing w:after="0"/>
              <w:rPr>
                <w:sz w:val="20"/>
                <w:szCs w:val="20"/>
                <w:color w:val="auto"/>
              </w:rPr>
            </w:pPr>
            <w:r>
              <w:rPr>
                <w:rFonts w:ascii="Arial" w:cs="Arial" w:eastAsia="Arial" w:hAnsi="Arial"/>
                <w:sz w:val="18"/>
                <w:szCs w:val="18"/>
                <w:color w:val="auto"/>
              </w:rPr>
              <w:t>–  Certification of the Chief Executive Officer Pursuant to Section 302 of the Sarbanes-Oxley Act of 2002</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8880" w:type="dxa"/>
            <w:vAlign w:val="bottom"/>
          </w:tcPr>
          <w:p>
            <w:pPr>
              <w:ind w:left="60"/>
              <w:spacing w:after="0"/>
              <w:rPr>
                <w:sz w:val="20"/>
                <w:szCs w:val="20"/>
                <w:color w:val="auto"/>
              </w:rPr>
            </w:pPr>
            <w:r>
              <w:rPr>
                <w:rFonts w:ascii="Arial" w:cs="Arial" w:eastAsia="Arial" w:hAnsi="Arial"/>
                <w:sz w:val="18"/>
                <w:szCs w:val="18"/>
                <w:color w:val="auto"/>
              </w:rPr>
              <w:t>–  Certification of the Principal Financial Officer Pursuant to Section 302 of the Sarbanes-Oxley Act of 2002</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4"/>
                <w:szCs w:val="24"/>
                <w:color w:val="auto"/>
              </w:rPr>
            </w:pPr>
          </w:p>
        </w:tc>
        <w:tc>
          <w:tcPr>
            <w:tcW w:w="8880" w:type="dxa"/>
            <w:vAlign w:val="bottom"/>
          </w:tcPr>
          <w:p>
            <w:pPr>
              <w:ind w:left="60"/>
              <w:spacing w:after="0"/>
              <w:rPr>
                <w:sz w:val="20"/>
                <w:szCs w:val="20"/>
                <w:color w:val="auto"/>
              </w:rPr>
            </w:pPr>
            <w:r>
              <w:rPr>
                <w:rFonts w:ascii="Arial" w:cs="Arial" w:eastAsia="Arial" w:hAnsi="Arial"/>
                <w:sz w:val="18"/>
                <w:szCs w:val="18"/>
                <w:color w:val="auto"/>
                <w:w w:val="89"/>
              </w:rPr>
              <w:t>–  Certification Pursuant to 18 U.S.C. Section 1350, as Adopted Pursuant to Section 906 of the Sarbanes-Oxley Act of 2002</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24"/>
                <w:szCs w:val="24"/>
                <w:color w:val="auto"/>
              </w:rPr>
            </w:pPr>
          </w:p>
        </w:tc>
        <w:tc>
          <w:tcPr>
            <w:tcW w:w="8880" w:type="dxa"/>
            <w:vAlign w:val="bottom"/>
          </w:tcPr>
          <w:p>
            <w:pPr>
              <w:ind w:left="60"/>
              <w:spacing w:after="0"/>
              <w:rPr>
                <w:sz w:val="20"/>
                <w:szCs w:val="20"/>
                <w:color w:val="auto"/>
              </w:rPr>
            </w:pPr>
            <w:r>
              <w:rPr>
                <w:rFonts w:ascii="Arial" w:cs="Arial" w:eastAsia="Arial" w:hAnsi="Arial"/>
                <w:sz w:val="18"/>
                <w:szCs w:val="18"/>
                <w:color w:val="auto"/>
                <w:w w:val="89"/>
              </w:rPr>
              <w:t>–  Certification Pursuant to 18 U.S.C. Section 1350, as Adopted Pursuant to Section 906 of the Sarbanes-Oxley Act of 2002</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w w:val="84"/>
              </w:rPr>
              <w:t>101.1</w:t>
            </w:r>
          </w:p>
        </w:tc>
        <w:tc>
          <w:tcPr>
            <w:tcW w:w="520" w:type="dxa"/>
            <w:vAlign w:val="bottom"/>
          </w:tcPr>
          <w:p>
            <w:pPr>
              <w:ind w:left="20"/>
              <w:spacing w:after="0"/>
              <w:rPr>
                <w:sz w:val="20"/>
                <w:szCs w:val="20"/>
                <w:color w:val="auto"/>
              </w:rPr>
            </w:pPr>
            <w:r>
              <w:rPr>
                <w:rFonts w:ascii="Arial" w:cs="Arial" w:eastAsia="Arial" w:hAnsi="Arial"/>
                <w:sz w:val="18"/>
                <w:szCs w:val="18"/>
                <w:color w:val="auto"/>
              </w:rPr>
              <w:t>INS*</w:t>
            </w:r>
          </w:p>
        </w:tc>
        <w:tc>
          <w:tcPr>
            <w:tcW w:w="8880" w:type="dxa"/>
            <w:vAlign w:val="bottom"/>
          </w:tcPr>
          <w:p>
            <w:pPr>
              <w:ind w:left="60"/>
              <w:spacing w:after="0"/>
              <w:rPr>
                <w:sz w:val="20"/>
                <w:szCs w:val="20"/>
                <w:color w:val="auto"/>
              </w:rPr>
            </w:pPr>
            <w:r>
              <w:rPr>
                <w:rFonts w:ascii="Arial" w:cs="Arial" w:eastAsia="Arial" w:hAnsi="Arial"/>
                <w:sz w:val="18"/>
                <w:szCs w:val="18"/>
                <w:color w:val="auto"/>
              </w:rPr>
              <w:t>–  XBRL Instance Document</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w w:val="96"/>
              </w:rPr>
              <w:t>101.1 SCH*</w:t>
            </w:r>
          </w:p>
        </w:tc>
        <w:tc>
          <w:tcPr>
            <w:tcW w:w="8880" w:type="dxa"/>
            <w:vAlign w:val="bottom"/>
          </w:tcPr>
          <w:p>
            <w:pPr>
              <w:ind w:left="60"/>
              <w:spacing w:after="0"/>
              <w:rPr>
                <w:sz w:val="20"/>
                <w:szCs w:val="20"/>
                <w:color w:val="auto"/>
              </w:rPr>
            </w:pPr>
            <w:r>
              <w:rPr>
                <w:rFonts w:ascii="Arial" w:cs="Arial" w:eastAsia="Arial" w:hAnsi="Arial"/>
                <w:sz w:val="18"/>
                <w:szCs w:val="18"/>
                <w:color w:val="auto"/>
              </w:rPr>
              <w:t>–  XBRL Taxonomy Extension Schema</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w w:val="84"/>
              </w:rPr>
              <w:t>101.1</w:t>
            </w:r>
          </w:p>
        </w:tc>
        <w:tc>
          <w:tcPr>
            <w:tcW w:w="520" w:type="dxa"/>
            <w:vAlign w:val="bottom"/>
          </w:tcPr>
          <w:p>
            <w:pPr>
              <w:ind w:left="20"/>
              <w:spacing w:after="0"/>
              <w:rPr>
                <w:sz w:val="20"/>
                <w:szCs w:val="20"/>
                <w:color w:val="auto"/>
              </w:rPr>
            </w:pPr>
            <w:r>
              <w:rPr>
                <w:rFonts w:ascii="Arial" w:cs="Arial" w:eastAsia="Arial" w:hAnsi="Arial"/>
                <w:sz w:val="18"/>
                <w:szCs w:val="18"/>
                <w:color w:val="auto"/>
              </w:rPr>
              <w:t>CAL*</w:t>
            </w:r>
          </w:p>
        </w:tc>
        <w:tc>
          <w:tcPr>
            <w:tcW w:w="8880" w:type="dxa"/>
            <w:vAlign w:val="bottom"/>
          </w:tcPr>
          <w:p>
            <w:pPr>
              <w:ind w:left="60"/>
              <w:spacing w:after="0"/>
              <w:rPr>
                <w:sz w:val="20"/>
                <w:szCs w:val="20"/>
                <w:color w:val="auto"/>
              </w:rPr>
            </w:pPr>
            <w:r>
              <w:rPr>
                <w:rFonts w:ascii="Arial" w:cs="Arial" w:eastAsia="Arial" w:hAnsi="Arial"/>
                <w:sz w:val="18"/>
                <w:szCs w:val="18"/>
                <w:color w:val="auto"/>
              </w:rPr>
              <w:t>–  XBRL Taxonomy Extension Calculation Linkbase</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w w:val="84"/>
              </w:rPr>
              <w:t>101.1</w:t>
            </w:r>
          </w:p>
        </w:tc>
        <w:tc>
          <w:tcPr>
            <w:tcW w:w="520" w:type="dxa"/>
            <w:vAlign w:val="bottom"/>
          </w:tcPr>
          <w:p>
            <w:pPr>
              <w:ind w:left="20"/>
              <w:spacing w:after="0"/>
              <w:rPr>
                <w:sz w:val="20"/>
                <w:szCs w:val="20"/>
                <w:color w:val="auto"/>
              </w:rPr>
            </w:pPr>
            <w:r>
              <w:rPr>
                <w:rFonts w:ascii="Arial" w:cs="Arial" w:eastAsia="Arial" w:hAnsi="Arial"/>
                <w:sz w:val="18"/>
                <w:szCs w:val="18"/>
                <w:color w:val="auto"/>
              </w:rPr>
              <w:t>DEF*</w:t>
            </w:r>
          </w:p>
        </w:tc>
        <w:tc>
          <w:tcPr>
            <w:tcW w:w="8880" w:type="dxa"/>
            <w:vAlign w:val="bottom"/>
          </w:tcPr>
          <w:p>
            <w:pPr>
              <w:ind w:left="60"/>
              <w:spacing w:after="0"/>
              <w:rPr>
                <w:sz w:val="20"/>
                <w:szCs w:val="20"/>
                <w:color w:val="auto"/>
              </w:rPr>
            </w:pPr>
            <w:r>
              <w:rPr>
                <w:rFonts w:ascii="Arial" w:cs="Arial" w:eastAsia="Arial" w:hAnsi="Arial"/>
                <w:sz w:val="18"/>
                <w:szCs w:val="18"/>
                <w:color w:val="auto"/>
              </w:rPr>
              <w:t>–  XBRL Taxonomy Extension Definition Linkbase</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8880" w:type="dxa"/>
            <w:vAlign w:val="bottom"/>
          </w:tcPr>
          <w:p>
            <w:pPr>
              <w:ind w:left="60"/>
              <w:spacing w:after="0"/>
              <w:rPr>
                <w:sz w:val="20"/>
                <w:szCs w:val="20"/>
                <w:color w:val="auto"/>
              </w:rPr>
            </w:pPr>
            <w:r>
              <w:rPr>
                <w:rFonts w:ascii="Arial" w:cs="Arial" w:eastAsia="Arial" w:hAnsi="Arial"/>
                <w:sz w:val="18"/>
                <w:szCs w:val="18"/>
                <w:color w:val="auto"/>
              </w:rPr>
              <w:t>–  XBRL Taxonomy Extension Label Linkbase</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w w:val="84"/>
              </w:rPr>
              <w:t>101.1</w:t>
            </w:r>
          </w:p>
        </w:tc>
        <w:tc>
          <w:tcPr>
            <w:tcW w:w="520" w:type="dxa"/>
            <w:vAlign w:val="bottom"/>
          </w:tcPr>
          <w:p>
            <w:pPr>
              <w:ind w:left="20"/>
              <w:spacing w:after="0"/>
              <w:rPr>
                <w:sz w:val="20"/>
                <w:szCs w:val="20"/>
                <w:color w:val="auto"/>
              </w:rPr>
            </w:pPr>
            <w:r>
              <w:rPr>
                <w:rFonts w:ascii="Arial" w:cs="Arial" w:eastAsia="Arial" w:hAnsi="Arial"/>
                <w:sz w:val="18"/>
                <w:szCs w:val="18"/>
                <w:color w:val="auto"/>
              </w:rPr>
              <w:t>PRE*</w:t>
            </w:r>
          </w:p>
        </w:tc>
        <w:tc>
          <w:tcPr>
            <w:tcW w:w="8880" w:type="dxa"/>
            <w:vAlign w:val="bottom"/>
          </w:tcPr>
          <w:p>
            <w:pPr>
              <w:ind w:left="60"/>
              <w:spacing w:after="0"/>
              <w:rPr>
                <w:sz w:val="20"/>
                <w:szCs w:val="20"/>
                <w:color w:val="auto"/>
              </w:rPr>
            </w:pPr>
            <w:r>
              <w:rPr>
                <w:rFonts w:ascii="Arial" w:cs="Arial" w:eastAsia="Arial" w:hAnsi="Arial"/>
                <w:sz w:val="18"/>
                <w:szCs w:val="18"/>
                <w:color w:val="auto"/>
              </w:rPr>
              <w:t>–  XBRL Taxonomy Extension Presentation Linkbase</w:t>
            </w:r>
          </w:p>
        </w:tc>
      </w:tr>
    </w:tbl>
    <w:p>
      <w:pPr>
        <w:spacing w:after="0" w:line="196" w:lineRule="exact"/>
        <w:rPr>
          <w:sz w:val="20"/>
          <w:szCs w:val="20"/>
          <w:color w:val="auto"/>
        </w:rPr>
      </w:pPr>
    </w:p>
    <w:p>
      <w:pPr>
        <w:ind w:left="220" w:hanging="212"/>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The XBRL-related information in Exhibit No. 101 to this Quarterly Report on Form 10-Q is furnished and not filed for purposes of Sections 11 and 12 of the Securities Act of 1933 and Section 18 of the Securities Exchange Act of 1934.</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October 30, 2012</w:t>
      </w:r>
      <w:r>
        <w:rPr>
          <w:sz w:val="20"/>
          <w:szCs w:val="20"/>
          <w:color w:val="auto"/>
        </w:rPr>
        <w:tab/>
      </w:r>
      <w:r>
        <w:rPr>
          <w:rFonts w:ascii="Arial" w:cs="Arial" w:eastAsia="Arial" w:hAnsi="Arial"/>
          <w:sz w:val="16"/>
          <w:szCs w:val="16"/>
          <w:color w:val="auto"/>
        </w:rPr>
        <w:t>By: /s/ G</w:t>
      </w:r>
      <w:r>
        <w:rPr>
          <w:rFonts w:ascii="Arial" w:cs="Arial" w:eastAsia="Arial" w:hAnsi="Arial"/>
          <w:sz w:val="13"/>
          <w:szCs w:val="13"/>
          <w:color w:val="auto"/>
        </w:rPr>
        <w:t>ERARD</w:t>
      </w:r>
      <w:r>
        <w:rPr>
          <w:rFonts w:ascii="Arial" w:cs="Arial" w:eastAsia="Arial" w:hAnsi="Arial"/>
          <w:sz w:val="16"/>
          <w:szCs w:val="16"/>
          <w:color w:val="auto"/>
        </w:rPr>
        <w:t xml:space="preserve"> M. H</w:t>
      </w:r>
      <w:r>
        <w:rPr>
          <w:rFonts w:ascii="Arial" w:cs="Arial" w:eastAsia="Arial" w:hAnsi="Arial"/>
          <w:sz w:val="13"/>
          <w:szCs w:val="13"/>
          <w:color w:val="auto"/>
        </w:rPr>
        <w:t>AYDEN</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Gerard M. Hayden, Jr.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0"/>
          </w:cols>
          <w:pgMar w:left="240" w:top="459" w:right="11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0" w:type="dxa"/>
            <w:vAlign w:val="bottom"/>
          </w:tcPr>
          <w:p>
            <w:pPr>
              <w:ind w:left="3580"/>
              <w:spacing w:after="0"/>
              <w:rPr>
                <w:sz w:val="20"/>
                <w:szCs w:val="20"/>
                <w:color w:val="auto"/>
              </w:rPr>
            </w:pPr>
            <w:r>
              <w:rPr>
                <w:rFonts w:ascii="Arial" w:cs="Arial" w:eastAsia="Arial" w:hAnsi="Arial"/>
                <w:sz w:val="18"/>
                <w:szCs w:val="18"/>
                <w:b w:val="1"/>
                <w:bCs w:val="1"/>
                <w:color w:val="auto"/>
              </w:rPr>
              <w:t>HEALTHSTREAM, INC.</w:t>
            </w:r>
          </w:p>
        </w:tc>
      </w:tr>
      <w:tr>
        <w:trPr>
          <w:trHeight w:val="378"/>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420" w:type="dxa"/>
            <w:vAlign w:val="bottom"/>
          </w:tcPr>
          <w:p>
            <w:pPr>
              <w:jc w:val="right"/>
              <w:spacing w:after="0"/>
              <w:rPr>
                <w:sz w:val="20"/>
                <w:szCs w:val="20"/>
                <w:color w:val="auto"/>
              </w:rPr>
            </w:pPr>
            <w:r>
              <w:rPr>
                <w:rFonts w:ascii="Arial" w:cs="Arial" w:eastAsia="Arial" w:hAnsi="Arial"/>
                <w:sz w:val="18"/>
                <w:szCs w:val="18"/>
                <w:color w:val="auto"/>
              </w:rPr>
              <w:t>31.1</w:t>
            </w:r>
          </w:p>
        </w:tc>
        <w:tc>
          <w:tcPr>
            <w:tcW w:w="740" w:type="dxa"/>
            <w:vAlign w:val="bottom"/>
          </w:tcPr>
          <w:p>
            <w:pPr>
              <w:spacing w:after="0"/>
              <w:rPr>
                <w:sz w:val="24"/>
                <w:szCs w:val="24"/>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rPr>
              <w:t>31.2</w:t>
            </w:r>
          </w:p>
        </w:tc>
        <w:tc>
          <w:tcPr>
            <w:tcW w:w="740" w:type="dxa"/>
            <w:vAlign w:val="bottom"/>
          </w:tcPr>
          <w:p>
            <w:pPr>
              <w:spacing w:after="0"/>
              <w:rPr>
                <w:sz w:val="24"/>
                <w:szCs w:val="24"/>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rPr>
              <w:t>32.1</w:t>
            </w:r>
          </w:p>
        </w:tc>
        <w:tc>
          <w:tcPr>
            <w:tcW w:w="740" w:type="dxa"/>
            <w:vAlign w:val="bottom"/>
          </w:tcPr>
          <w:p>
            <w:pPr>
              <w:spacing w:after="0"/>
              <w:rPr>
                <w:sz w:val="24"/>
                <w:szCs w:val="24"/>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rPr>
              <w:t>32.2</w:t>
            </w:r>
          </w:p>
        </w:tc>
        <w:tc>
          <w:tcPr>
            <w:tcW w:w="740" w:type="dxa"/>
            <w:vAlign w:val="bottom"/>
          </w:tcPr>
          <w:p>
            <w:pPr>
              <w:spacing w:after="0"/>
              <w:rPr>
                <w:sz w:val="24"/>
                <w:szCs w:val="24"/>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w w:val="84"/>
              </w:rPr>
              <w:t>101.1</w:t>
            </w:r>
          </w:p>
        </w:tc>
        <w:tc>
          <w:tcPr>
            <w:tcW w:w="740" w:type="dxa"/>
            <w:vAlign w:val="bottom"/>
          </w:tcPr>
          <w:p>
            <w:pPr>
              <w:ind w:left="20"/>
              <w:spacing w:after="0"/>
              <w:rPr>
                <w:sz w:val="20"/>
                <w:szCs w:val="20"/>
                <w:color w:val="auto"/>
              </w:rPr>
            </w:pPr>
            <w:r>
              <w:rPr>
                <w:rFonts w:ascii="Arial" w:cs="Arial" w:eastAsia="Arial" w:hAnsi="Arial"/>
                <w:sz w:val="18"/>
                <w:szCs w:val="18"/>
                <w:color w:val="auto"/>
              </w:rPr>
              <w:t>INS*</w:t>
            </w:r>
          </w:p>
        </w:tc>
        <w:tc>
          <w:tcPr>
            <w:tcW w:w="880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880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w w:val="84"/>
              </w:rPr>
              <w:t>101.1</w:t>
            </w:r>
          </w:p>
        </w:tc>
        <w:tc>
          <w:tcPr>
            <w:tcW w:w="740" w:type="dxa"/>
            <w:vAlign w:val="bottom"/>
          </w:tcPr>
          <w:p>
            <w:pPr>
              <w:ind w:left="20"/>
              <w:spacing w:after="0"/>
              <w:rPr>
                <w:sz w:val="20"/>
                <w:szCs w:val="20"/>
                <w:color w:val="auto"/>
              </w:rPr>
            </w:pPr>
            <w:r>
              <w:rPr>
                <w:rFonts w:ascii="Arial" w:cs="Arial" w:eastAsia="Arial" w:hAnsi="Arial"/>
                <w:sz w:val="18"/>
                <w:szCs w:val="18"/>
                <w:color w:val="auto"/>
              </w:rPr>
              <w:t>CAL*</w:t>
            </w:r>
          </w:p>
        </w:tc>
        <w:tc>
          <w:tcPr>
            <w:tcW w:w="880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w w:val="84"/>
              </w:rPr>
              <w:t>101.1</w:t>
            </w:r>
          </w:p>
        </w:tc>
        <w:tc>
          <w:tcPr>
            <w:tcW w:w="740" w:type="dxa"/>
            <w:vAlign w:val="bottom"/>
          </w:tcPr>
          <w:p>
            <w:pPr>
              <w:ind w:left="20"/>
              <w:spacing w:after="0"/>
              <w:rPr>
                <w:sz w:val="20"/>
                <w:szCs w:val="20"/>
                <w:color w:val="auto"/>
              </w:rPr>
            </w:pPr>
            <w:r>
              <w:rPr>
                <w:rFonts w:ascii="Arial" w:cs="Arial" w:eastAsia="Arial" w:hAnsi="Arial"/>
                <w:sz w:val="18"/>
                <w:szCs w:val="18"/>
                <w:color w:val="auto"/>
              </w:rPr>
              <w:t>DEF*</w:t>
            </w:r>
          </w:p>
        </w:tc>
        <w:tc>
          <w:tcPr>
            <w:tcW w:w="880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880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w w:val="84"/>
              </w:rPr>
              <w:t>101.1</w:t>
            </w:r>
          </w:p>
        </w:tc>
        <w:tc>
          <w:tcPr>
            <w:tcW w:w="740" w:type="dxa"/>
            <w:vAlign w:val="bottom"/>
          </w:tcPr>
          <w:p>
            <w:pPr>
              <w:ind w:left="20"/>
              <w:spacing w:after="0"/>
              <w:rPr>
                <w:sz w:val="20"/>
                <w:szCs w:val="20"/>
                <w:color w:val="auto"/>
              </w:rPr>
            </w:pPr>
            <w:r>
              <w:rPr>
                <w:rFonts w:ascii="Arial" w:cs="Arial" w:eastAsia="Arial" w:hAnsi="Arial"/>
                <w:sz w:val="18"/>
                <w:szCs w:val="18"/>
                <w:color w:val="auto"/>
              </w:rPr>
              <w:t>PRE*</w:t>
            </w:r>
          </w:p>
        </w:tc>
        <w:tc>
          <w:tcPr>
            <w:tcW w:w="880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96" w:lineRule="exact"/>
        <w:rPr>
          <w:sz w:val="20"/>
          <w:szCs w:val="20"/>
          <w:color w:val="auto"/>
        </w:rPr>
      </w:pPr>
    </w:p>
    <w:p>
      <w:pPr>
        <w:ind w:left="220" w:hanging="212"/>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The XBRL-related information in Exhibit No. 101 to this Quarterly Report on Form 10-Q is furnished and not filed for purposes of Sections 11 and 12 of the Securities Act of 1933 and Section 18 of the Securities Exchange Act of 1934.</w:t>
      </w:r>
    </w:p>
    <w:p>
      <w:pPr>
        <w:sectPr>
          <w:pgSz w:w="11900" w:h="16838" w:orient="portrait"/>
          <w:cols w:equalWidth="0" w:num="1">
            <w:col w:w="11360"/>
          </w:cols>
          <w:pgMar w:left="240" w:top="459" w:right="29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u w:val="single" w:color="auto"/>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7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October 30, 2012</w:t>
      </w:r>
      <w:r>
        <w:rPr>
          <w:sz w:val="20"/>
          <w:szCs w:val="20"/>
          <w:color w:val="auto"/>
        </w:rPr>
        <w:tab/>
      </w:r>
      <w:r>
        <w:rPr>
          <w:rFonts w:ascii="Arial" w:cs="Arial" w:eastAsia="Arial" w:hAnsi="Arial"/>
          <w:sz w:val="16"/>
          <w:szCs w:val="16"/>
          <w:color w:val="auto"/>
        </w:rPr>
        <w:t xml:space="preserve">/s/ </w:t>
      </w:r>
      <w:r>
        <w:rPr>
          <w:rFonts w:ascii="Arial" w:cs="Arial" w:eastAsia="Arial" w:hAnsi="Arial"/>
          <w:sz w:val="13"/>
          <w:szCs w:val="13"/>
          <w:color w:val="auto"/>
        </w:rPr>
        <w:t>ROBERT A</w:t>
      </w:r>
      <w:r>
        <w:rPr>
          <w:rFonts w:ascii="Arial" w:cs="Arial" w:eastAsia="Arial" w:hAnsi="Arial"/>
          <w:sz w:val="16"/>
          <w:szCs w:val="16"/>
          <w:color w:val="auto"/>
        </w:rPr>
        <w:t xml:space="preserve">. </w:t>
      </w:r>
      <w:r>
        <w:rPr>
          <w:rFonts w:ascii="Arial" w:cs="Arial" w:eastAsia="Arial" w:hAnsi="Arial"/>
          <w:sz w:val="13"/>
          <w:szCs w:val="13"/>
          <w:color w:val="auto"/>
        </w:rPr>
        <w:t>FRIST</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u w:val="single" w:color="auto"/>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7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October 30, 2012</w:t>
      </w:r>
      <w:r>
        <w:rPr>
          <w:sz w:val="20"/>
          <w:szCs w:val="20"/>
          <w:color w:val="auto"/>
        </w:rPr>
        <w:tab/>
      </w:r>
      <w:r>
        <w:rPr>
          <w:rFonts w:ascii="Arial" w:cs="Arial" w:eastAsia="Arial" w:hAnsi="Arial"/>
          <w:sz w:val="16"/>
          <w:szCs w:val="16"/>
          <w:color w:val="auto"/>
        </w:rPr>
        <w:t>/s/ G</w:t>
      </w:r>
      <w:r>
        <w:rPr>
          <w:rFonts w:ascii="Arial" w:cs="Arial" w:eastAsia="Arial" w:hAnsi="Arial"/>
          <w:sz w:val="13"/>
          <w:szCs w:val="13"/>
          <w:color w:val="auto"/>
        </w:rPr>
        <w:t>ERARD</w:t>
      </w:r>
      <w:r>
        <w:rPr>
          <w:rFonts w:ascii="Arial" w:cs="Arial" w:eastAsia="Arial" w:hAnsi="Arial"/>
          <w:sz w:val="16"/>
          <w:szCs w:val="16"/>
          <w:color w:val="auto"/>
        </w:rPr>
        <w:t xml:space="preserve"> M. H</w:t>
      </w:r>
      <w:r>
        <w:rPr>
          <w:rFonts w:ascii="Arial" w:cs="Arial" w:eastAsia="Arial" w:hAnsi="Arial"/>
          <w:sz w:val="13"/>
          <w:szCs w:val="13"/>
          <w:color w:val="auto"/>
        </w:rPr>
        <w:t>AYDEN</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Gerard M. Hayden, Jr.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23" w:name="page24"/>
    <w:bookmarkEnd w:id="23"/>
    <w:p>
      <w:pPr>
        <w:ind w:left="5280"/>
        <w:spacing w:after="0"/>
        <w:rPr>
          <w:sz w:val="20"/>
          <w:szCs w:val="20"/>
          <w:color w:val="auto"/>
        </w:rPr>
      </w:pPr>
      <w:r>
        <w:rPr>
          <w:rFonts w:ascii="Arial" w:cs="Arial" w:eastAsia="Arial" w:hAnsi="Arial"/>
          <w:sz w:val="18"/>
          <w:szCs w:val="18"/>
          <w:u w:val="single" w:color="auto"/>
          <w:color w:val="auto"/>
        </w:rPr>
        <w:t>Exhibit 32.1</w:t>
      </w:r>
    </w:p>
    <w:p>
      <w:pPr>
        <w:spacing w:after="0" w:line="16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2012,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ROBERT A</w:t>
      </w:r>
      <w:r>
        <w:rPr>
          <w:rFonts w:ascii="Arial" w:cs="Arial" w:eastAsia="Arial" w:hAnsi="Arial"/>
          <w:sz w:val="18"/>
          <w:szCs w:val="18"/>
          <w:color w:val="auto"/>
        </w:rPr>
        <w:t xml:space="preserve">. </w:t>
      </w:r>
      <w:r>
        <w:rPr>
          <w:rFonts w:ascii="Arial" w:cs="Arial" w:eastAsia="Arial" w:hAnsi="Arial"/>
          <w:sz w:val="14"/>
          <w:szCs w:val="14"/>
          <w:color w:val="auto"/>
        </w:rPr>
        <w:t>FRIST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2012</w:t>
      </w:r>
    </w:p>
    <w:p>
      <w:pPr>
        <w:sectPr>
          <w:pgSz w:w="11900" w:h="16838" w:orient="portrait"/>
          <w:cols w:equalWidth="0" w:num="1">
            <w:col w:w="11100"/>
          </w:cols>
          <w:pgMar w:left="240" w:top="131" w:right="559" w:bottom="1440" w:gutter="0" w:footer="0" w:header="0"/>
        </w:sectPr>
      </w:pPr>
    </w:p>
    <w:bookmarkStart w:id="24" w:name="page25"/>
    <w:bookmarkEnd w:id="24"/>
    <w:p>
      <w:pPr>
        <w:ind w:left="5280"/>
        <w:spacing w:after="0"/>
        <w:rPr>
          <w:sz w:val="20"/>
          <w:szCs w:val="20"/>
          <w:color w:val="auto"/>
        </w:rPr>
      </w:pPr>
      <w:r>
        <w:rPr>
          <w:rFonts w:ascii="Arial" w:cs="Arial" w:eastAsia="Arial" w:hAnsi="Arial"/>
          <w:sz w:val="18"/>
          <w:szCs w:val="18"/>
          <w:u w:val="single" w:color="auto"/>
          <w:color w:val="auto"/>
        </w:rPr>
        <w:t>Exhibit 32.2</w:t>
      </w:r>
    </w:p>
    <w:p>
      <w:pPr>
        <w:spacing w:after="0" w:line="16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2012,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2012</w:t>
      </w:r>
    </w:p>
    <w:sectPr>
      <w:pgSz w:w="11900" w:h="16838" w:orient="portrait"/>
      <w:cols w:equalWidth="0" w:num="1">
        <w:col w:w="11320"/>
      </w:cols>
      <w:pgMar w:left="24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2019-12-09T13:10:38Z</dcterms:created>
  <dcterms:modified xsi:type="dcterms:W3CDTF">2019-12-09T13:10:38Z</dcterms:modified>
</cp:coreProperties>
</file>